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rg2turhfo1dya-8zsdqlo">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Estados libres y estados esclavistas. </w:t>
      </w:r>
      <w:r>
        <w:t xml:space="preserve">Abre la leyenda y busca los cuatro grupos de la capa US States and Territories 1850 (estados y territorios de EE. UU. en 1850). Cuenta los estados sombreados como Free states (estados libres) y como Slave states (estados esclavistas); haz clic en un estado para leer su nombre. Luego haz clic en dos estados para leer en qué año cada uno se volvió libre o esclavista. ¿Dónde está la línea entre estados libres y esclavistas en el Este?</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El Compromiso de Misuri. </w:t>
      </w:r>
      <w:r>
        <w:t xml:space="preserve">Busca la línea del Compromiso de Misuri (la línea gris discontinua) y haz clic en ella para leer su ventana emergente. ¿En qué año se aprobó? La esclavitud estaba prohibida al norte de ella en el territorio de Luisiana. ¿Qué estado esclavista está mayormente al norte de la línea, y por qué importa?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trata interna de esclavos. </w:t>
      </w:r>
      <w:r>
        <w:t xml:space="preserve">En las capas del mapa (Map layers), desactiva Underground Railroad Approximate Routes (rutas aproximadas del Ferrocarril Subterráneo) para que resalten las líneas negras continuas de la capa Internal Routes of the US Slave Trade (rutas internas de la trata de esclavos). Haz clic en los estados donde empiezan las líneas y donde se juntan para leer sus nombres. ¿Dónde llegan las líneas a la costa? Las líneas no tienen flechas: según el patrón y lo que has aprendido, ¿en qué dirección fueron obligadas a moverse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Rutas hacia la libertad. </w:t>
      </w:r>
      <w:r>
        <w:t xml:space="preserve">Abre el marcador Illinois, Indiana, and Ohio. Sigue hacia el norte, desde el río Ohio, las rutas anaranjadas del Ferrocarril Subterráneo, y acércate para leer los nombres de las ciudades a lo largo de ellas. ¿A dónde llevan las rutas? ¿Por qué crees que muchas siguen más allá de los estados libres?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g2turhfo1dya-8zsdqlo"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0.3.0</dc:description>
  <cp:lastModifiedBy>Un-named</cp:lastModifiedBy>
  <cp:revision>1</cp:revision>
  <dcterms:created xsi:type="dcterms:W3CDTF">2026-10-15T11:18:22.900Z</dcterms:created>
  <dcterms:modified xsi:type="dcterms:W3CDTF">2026-10-15T11:18:22.900Z</dcterms:modified>
</cp:coreProperties>
</file>

<file path=docProps/custom.xml><?xml version="1.0" encoding="utf-8"?>
<Properties xmlns="http://schemas.openxmlformats.org/officeDocument/2006/custom-properties" xmlns:vt="http://schemas.openxmlformats.org/officeDocument/2006/docPropsVTypes"/>
</file>