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Look w:val="0000" w:firstRow="0" w:lastRow="0" w:firstColumn="0" w:lastColumn="0" w:noHBand="0" w:noVBand="0"/>
        <w:jc w:val="center"/>
        <w:tblLayout w:type="fixed"/>
        <w:tblCellMar>
          <w:left w:w="0" w:type="dxa"/>
          <w:right w:w="0" w:type="dxa"/>
        </w:tblCellMar>
      </w:tblPr>
      <w:tblGrid>
        <w:gridCol w:w="2008"/>
        <w:gridCol w:w="3030"/>
        <w:gridCol w:w="737"/>
        <w:gridCol w:w="550"/>
        <w:gridCol w:w="493"/>
        <w:gridCol w:w="775"/>
        <w:gridCol w:w="1214"/>
        <w:gridCol w:w="1268"/>
      </w:tblGrid>
      <w:tr>
        <w:trPr>
          <w:jc w:val="center"/>
          <w:trHeight w:val="860" w:hRule="atLeast"/>
        </w:trPr>
        <w:tc>
          <w:tcPr>
            <w:tcW w:w="5775" w:type="dxa"/>
            <w:gridSpan w:val="3"/>
            <w:vMerge w:val="restart"/>
            <w:tcBorders>
              <w:top w:val="single" w:sz="2" w:space="0" w:color="auto"/>
              <w:left w:val="single" w:sz="2" w:space="0" w:color="auto"/>
              <w:bottom w:val="double" w:sz="2" w:space="0" w:color="auto"/>
              <w:right w:val="single" w:sz="2" w:space="0" w:color="auto"/>
            </w:tcBorders>
            <w:vAlign w:val="center"/>
          </w:tcPr>
          <w:p>
            <w:pPr>
              <w:pStyle w:val="a0"/>
              <w:jc w:val="center"/>
              <w:rPr>
                <w:rFonts w:ascii="맑은 고딕" w:eastAsia="맑은 고딕" w:hAnsi="맑은 고딕"/>
                <w:b/>
                <w:bCs/>
              </w:rPr>
            </w:pPr>
            <w:r>
              <w:rPr>
                <w:rFonts w:ascii="맑은 고딕" w:eastAsia="맑은 고딕" w:hAnsi="맑은 고딕"/>
                <w:sz w:val="20"/>
                <w:szCs w:val="20"/>
              </w:rPr>
              <w:br w:type="page"/>
            </w:r>
            <w:r>
              <w:rPr>
                <w:rFonts w:ascii="맑은 고딕" w:eastAsia="맑은 고딕" w:hAnsi="맑은 고딕"/>
                <w:sz w:val="20"/>
                <w:szCs w:val="20"/>
              </w:rPr>
              <w:br w:type="page"/>
            </w:r>
            <w:r>
              <w:rPr>
                <w:rFonts w:ascii="맑은 고딕" w:eastAsia="맑은 고딕" w:hAnsi="맑은 고딕" w:hint="eastAsia"/>
                <w:b/>
                <w:bCs/>
                <w:sz w:val="48"/>
                <w:szCs w:val="48"/>
              </w:rPr>
              <w:t>사업 계획서</w:t>
            </w:r>
          </w:p>
        </w:tc>
        <w:tc>
          <w:tcPr>
            <w:tcW w:w="550" w:type="dxa"/>
            <w:vMerge w:val="restart"/>
            <w:tcBorders>
              <w:top w:val="single" w:sz="2" w:space="0" w:color="auto"/>
              <w:left w:val="single" w:sz="2" w:space="0" w:color="auto"/>
              <w:bottom w:val="single" w:sz="2" w:space="0" w:color="auto"/>
              <w:right w:val="single" w:sz="2" w:space="0" w:color="auto"/>
            </w:tcBorders>
            <w:vAlign w:val="center"/>
          </w:tcPr>
          <w:p>
            <w:pPr>
              <w:pStyle w:val="a0"/>
              <w:jc w:val="center"/>
              <w:rPr>
                <w:rFonts w:ascii="맑은 고딕" w:eastAsia="맑은 고딕" w:hAnsi="맑은 고딕"/>
                <w:sz w:val="20"/>
                <w:szCs w:val="20"/>
              </w:rPr>
            </w:pPr>
            <w:r>
              <w:rPr>
                <w:rFonts w:ascii="맑은 고딕" w:eastAsia="맑은 고딕" w:hAnsi="맑은 고딕" w:hint="eastAsia"/>
                <w:sz w:val="20"/>
                <w:szCs w:val="20"/>
              </w:rPr>
              <w:t>결</w:t>
            </w:r>
          </w:p>
          <w:p>
            <w:pPr>
              <w:pStyle w:val="a0"/>
              <w:jc w:val="center"/>
              <w:rPr>
                <w:rFonts w:ascii="맑은 고딕" w:eastAsia="맑은 고딕" w:hAnsi="맑은 고딕"/>
                <w:sz w:val="20"/>
                <w:szCs w:val="20"/>
              </w:rPr>
            </w:pPr>
          </w:p>
          <w:p>
            <w:pPr>
              <w:pStyle w:val="a0"/>
              <w:jc w:val="center"/>
              <w:rPr>
                <w:rFonts w:ascii="맑은 고딕" w:eastAsia="맑은 고딕" w:hAnsi="맑은 고딕"/>
                <w:sz w:val="20"/>
                <w:szCs w:val="20"/>
              </w:rPr>
            </w:pPr>
            <w:r>
              <w:rPr>
                <w:rFonts w:ascii="맑은 고딕" w:eastAsia="맑은 고딕" w:hAnsi="맑은 고딕" w:hint="eastAsia"/>
                <w:sz w:val="20"/>
                <w:szCs w:val="20"/>
              </w:rPr>
              <w:t>재</w:t>
            </w:r>
          </w:p>
        </w:tc>
        <w:tc>
          <w:tcPr>
            <w:tcW w:w="1268" w:type="dxa"/>
            <w:gridSpan w:val="2"/>
            <w:tcBorders>
              <w:top w:val="single" w:sz="2" w:space="0" w:color="auto"/>
              <w:left w:val="single" w:sz="2" w:space="0" w:color="auto"/>
              <w:bottom w:val="single" w:sz="2" w:space="0" w:color="auto"/>
              <w:right w:val="single" w:sz="2" w:space="0" w:color="auto"/>
            </w:tcBorders>
            <w:vAlign w:val="center"/>
          </w:tcPr>
          <w:p>
            <w:pPr>
              <w:pStyle w:val="a0"/>
              <w:jc w:val="center"/>
              <w:rPr>
                <w:rFonts w:ascii="맑은 고딕" w:eastAsia="맑은 고딕" w:hAnsi="맑은 고딕"/>
                <w:sz w:val="20"/>
                <w:szCs w:val="20"/>
              </w:rPr>
            </w:pPr>
            <w:r>
              <w:rPr>
                <w:rFonts w:ascii="맑은 고딕" w:eastAsia="맑은 고딕" w:hAnsi="맑은 고딕" w:hint="eastAsia"/>
                <w:sz w:val="20"/>
                <w:szCs w:val="20"/>
              </w:rPr>
              <w:t>작성</w:t>
            </w:r>
          </w:p>
        </w:tc>
        <w:tc>
          <w:tcPr>
            <w:tcW w:w="1214" w:type="dxa"/>
            <w:tcBorders>
              <w:top w:val="single" w:sz="2" w:space="0" w:color="auto"/>
              <w:left w:val="single" w:sz="2" w:space="0" w:color="auto"/>
              <w:bottom w:val="single" w:sz="2" w:space="0" w:color="auto"/>
              <w:right w:val="single" w:sz="2" w:space="0" w:color="auto"/>
            </w:tcBorders>
            <w:vAlign w:val="center"/>
          </w:tcPr>
          <w:p>
            <w:pPr>
              <w:pStyle w:val="a0"/>
              <w:jc w:val="center"/>
              <w:rPr>
                <w:rFonts w:ascii="맑은 고딕" w:eastAsia="맑은 고딕" w:hAnsi="맑은 고딕"/>
                <w:sz w:val="20"/>
                <w:szCs w:val="20"/>
              </w:rPr>
            </w:pPr>
            <w:r>
              <w:rPr>
                <w:rFonts w:ascii="맑은 고딕" w:eastAsia="맑은 고딕" w:hAnsi="맑은 고딕" w:hint="eastAsia"/>
                <w:sz w:val="20"/>
                <w:szCs w:val="20"/>
              </w:rPr>
              <w:t>검토</w:t>
            </w:r>
          </w:p>
        </w:tc>
        <w:tc>
          <w:tcPr>
            <w:tcW w:w="1268" w:type="dxa"/>
            <w:tcBorders>
              <w:top w:val="single" w:sz="2" w:space="0" w:color="auto"/>
              <w:left w:val="single" w:sz="2" w:space="0" w:color="auto"/>
              <w:bottom w:val="single" w:sz="2" w:space="0" w:color="auto"/>
              <w:right w:val="single" w:sz="2" w:space="0" w:color="auto"/>
            </w:tcBorders>
            <w:vAlign w:val="center"/>
          </w:tcPr>
          <w:p>
            <w:pPr>
              <w:pStyle w:val="a0"/>
              <w:jc w:val="center"/>
              <w:rPr>
                <w:rFonts w:ascii="맑은 고딕" w:eastAsia="맑은 고딕" w:hAnsi="맑은 고딕"/>
                <w:sz w:val="20"/>
                <w:szCs w:val="20"/>
              </w:rPr>
            </w:pPr>
            <w:r>
              <w:rPr>
                <w:rFonts w:ascii="맑은 고딕" w:eastAsia="맑은 고딕" w:hAnsi="맑은 고딕" w:hint="eastAsia"/>
                <w:sz w:val="20"/>
                <w:szCs w:val="20"/>
              </w:rPr>
              <w:t>승인</w:t>
            </w:r>
          </w:p>
        </w:tc>
      </w:tr>
      <w:tr>
        <w:trPr>
          <w:cantSplit/>
          <w:jc w:val="center"/>
          <w:trHeight w:val="1158" w:hRule="atLeast"/>
        </w:trPr>
        <w:tc>
          <w:tcPr>
            <w:tcW w:w="5775" w:type="dxa"/>
            <w:gridSpan w:val="3"/>
            <w:vMerge w:val="continue"/>
            <w:tcBorders>
              <w:top w:val="single" w:sz="2" w:space="0" w:color="auto"/>
              <w:left w:val="single" w:sz="2" w:space="0" w:color="auto"/>
              <w:bottom w:val="double" w:sz="2" w:space="0" w:color="auto"/>
              <w:right w:val="single" w:sz="2" w:space="0" w:color="auto"/>
            </w:tcBorders>
            <w:vAlign w:val="center"/>
          </w:tcPr>
          <w:p>
            <w:pPr>
              <w:pStyle w:val="a0"/>
              <w:jc w:val="center"/>
              <w:rPr>
                <w:rFonts w:ascii="맑은 고딕" w:eastAsia="맑은 고딕" w:hAnsi="맑은 고딕"/>
                <w:b/>
                <w:bCs/>
              </w:rPr>
            </w:pPr>
            <w:r>
              <w:rPr>
                <w:rFonts w:ascii="맑은 고딕" w:eastAsia="맑은 고딕" w:hAnsi="맑은 고딕" w:hint="eastAsia"/>
                <w:b/>
                <w:bCs/>
                <w:sz w:val="48"/>
                <w:szCs w:val="48"/>
              </w:rPr>
              <w:t>개발완료</w:t>
            </w:r>
            <w:r>
              <w:rPr>
                <w:rFonts w:ascii="맑은 고딕" w:eastAsia="맑은 고딕" w:hAnsi="맑은 고딕"/>
                <w:b/>
                <w:bCs/>
                <w:sz w:val="48"/>
                <w:szCs w:val="48"/>
              </w:rPr>
              <w:t xml:space="preserve"> </w:t>
            </w:r>
            <w:r>
              <w:rPr>
                <w:rFonts w:ascii="맑은 고딕" w:eastAsia="맑은 고딕" w:hAnsi="맑은 고딕" w:hint="eastAsia"/>
                <w:b/>
                <w:bCs/>
                <w:sz w:val="48"/>
                <w:szCs w:val="48"/>
              </w:rPr>
              <w:t>보고서</w:t>
            </w:r>
          </w:p>
        </w:tc>
        <w:tc>
          <w:tcPr>
            <w:tcW w:w="550" w:type="dxa"/>
            <w:vMerge w:val="continue"/>
            <w:tcBorders>
              <w:top w:val="single" w:sz="2" w:space="0" w:color="auto"/>
              <w:left w:val="single" w:sz="2" w:space="0" w:color="auto"/>
              <w:bottom w:val="single" w:sz="2" w:space="0" w:color="auto"/>
              <w:right w:val="single" w:sz="2" w:space="0" w:color="auto"/>
            </w:tcBorders>
            <w:vAlign w:val="center"/>
          </w:tcPr>
          <w:p>
            <w:pPr>
              <w:pStyle w:val="a0"/>
              <w:jc w:val="center"/>
              <w:rPr>
                <w:rFonts w:ascii="맑은 고딕" w:eastAsia="맑은 고딕" w:hAnsi="맑은 고딕"/>
                <w:sz w:val="20"/>
                <w:szCs w:val="20"/>
              </w:rPr>
            </w:pPr>
            <w:r>
              <w:rPr>
                <w:rFonts w:ascii="맑은 고딕" w:eastAsia="맑은 고딕" w:hAnsi="맑은 고딕" w:hint="eastAsia"/>
                <w:sz w:val="20"/>
                <w:szCs w:val="20"/>
              </w:rPr>
              <w:t>결</w:t>
            </w:r>
          </w:p>
          <w:p>
            <w:pPr>
              <w:pStyle w:val="a0"/>
              <w:jc w:val="center"/>
              <w:rPr>
                <w:rFonts w:ascii="맑은 고딕" w:eastAsia="맑은 고딕" w:hAnsi="맑은 고딕"/>
                <w:sz w:val="20"/>
                <w:szCs w:val="20"/>
              </w:rPr>
            </w:pPr>
          </w:p>
          <w:p>
            <w:pPr>
              <w:pStyle w:val="a0"/>
              <w:jc w:val="center"/>
              <w:rPr>
                <w:rFonts w:ascii="맑은 고딕" w:eastAsia="맑은 고딕" w:hAnsi="맑은 고딕"/>
                <w:sz w:val="20"/>
                <w:szCs w:val="20"/>
              </w:rPr>
            </w:pPr>
            <w:r>
              <w:rPr>
                <w:rFonts w:ascii="맑은 고딕" w:eastAsia="맑은 고딕" w:hAnsi="맑은 고딕" w:hint="eastAsia"/>
                <w:sz w:val="20"/>
                <w:szCs w:val="20"/>
              </w:rPr>
              <w:t>재</w:t>
            </w:r>
          </w:p>
        </w:tc>
        <w:tc>
          <w:tcPr>
            <w:tcW w:w="1268" w:type="dxa"/>
            <w:gridSpan w:val="2"/>
            <w:tcBorders>
              <w:top w:val="single" w:sz="2" w:space="0" w:color="auto"/>
              <w:left w:val="single" w:sz="2" w:space="0" w:color="auto"/>
              <w:bottom w:val="double" w:sz="2" w:space="0" w:color="auto"/>
              <w:right w:val="single" w:sz="2" w:space="0" w:color="auto"/>
            </w:tcBorders>
            <w:vAlign w:val="center"/>
          </w:tcPr>
          <w:p>
            <w:pPr>
              <w:pStyle w:val="a0"/>
              <w:jc w:val="center"/>
              <w:rPr>
                <w:rFonts w:ascii="맑은 고딕" w:eastAsia="맑은 고딕" w:hAnsi="맑은 고딕"/>
                <w:sz w:val="20"/>
                <w:szCs w:val="20"/>
              </w:rPr>
            </w:pPr>
          </w:p>
        </w:tc>
        <w:tc>
          <w:tcPr>
            <w:tcW w:w="1214" w:type="dxa"/>
            <w:tcBorders>
              <w:top w:val="single" w:sz="2" w:space="0" w:color="auto"/>
              <w:left w:val="single" w:sz="2" w:space="0" w:color="auto"/>
              <w:bottom w:val="double" w:sz="2" w:space="0" w:color="auto"/>
              <w:right w:val="single" w:sz="2" w:space="0" w:color="auto"/>
            </w:tcBorders>
            <w:vAlign w:val="center"/>
          </w:tcPr>
          <w:p>
            <w:pPr>
              <w:pStyle w:val="a0"/>
              <w:jc w:val="center"/>
              <w:rPr>
                <w:rFonts w:ascii="맑은 고딕" w:eastAsia="맑은 고딕" w:hAnsi="맑은 고딕"/>
                <w:sz w:val="20"/>
                <w:szCs w:val="20"/>
              </w:rPr>
            </w:pPr>
          </w:p>
        </w:tc>
        <w:tc>
          <w:tcPr>
            <w:tcW w:w="1268" w:type="dxa"/>
            <w:tcBorders>
              <w:top w:val="single" w:sz="2" w:space="0" w:color="auto"/>
              <w:left w:val="single" w:sz="2" w:space="0" w:color="auto"/>
              <w:bottom w:val="double" w:sz="2" w:space="0" w:color="auto"/>
              <w:right w:val="single" w:sz="2" w:space="0" w:color="auto"/>
            </w:tcBorders>
            <w:vAlign w:val="center"/>
          </w:tcPr>
          <w:p>
            <w:pPr>
              <w:pStyle w:val="a0"/>
              <w:jc w:val="center"/>
              <w:rPr>
                <w:rFonts w:ascii="맑은 고딕" w:eastAsia="맑은 고딕" w:hAnsi="맑은 고딕"/>
                <w:sz w:val="20"/>
                <w:szCs w:val="20"/>
              </w:rPr>
            </w:pPr>
          </w:p>
        </w:tc>
      </w:tr>
      <w:tr>
        <w:trPr>
          <w:jc w:val="center"/>
          <w:trHeight w:val="817" w:hRule="atLeast"/>
        </w:trPr>
        <w:tc>
          <w:tcPr>
            <w:tcW w:w="2008" w:type="dxa"/>
            <w:tcBorders>
              <w:top w:val="double" w:sz="2" w:space="0" w:color="auto"/>
              <w:left w:val="single" w:sz="2" w:space="0" w:color="auto"/>
              <w:bottom w:val="single" w:sz="2" w:space="0" w:color="auto"/>
              <w:right w:val="single" w:sz="2" w:space="0" w:color="auto"/>
            </w:tcBorders>
            <w:shd w:val="clear" w:color="auto" w:fill="BFBFBF"/>
            <w:vAlign w:val="center"/>
          </w:tcPr>
          <w:p>
            <w:pPr>
              <w:pStyle w:val="a0"/>
              <w:jc w:val="center"/>
              <w:rPr>
                <w:rFonts w:ascii="맑은 고딕" w:eastAsia="맑은 고딕" w:hAnsi="맑은 고딕"/>
                <w:b/>
                <w:sz w:val="22"/>
                <w:szCs w:val="22"/>
              </w:rPr>
            </w:pPr>
            <w:r>
              <w:rPr>
                <w:rFonts w:ascii="맑은 고딕" w:eastAsia="맑은 고딕" w:hAnsi="맑은 고딕" w:hint="eastAsia"/>
                <w:b/>
                <w:sz w:val="22"/>
                <w:szCs w:val="22"/>
              </w:rPr>
              <w:t>작성</w:t>
            </w:r>
            <w:r>
              <w:rPr>
                <w:rFonts w:ascii="맑은 고딕" w:eastAsia="맑은 고딕" w:hAnsi="맑은 고딕"/>
                <w:b/>
                <w:sz w:val="22"/>
                <w:szCs w:val="22"/>
              </w:rPr>
              <w:t xml:space="preserve"> </w:t>
            </w:r>
            <w:r>
              <w:rPr>
                <w:rFonts w:ascii="맑은 고딕" w:eastAsia="맑은 고딕" w:hAnsi="맑은 고딕" w:hint="eastAsia"/>
                <w:b/>
                <w:sz w:val="22"/>
                <w:szCs w:val="22"/>
              </w:rPr>
              <w:t>부서</w:t>
            </w:r>
          </w:p>
        </w:tc>
        <w:tc>
          <w:tcPr>
            <w:tcW w:w="3030" w:type="dxa"/>
            <w:tcBorders>
              <w:top w:val="double" w:sz="2" w:space="0" w:color="auto"/>
              <w:left w:val="single" w:sz="2" w:space="0" w:color="auto"/>
              <w:bottom w:val="single" w:sz="2" w:space="0" w:color="auto"/>
              <w:right w:val="single" w:sz="2" w:space="0" w:color="auto"/>
            </w:tcBorders>
            <w:vAlign w:val="center"/>
          </w:tcPr>
          <w:p>
            <w:pPr>
              <w:pStyle w:val="a0"/>
              <w:jc w:val="center"/>
              <w:rPr>
                <w:rFonts w:ascii="맑은 고딕" w:eastAsia="맑은 고딕" w:hAnsi="맑은 고딕"/>
                <w:sz w:val="22"/>
                <w:szCs w:val="22"/>
              </w:rPr>
            </w:pPr>
            <w:r>
              <w:rPr>
                <w:rFonts w:ascii="맑은 고딕" w:eastAsia="맑은 고딕" w:hAnsi="맑은 고딕" w:hint="eastAsia"/>
                <w:sz w:val="22"/>
                <w:szCs w:val="22"/>
              </w:rPr>
              <w:t>영업부</w:t>
            </w:r>
          </w:p>
        </w:tc>
        <w:tc>
          <w:tcPr>
            <w:tcW w:w="1780" w:type="dxa"/>
            <w:gridSpan w:val="3"/>
            <w:tcBorders>
              <w:top w:val="double" w:sz="2" w:space="0" w:color="auto"/>
              <w:left w:val="single" w:sz="2" w:space="0" w:color="auto"/>
              <w:bottom w:val="single" w:sz="2" w:space="0" w:color="auto"/>
              <w:right w:val="single" w:sz="2" w:space="0" w:color="auto"/>
            </w:tcBorders>
            <w:shd w:val="clear" w:color="auto" w:fill="BFBFBF"/>
            <w:vAlign w:val="center"/>
          </w:tcPr>
          <w:p>
            <w:pPr>
              <w:pStyle w:val="a0"/>
              <w:jc w:val="center"/>
              <w:rPr>
                <w:rFonts w:ascii="맑은 고딕" w:eastAsia="맑은 고딕" w:hAnsi="맑은 고딕"/>
                <w:b/>
                <w:sz w:val="22"/>
                <w:szCs w:val="22"/>
              </w:rPr>
            </w:pPr>
            <w:r>
              <w:rPr>
                <w:rFonts w:ascii="맑은 고딕" w:eastAsia="맑은 고딕" w:hAnsi="맑은 고딕" w:hint="eastAsia"/>
                <w:b/>
                <w:sz w:val="22"/>
                <w:szCs w:val="22"/>
              </w:rPr>
              <w:t>작성</w:t>
            </w:r>
            <w:r>
              <w:rPr>
                <w:rFonts w:ascii="맑은 고딕" w:eastAsia="맑은 고딕" w:hAnsi="맑은 고딕"/>
                <w:b/>
                <w:sz w:val="22"/>
                <w:szCs w:val="22"/>
              </w:rPr>
              <w:t xml:space="preserve"> </w:t>
            </w:r>
            <w:r>
              <w:rPr>
                <w:rFonts w:ascii="맑은 고딕" w:eastAsia="맑은 고딕" w:hAnsi="맑은 고딕" w:hint="eastAsia"/>
                <w:b/>
                <w:sz w:val="22"/>
                <w:szCs w:val="22"/>
              </w:rPr>
              <w:t>일자</w:t>
            </w:r>
            <w:r>
              <w:rPr>
                <w:rFonts w:ascii="맑은 고딕" w:eastAsia="맑은 고딕" w:hAnsi="맑은 고딕"/>
                <w:b/>
                <w:sz w:val="22"/>
                <w:szCs w:val="22"/>
              </w:rPr>
              <w:t xml:space="preserve"> </w:t>
            </w:r>
          </w:p>
        </w:tc>
        <w:tc>
          <w:tcPr>
            <w:tcW w:w="3257" w:type="dxa"/>
            <w:gridSpan w:val="3"/>
            <w:tcBorders>
              <w:top w:val="double" w:sz="2" w:space="0" w:color="auto"/>
              <w:left w:val="single" w:sz="2" w:space="0" w:color="auto"/>
              <w:bottom w:val="single" w:sz="2" w:space="0" w:color="auto"/>
              <w:right w:val="single" w:sz="2" w:space="0" w:color="auto"/>
            </w:tcBorders>
            <w:vAlign w:val="center"/>
          </w:tcPr>
          <w:p>
            <w:pPr>
              <w:pStyle w:val="a0"/>
              <w:jc w:val="center"/>
              <w:rPr>
                <w:rFonts w:ascii="맑은 고딕" w:eastAsia="맑은 고딕" w:hAnsi="맑은 고딕"/>
                <w:sz w:val="22"/>
                <w:szCs w:val="22"/>
              </w:rPr>
            </w:pPr>
            <w:r>
              <w:rPr>
                <w:lang w:eastAsia="ko-KR"/>
                <w:rFonts w:ascii="맑은 고딕" w:eastAsia="맑은 고딕" w:hAnsi="맑은 고딕" w:hint="eastAsia"/>
                <w:sz w:val="22"/>
                <w:szCs w:val="22"/>
                <w:rtl w:val="off"/>
              </w:rPr>
              <w:t>2025.02.25</w:t>
            </w:r>
          </w:p>
        </w:tc>
      </w:tr>
      <w:tr>
        <w:trPr>
          <w:jc w:val="center"/>
          <w:trHeight w:val="817" w:hRule="atLeast"/>
        </w:trPr>
        <w:tc>
          <w:tcPr>
            <w:tcW w:w="2008" w:type="dxa"/>
            <w:tcBorders>
              <w:top w:val="single" w:sz="2" w:space="0" w:color="auto"/>
              <w:left w:val="single" w:sz="2" w:space="0" w:color="auto"/>
              <w:bottom w:val="double" w:sz="2" w:space="0" w:color="auto"/>
              <w:right w:val="single" w:sz="2" w:space="0" w:color="auto"/>
            </w:tcBorders>
            <w:shd w:val="clear" w:color="auto" w:fill="BFBFBF"/>
            <w:vAlign w:val="center"/>
          </w:tcPr>
          <w:p>
            <w:pPr>
              <w:pStyle w:val="a0"/>
              <w:jc w:val="center"/>
              <w:rPr>
                <w:rFonts w:ascii="맑은 고딕" w:eastAsia="맑은 고딕" w:hAnsi="맑은 고딕"/>
                <w:b/>
                <w:sz w:val="22"/>
                <w:szCs w:val="22"/>
              </w:rPr>
            </w:pPr>
            <w:r>
              <w:rPr>
                <w:rFonts w:ascii="맑은 고딕" w:eastAsia="맑은 고딕" w:hAnsi="맑은 고딕" w:hint="eastAsia"/>
                <w:b/>
                <w:sz w:val="22"/>
                <w:szCs w:val="22"/>
              </w:rPr>
              <w:t>제</w:t>
            </w:r>
            <w:r>
              <w:rPr>
                <w:rFonts w:ascii="맑은 고딕" w:eastAsia="맑은 고딕" w:hAnsi="맑은 고딕"/>
                <w:b/>
                <w:sz w:val="22"/>
                <w:szCs w:val="22"/>
              </w:rPr>
              <w:t xml:space="preserve"> </w:t>
            </w:r>
            <w:r>
              <w:rPr>
                <w:rFonts w:ascii="맑은 고딕" w:eastAsia="맑은 고딕" w:hAnsi="맑은 고딕" w:hint="eastAsia"/>
                <w:b/>
                <w:sz w:val="22"/>
                <w:szCs w:val="22"/>
              </w:rPr>
              <w:t>품</w:t>
            </w:r>
            <w:r>
              <w:rPr>
                <w:rFonts w:ascii="맑은 고딕" w:eastAsia="맑은 고딕" w:hAnsi="맑은 고딕"/>
                <w:b/>
                <w:sz w:val="22"/>
                <w:szCs w:val="22"/>
              </w:rPr>
              <w:t xml:space="preserve"> </w:t>
            </w:r>
            <w:r>
              <w:rPr>
                <w:rFonts w:ascii="맑은 고딕" w:eastAsia="맑은 고딕" w:hAnsi="맑은 고딕" w:hint="eastAsia"/>
                <w:b/>
                <w:sz w:val="22"/>
                <w:szCs w:val="22"/>
              </w:rPr>
              <w:t>명</w:t>
            </w:r>
          </w:p>
        </w:tc>
        <w:tc>
          <w:tcPr>
            <w:tcW w:w="3030" w:type="dxa"/>
            <w:tcBorders>
              <w:top w:val="single" w:sz="2" w:space="0" w:color="auto"/>
              <w:left w:val="single" w:sz="2" w:space="0" w:color="auto"/>
              <w:bottom w:val="double" w:sz="2" w:space="0" w:color="auto"/>
              <w:right w:val="single" w:sz="2" w:space="0" w:color="auto"/>
            </w:tcBorders>
            <w:vAlign w:val="center"/>
          </w:tcPr>
          <w:p>
            <w:pPr>
              <w:pStyle w:val="a0"/>
              <w:jc w:val="center"/>
              <w:rPr>
                <w:rFonts w:ascii="맑은 고딕" w:eastAsia="맑은 고딕" w:hAnsi="맑은 고딕"/>
                <w:sz w:val="22"/>
                <w:szCs w:val="22"/>
              </w:rPr>
            </w:pPr>
            <w:r>
              <w:rPr>
                <w:lang w:eastAsia="ko-KR"/>
                <w:rFonts w:ascii="맑은 고딕" w:eastAsia="맑은 고딕" w:hAnsi="맑은 고딕"/>
                <w:sz w:val="22"/>
                <w:szCs w:val="22"/>
                <w:rtl w:val="off"/>
              </w:rPr>
              <w:t>Motion Prediction for Autonomous Vehicles</w:t>
            </w:r>
          </w:p>
        </w:tc>
        <w:tc>
          <w:tcPr>
            <w:tcW w:w="1780" w:type="dxa"/>
            <w:gridSpan w:val="3"/>
            <w:tcBorders>
              <w:top w:val="single" w:sz="2" w:space="0" w:color="auto"/>
              <w:left w:val="single" w:sz="2" w:space="0" w:color="auto"/>
              <w:bottom w:val="double" w:sz="2" w:space="0" w:color="auto"/>
              <w:right w:val="single" w:sz="2" w:space="0" w:color="auto"/>
            </w:tcBorders>
            <w:shd w:val="clear" w:color="auto" w:fill="BFBFBF"/>
            <w:vAlign w:val="center"/>
          </w:tcPr>
          <w:p>
            <w:pPr>
              <w:pStyle w:val="a0"/>
              <w:jc w:val="center"/>
              <w:rPr>
                <w:rFonts w:ascii="맑은 고딕" w:eastAsia="맑은 고딕" w:hAnsi="맑은 고딕"/>
                <w:b/>
                <w:sz w:val="22"/>
                <w:szCs w:val="22"/>
              </w:rPr>
            </w:pPr>
            <w:r>
              <w:rPr>
                <w:rFonts w:ascii="맑은 고딕" w:eastAsia="맑은 고딕" w:hAnsi="맑은 고딕" w:hint="eastAsia"/>
                <w:b/>
                <w:sz w:val="22"/>
                <w:szCs w:val="22"/>
              </w:rPr>
              <w:t>모</w:t>
            </w:r>
            <w:r>
              <w:rPr>
                <w:rFonts w:ascii="맑은 고딕" w:eastAsia="맑은 고딕" w:hAnsi="맑은 고딕"/>
                <w:b/>
                <w:sz w:val="22"/>
                <w:szCs w:val="22"/>
              </w:rPr>
              <w:t xml:space="preserve"> </w:t>
            </w:r>
            <w:r>
              <w:rPr>
                <w:rFonts w:ascii="맑은 고딕" w:eastAsia="맑은 고딕" w:hAnsi="맑은 고딕" w:hint="eastAsia"/>
                <w:b/>
                <w:sz w:val="22"/>
                <w:szCs w:val="22"/>
              </w:rPr>
              <w:t>델</w:t>
            </w:r>
            <w:r>
              <w:rPr>
                <w:rFonts w:ascii="맑은 고딕" w:eastAsia="맑은 고딕" w:hAnsi="맑은 고딕"/>
                <w:b/>
                <w:sz w:val="22"/>
                <w:szCs w:val="22"/>
              </w:rPr>
              <w:t xml:space="preserve"> </w:t>
            </w:r>
            <w:r>
              <w:rPr>
                <w:rFonts w:ascii="맑은 고딕" w:eastAsia="맑은 고딕" w:hAnsi="맑은 고딕" w:hint="eastAsia"/>
                <w:b/>
                <w:sz w:val="22"/>
                <w:szCs w:val="22"/>
              </w:rPr>
              <w:t>명</w:t>
            </w:r>
          </w:p>
        </w:tc>
        <w:tc>
          <w:tcPr>
            <w:tcW w:w="3257" w:type="dxa"/>
            <w:gridSpan w:val="3"/>
            <w:tcBorders>
              <w:top w:val="single" w:sz="2" w:space="0" w:color="auto"/>
              <w:left w:val="single" w:sz="2" w:space="0" w:color="auto"/>
              <w:bottom w:val="double" w:sz="2" w:space="0" w:color="auto"/>
              <w:right w:val="single" w:sz="2" w:space="0" w:color="auto"/>
            </w:tcBorders>
            <w:vAlign w:val="center"/>
          </w:tcPr>
          <w:p>
            <w:pPr>
              <w:pStyle w:val="a0"/>
              <w:jc w:val="center"/>
              <w:rPr>
                <w:rFonts w:ascii="맑은 고딕" w:eastAsia="맑은 고딕" w:hAnsi="맑은 고딕"/>
                <w:sz w:val="22"/>
                <w:szCs w:val="22"/>
              </w:rPr>
            </w:pPr>
          </w:p>
        </w:tc>
      </w:tr>
    </w:tbl>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30"/>
          <w:szCs w:val="30"/>
          <w:u w:color="auto"/>
        </w:rPr>
        <w:t>1. 개요</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프로젝트명: ROKEY Motion Prediction for Autonomous Vehicles</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임시 모델명: ROMiserabiles V1</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목표: 자율 주행 차량의 움직임을 예측하여 안전성과 효율성을 극대화하고, 사고율을 낮추며, 교통 흐름을 최적화</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개발 동기: 자율주행 기술이 발전하면서 차량이 주변 환경을 더 정확하게 인식하고 예측하는 것이 필수적임. 기존의 경로 예측 시스템은 제한적인 데이터셋을 사용하거나 정확도가 낮아 실제 도로 환경에서의 적용이 어려움. ROKEY의 딥러닝 기반 예측 시스템을 도입하여 보다 정밀한 예측을 가능하게 하고, 다양한 도로 환경에서도 적용할 수 있도록 설계.</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핵심 기술: 딥러닝 기반 경로 예측 (LSTM, Transformer 모델), 강화학습, 고해상도 지도 데이터 활용, 실시간 센서 데이터 융합</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적용 분야: 자율주행, 물류 최적화, 교통 흐름 분석</w:t>
      </w:r>
    </w:p>
    <w:p>
      <w:pPr>
        <w:rPr>
          <w:rFonts w:ascii="한컴 고딕" w:eastAsia="한컴 고딕" w:hAnsi="한컴 고딕" w:cs="한컴 고딕" w:hint="default"/>
          <w:u w:color="auto"/>
        </w:rPr>
      </w:pPr>
    </w:p>
    <w:p>
      <w:pPr>
        <w:rPr>
          <w:lang w:eastAsia="ko-KR"/>
          <w:rFonts w:ascii="한컴 고딕" w:eastAsia="한컴 고딕" w:hAnsi="한컴 고딕" w:cs="한컴 고딕" w:hint="eastAsia"/>
          <w:u w:color="auto"/>
          <w:rtl w:val="off"/>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30"/>
          <w:szCs w:val="30"/>
          <w:u w:color="auto"/>
        </w:rPr>
        <w:t>2. 시장 분석</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시장 규모: 글로벌 자율주행 시장은 2025년까지 약 1,730억 달러 규모로 성장 예상, 연평균 20% 성장 전망</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수요 분석: 대형 자동차 제조업체, 자율주행 기술 기업, 스마트시티 개발 프로젝트에서 필수적으로 요구됨</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경쟁 제품 비교:</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한국: 현대 모비스 'M.Brain' - 생체 신호 기반 자율주행 기술, 운전자 모니터링 시스템 적용</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미국: Waymo Motion Forecasting - 딥러닝 기반 실시간 차량 및 보행자 움직임 예측, Google 지도와 연동</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중국: Baidu Apollo Motion Prediction - 고해상도 지도 기반 AI 학습, 대규모 데이터셋 활용</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일본: Toyota TRI-AD - 자율주행 모션 예측 및 AI 기반 최적 경로 탐색 기술 개발</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국내 기술 현황 및 사업 타당성:</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현재 국내에는 딥러닝 기반 실시간 차량 및 보행자 예측을 활용한 자율주행 기술이 본격적으로 상용화되지 않음.</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기존의 예측 시스템은 정적인 지도 기반 경로 안내 또는 간단한 AI 보조 운전 기술이 주를 이루며, 실시간 데이터 융합 및 고정밀 예측이 미흡함.</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ROKEY의 ROMiserabiles 모델을 통해 국내 기업들이 보다 정밀한 자율주행 기술을 도입할 수 있도록 지원할 수 있으며, 글로벌 경쟁력을 확보할 기회가 존재함.</w:t>
      </w:r>
    </w:p>
    <w:p>
      <w:pPr>
        <w:rPr>
          <w:rFonts w:ascii="한컴 고딕" w:eastAsia="한컴 고딕" w:hAnsi="한컴 고딕" w:cs="한컴 고딕" w:hint="default"/>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30"/>
          <w:szCs w:val="30"/>
          <w:u w:color="auto"/>
        </w:rPr>
        <w:t>3. 비즈니스 모델 및 시장 규모</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B2B 판매: 자동차 제조사 및 자율주행 소프트웨어 기업 대상 라이선스 제공</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API 서비스: 클라우드 기반 실시간 모션 예측 API 제공</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데이터 서비스: 학습된 데이터셋 판매 및 맞춤형 데이터 분석 서비스 제공</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시장 규모:</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2024년 글로벌 자율주행 소프트웨어 시장은 750억 달러, 2030년까지 2,000억 달러 성장 예상</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sz w:val="24"/>
          <w:szCs w:val="24"/>
          <w:u w:color="auto"/>
        </w:rPr>
      </w:pPr>
      <w:r>
        <w:rPr>
          <w:rFonts w:ascii="한컴 고딕" w:eastAsia="한컴 고딕" w:hAnsi="한컴 고딕" w:cs="한컴 고딕" w:hint="default"/>
          <w:sz w:val="24"/>
          <w:szCs w:val="24"/>
          <w:u w:color="auto"/>
        </w:rPr>
        <w:t>주요 고객: 자동차 제조사 (현대, 테슬라, 도요타 등), 물류 기업 (Amazon, UPS), 스마트시티 개발 프로젝트</w:t>
      </w:r>
    </w:p>
    <w:p>
      <w:pPr>
        <w:rPr>
          <w:rFonts w:ascii="한컴 고딕" w:eastAsia="한컴 고딕" w:hAnsi="한컴 고딕" w:cs="한컴 고딕" w:hint="default"/>
          <w:sz w:val="24"/>
          <w:szCs w:val="24"/>
          <w:u w:color="auto"/>
        </w:rPr>
      </w:pPr>
    </w:p>
    <w:p>
      <w:pPr>
        <w:rPr>
          <w:rFonts w:ascii="한컴 고딕" w:eastAsia="한컴 고딕" w:hAnsi="한컴 고딕" w:cs="한컴 고딕" w:hint="default"/>
          <w:u w:color="auto"/>
        </w:rPr>
      </w:pPr>
      <w:r>
        <w:rPr>
          <w:rFonts w:ascii="한컴 고딕" w:eastAsia="한컴 고딕" w:hAnsi="한컴 고딕" w:cs="한컴 고딕" w:hint="default"/>
          <w:sz w:val="24"/>
          <w:szCs w:val="24"/>
          <w:u w:color="auto"/>
        </w:rPr>
        <w:t>아시아 시장 성장률: 25% 이상, 미국 및 유럽 대비 빠른 성장 예상</w:t>
      </w:r>
    </w:p>
    <w:sectPr>
      <w:pgSz w:w="11906" w:h="16838"/>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한컴 고딕">
    <w:panose1 w:val="02000500000000000000"/>
    <w:notTrueType w:val="false"/>
    <w:sig w:usb0="900002A7" w:usb1="39D7FCFB" w:usb2="00000010" w:usb3="00000001" w:csb0="00080001" w:csb1="00000001"/>
  </w:font>
  <w:font w:name="Times New Roman">
    <w:panose1 w:val="02020603050405020304"/>
    <w:family w:val="roman"/>
    <w:charset w:val="00"/>
    <w:notTrueType w:val="false"/>
    <w:sig w:usb0="E0002EFF" w:usb1="C000785B" w:usb2="00000009" w:usb3="00000001" w:csb0="400001FF" w:csb1="FFFF0000"/>
  </w:font>
  <w:font w:name="바탕">
    <w:panose1 w:val="02030600000101010101"/>
    <w:notTrueType w:val="false"/>
    <w:sig w:usb0="B00002AF" w:usb1="69D77CFB" w:usb2="00000030" w:usb3="00000001" w:csb0="4008009F" w:csb1="DFD70000"/>
  </w:font>
  <w:font w:name="돋움">
    <w:panose1 w:val="020B060000010101010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 w:hAnsi="Times New Roman" w:cs="Times New Roma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jc w:val="both"/>
    </w:pPr>
    <w:rPr>
      <w:rFonts w:ascii="바탕"/>
      <w:kern w:val="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s0"/>
    <w:pPr>
      <w:adjustRightInd/>
      <w:autoSpaceDE w:val="off"/>
      <w:autoSpaceDN w:val="off"/>
      <w:widowControl w:val="off"/>
    </w:pPr>
    <w:rPr>
      <w:rFonts w:ascii="돋움" w:eastAsia="돋움"/>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dirkf</dc:creator>
  <cp:keywords/>
  <dc:description/>
  <cp:lastModifiedBy>dirkf</cp:lastModifiedBy>
  <cp:revision>1</cp:revision>
  <dcterms:modified xsi:type="dcterms:W3CDTF">2025-02-25T11:05:06Z</dcterms:modified>
  <cp:version>1200.0100.01</cp:version>
</cp:coreProperties>
</file>