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3352" w14:textId="1843771A" w:rsidR="007B5131" w:rsidRPr="007F1624" w:rsidRDefault="00B0268F" w:rsidP="00E22F9A">
      <w:pPr>
        <w:spacing w:after="0" w:line="240" w:lineRule="auto"/>
        <w:rPr>
          <w:rFonts w:ascii="Times" w:eastAsia="Times New Roman" w:hAnsi="Times" w:cs="Times"/>
          <w:b/>
          <w:bCs/>
          <w:color w:val="000000"/>
          <w:sz w:val="24"/>
          <w:szCs w:val="24"/>
        </w:rPr>
      </w:pPr>
      <w:r>
        <w:rPr>
          <w:rFonts w:ascii="Times" w:eastAsia="Times New Roman" w:hAnsi="Times" w:cs="Times"/>
          <w:b/>
          <w:bCs/>
          <w:color w:val="000000"/>
          <w:sz w:val="24"/>
          <w:szCs w:val="24"/>
        </w:rPr>
        <w:t xml:space="preserve">Estudio de la cinética </w:t>
      </w:r>
      <w:r w:rsidR="006E3181">
        <w:rPr>
          <w:rFonts w:ascii="Times" w:eastAsia="Times New Roman" w:hAnsi="Times" w:cs="Times"/>
          <w:b/>
          <w:bCs/>
          <w:color w:val="000000"/>
          <w:sz w:val="24"/>
          <w:szCs w:val="24"/>
        </w:rPr>
        <w:t xml:space="preserve">enzimática de la </w:t>
      </w:r>
      <w:r w:rsidR="00EF1833">
        <w:rPr>
          <w:rFonts w:ascii="Times" w:eastAsia="Times New Roman" w:hAnsi="Times" w:cs="Times"/>
          <w:b/>
          <w:bCs/>
          <w:color w:val="000000"/>
          <w:sz w:val="24"/>
          <w:szCs w:val="24"/>
        </w:rPr>
        <w:t>α</w:t>
      </w:r>
      <w:r w:rsidR="006A017E">
        <w:rPr>
          <w:rFonts w:ascii="Times" w:eastAsia="Times New Roman" w:hAnsi="Times" w:cs="Times"/>
          <w:b/>
          <w:bCs/>
          <w:color w:val="000000"/>
          <w:sz w:val="24"/>
          <w:szCs w:val="24"/>
        </w:rPr>
        <w:t xml:space="preserve"> – amilasa </w:t>
      </w:r>
    </w:p>
    <w:p w14:paraId="34C10DB3" w14:textId="3998B48C" w:rsidR="00E22F9A" w:rsidRPr="007F1624" w:rsidRDefault="45EF3CC4" w:rsidP="45EF3CC4">
      <w:pPr>
        <w:spacing w:after="0" w:line="240" w:lineRule="auto"/>
        <w:jc w:val="both"/>
        <w:rPr>
          <w:rFonts w:ascii="Times" w:eastAsia="Times New Roman" w:hAnsi="Times" w:cs="Times"/>
          <w:sz w:val="24"/>
          <w:szCs w:val="24"/>
        </w:rPr>
      </w:pPr>
      <w:r w:rsidRPr="45EF3CC4">
        <w:rPr>
          <w:rFonts w:ascii="Times" w:eastAsia="Times New Roman" w:hAnsi="Times" w:cs="Times"/>
          <w:color w:val="000000" w:themeColor="text1"/>
        </w:rPr>
        <w:t>José Manuel Parra Claros</w:t>
      </w:r>
      <w:r w:rsidRPr="45EF3CC4">
        <w:rPr>
          <w:rFonts w:ascii="Times" w:eastAsia="Times New Roman" w:hAnsi="Times" w:cs="Times"/>
          <w:color w:val="0000FF"/>
          <w:vertAlign w:val="superscript"/>
        </w:rPr>
        <w:t>†</w:t>
      </w:r>
      <w:r w:rsidRPr="45EF3CC4">
        <w:rPr>
          <w:rFonts w:ascii="Times" w:eastAsia="Times New Roman" w:hAnsi="Times" w:cs="Times"/>
          <w:color w:val="000000" w:themeColor="text1"/>
        </w:rPr>
        <w:t>, Camilos Vásquez Rodríguez</w:t>
      </w:r>
      <w:r w:rsidRPr="45EF3CC4">
        <w:rPr>
          <w:rFonts w:ascii="Times" w:eastAsia="Times New Roman" w:hAnsi="Times" w:cs="Times"/>
          <w:color w:val="0000FF"/>
          <w:vertAlign w:val="superscript"/>
        </w:rPr>
        <w:t>†</w:t>
      </w:r>
      <w:r w:rsidRPr="45EF3CC4">
        <w:rPr>
          <w:rFonts w:ascii="Times" w:eastAsia="Times New Roman" w:hAnsi="Times" w:cs="Times"/>
          <w:sz w:val="24"/>
          <w:szCs w:val="24"/>
        </w:rPr>
        <w:t xml:space="preserve">, </w:t>
      </w:r>
      <w:r w:rsidRPr="45EF3CC4">
        <w:rPr>
          <w:rFonts w:ascii="Times" w:eastAsia="Times New Roman" w:hAnsi="Times" w:cs="Times"/>
          <w:color w:val="000000" w:themeColor="text1"/>
        </w:rPr>
        <w:t>Juan Sebastián Barbosa</w:t>
      </w:r>
      <w:r w:rsidRPr="45EF3CC4">
        <w:rPr>
          <w:rFonts w:ascii="Times" w:eastAsia="Times New Roman" w:hAnsi="Times" w:cs="Times"/>
          <w:color w:val="0000FF"/>
          <w:vertAlign w:val="superscript"/>
        </w:rPr>
        <w:t>†</w:t>
      </w:r>
    </w:p>
    <w:p w14:paraId="6D376185" w14:textId="467AE5FB" w:rsidR="00E22F9A" w:rsidRPr="007F1624" w:rsidRDefault="00E22F9A" w:rsidP="00E22F9A">
      <w:pPr>
        <w:spacing w:after="0" w:line="240" w:lineRule="auto"/>
        <w:jc w:val="both"/>
        <w:rPr>
          <w:rFonts w:ascii="Times" w:eastAsia="Times New Roman" w:hAnsi="Times" w:cs="Times"/>
          <w:color w:val="000000"/>
          <w:sz w:val="20"/>
          <w:szCs w:val="20"/>
        </w:rPr>
      </w:pPr>
      <w:r w:rsidRPr="007F1624">
        <w:rPr>
          <w:rFonts w:ascii="Times" w:eastAsia="Times New Roman" w:hAnsi="Times" w:cs="Times"/>
          <w:color w:val="000000"/>
          <w:sz w:val="20"/>
          <w:szCs w:val="20"/>
        </w:rPr>
        <w:t>Departamento de Química, Facultad de Ciencias, Universidad de los Andes, Bogotá, Colombia</w:t>
      </w:r>
    </w:p>
    <w:p w14:paraId="00A50ED3" w14:textId="77777777" w:rsidR="00E22F9A" w:rsidRPr="007F1624" w:rsidRDefault="00E22F9A" w:rsidP="00E22F9A">
      <w:pPr>
        <w:spacing w:after="0" w:line="240" w:lineRule="auto"/>
        <w:jc w:val="both"/>
        <w:rPr>
          <w:rFonts w:ascii="Times" w:eastAsia="Times New Roman" w:hAnsi="Times" w:cs="Times"/>
          <w:sz w:val="24"/>
          <w:szCs w:val="24"/>
        </w:rPr>
      </w:pPr>
    </w:p>
    <w:tbl>
      <w:tblPr>
        <w:tblW w:w="10117" w:type="dxa"/>
        <w:tblCellMar>
          <w:top w:w="15" w:type="dxa"/>
          <w:left w:w="15" w:type="dxa"/>
          <w:bottom w:w="15" w:type="dxa"/>
          <w:right w:w="15" w:type="dxa"/>
        </w:tblCellMar>
        <w:tblLook w:val="04A0" w:firstRow="1" w:lastRow="0" w:firstColumn="1" w:lastColumn="0" w:noHBand="0" w:noVBand="1"/>
      </w:tblPr>
      <w:tblGrid>
        <w:gridCol w:w="10117"/>
      </w:tblGrid>
      <w:tr w:rsidR="0091232F" w:rsidRPr="007F1624" w14:paraId="5E877D2D" w14:textId="77777777" w:rsidTr="45EF3CC4">
        <w:trPr>
          <w:trHeight w:val="397"/>
        </w:trPr>
        <w:tc>
          <w:tcPr>
            <w:tcW w:w="0" w:type="auto"/>
            <w:tcBorders>
              <w:top w:val="single" w:sz="12" w:space="0" w:color="7B8CB9"/>
              <w:left w:val="single" w:sz="12" w:space="0" w:color="FFFFFF" w:themeColor="background1"/>
              <w:bottom w:val="single" w:sz="12" w:space="0" w:color="7B8CB9"/>
              <w:right w:val="single" w:sz="12" w:space="0" w:color="FFFFFF" w:themeColor="background1"/>
            </w:tcBorders>
            <w:shd w:val="clear" w:color="auto" w:fill="FFE599" w:themeFill="accent4" w:themeFillTint="66"/>
            <w:tcMar>
              <w:top w:w="100" w:type="dxa"/>
              <w:left w:w="100" w:type="dxa"/>
              <w:bottom w:w="100" w:type="dxa"/>
              <w:right w:w="100" w:type="dxa"/>
            </w:tcMar>
            <w:hideMark/>
          </w:tcPr>
          <w:p w14:paraId="3EF54601" w14:textId="035ABC47" w:rsidR="0091232F" w:rsidRPr="007F1624" w:rsidRDefault="00E22F9A" w:rsidP="0091232F">
            <w:pPr>
              <w:jc w:val="both"/>
              <w:rPr>
                <w:rFonts w:ascii="Times" w:hAnsi="Times" w:cs="Times"/>
                <w:sz w:val="20"/>
                <w:szCs w:val="20"/>
              </w:rPr>
            </w:pPr>
            <w:r w:rsidRPr="007F1624">
              <w:rPr>
                <w:rFonts w:ascii="Times" w:eastAsia="Times New Roman" w:hAnsi="Times" w:cs="Times"/>
                <w:b/>
                <w:color w:val="074B8F"/>
                <w:sz w:val="20"/>
                <w:szCs w:val="20"/>
              </w:rPr>
              <w:t>RESUMEN:</w:t>
            </w:r>
            <w:r w:rsidR="00036F4E" w:rsidRPr="007F1624">
              <w:rPr>
                <w:rFonts w:ascii="Times" w:eastAsia="Times New Roman" w:hAnsi="Times" w:cs="Times"/>
                <w:b/>
                <w:color w:val="074B8F"/>
                <w:sz w:val="20"/>
                <w:szCs w:val="20"/>
              </w:rPr>
              <w:t xml:space="preserve"> </w:t>
            </w:r>
            <w:r w:rsidR="0091232F" w:rsidRPr="007F1624">
              <w:rPr>
                <w:rFonts w:ascii="Times" w:hAnsi="Times" w:cs="Times"/>
                <w:sz w:val="20"/>
                <w:szCs w:val="20"/>
              </w:rPr>
              <w:t xml:space="preserve"> </w:t>
            </w:r>
            <w:r w:rsidR="00036F4E" w:rsidRPr="007F1624">
              <w:rPr>
                <w:rFonts w:ascii="Times" w:hAnsi="Times" w:cs="Times"/>
                <w:sz w:val="20"/>
                <w:szCs w:val="20"/>
              </w:rPr>
              <w:t xml:space="preserve">El resumen debe contar con 5 componentes principales: Introducción, objetivo principal, resumen de metodología, resultados principales y las conclusiones más relevantes. Se recomienda no extenderse </w:t>
            </w:r>
            <w:r w:rsidR="00047923">
              <w:rPr>
                <w:rFonts w:ascii="Times" w:hAnsi="Times" w:cs="Times"/>
                <w:sz w:val="20"/>
                <w:szCs w:val="20"/>
              </w:rPr>
              <w:t xml:space="preserve">más </w:t>
            </w:r>
            <w:r w:rsidR="00036F4E" w:rsidRPr="007F1624">
              <w:rPr>
                <w:rFonts w:ascii="Times" w:hAnsi="Times" w:cs="Times"/>
                <w:sz w:val="20"/>
                <w:szCs w:val="20"/>
              </w:rPr>
              <w:t xml:space="preserve">300 palabras. Recuerden que este siempre será </w:t>
            </w:r>
            <w:r w:rsidR="0091232F" w:rsidRPr="007F1624">
              <w:rPr>
                <w:rFonts w:ascii="Times" w:hAnsi="Times" w:cs="Times"/>
                <w:sz w:val="20"/>
                <w:szCs w:val="20"/>
              </w:rPr>
              <w:t xml:space="preserve">en inglés </w:t>
            </w:r>
          </w:p>
          <w:p w14:paraId="57367085" w14:textId="51B171E7" w:rsidR="00E22F9A" w:rsidRPr="007F1624" w:rsidRDefault="00E22F9A" w:rsidP="004B6B60">
            <w:pPr>
              <w:jc w:val="both"/>
              <w:rPr>
                <w:rFonts w:ascii="Times" w:hAnsi="Times" w:cs="Times"/>
                <w:sz w:val="20"/>
                <w:szCs w:val="20"/>
              </w:rPr>
            </w:pPr>
          </w:p>
        </w:tc>
      </w:tr>
    </w:tbl>
    <w:p w14:paraId="0EDA0B01" w14:textId="77777777" w:rsidR="00E22F9A" w:rsidRPr="007F1624" w:rsidRDefault="00E22F9A" w:rsidP="00E22F9A">
      <w:pPr>
        <w:spacing w:after="0" w:line="240" w:lineRule="auto"/>
        <w:jc w:val="both"/>
        <w:rPr>
          <w:rFonts w:ascii="Times" w:eastAsia="Times New Roman" w:hAnsi="Times" w:cs="Times"/>
          <w:sz w:val="20"/>
          <w:szCs w:val="20"/>
        </w:rPr>
        <w:sectPr w:rsidR="00E22F9A" w:rsidRPr="007F1624" w:rsidSect="00FE768C">
          <w:footerReference w:type="default" r:id="rId7"/>
          <w:footerReference w:type="first" r:id="rId8"/>
          <w:pgSz w:w="12240" w:h="15840"/>
          <w:pgMar w:top="1440" w:right="1080" w:bottom="1440" w:left="1080" w:header="708" w:footer="708" w:gutter="0"/>
          <w:cols w:space="708"/>
          <w:titlePg/>
          <w:docGrid w:linePitch="360"/>
        </w:sectPr>
      </w:pPr>
    </w:p>
    <w:p w14:paraId="760572F5" w14:textId="4DD99370" w:rsidR="006C1BA1" w:rsidRPr="007F1624" w:rsidRDefault="006C1BA1" w:rsidP="006C1BA1">
      <w:pPr>
        <w:jc w:val="both"/>
        <w:rPr>
          <w:rFonts w:ascii="Times" w:hAnsi="Times" w:cs="Times"/>
          <w:sz w:val="20"/>
        </w:rPr>
      </w:pPr>
      <w:r>
        <w:rPr>
          <w:rFonts w:ascii="Times" w:hAnsi="Times" w:cs="Times"/>
          <w:color w:val="2E74B5" w:themeColor="accent1" w:themeShade="BF"/>
          <w:position w:val="-4"/>
          <w:sz w:val="48"/>
          <w:szCs w:val="50"/>
        </w:rPr>
        <w:t>L</w:t>
      </w:r>
      <w:r w:rsidR="00097EDD">
        <w:rPr>
          <w:rFonts w:ascii="Times" w:hAnsi="Times" w:cs="Times"/>
          <w:sz w:val="20"/>
        </w:rPr>
        <w:t>a</w:t>
      </w:r>
      <w:r>
        <w:rPr>
          <w:rFonts w:ascii="Times" w:hAnsi="Times" w:cs="Times"/>
          <w:sz w:val="20"/>
        </w:rPr>
        <w:t xml:space="preserve"> α – amilasa </w:t>
      </w:r>
      <w:r w:rsidR="00F04ADF">
        <w:rPr>
          <w:rFonts w:ascii="Times" w:hAnsi="Times" w:cs="Times"/>
          <w:sz w:val="20"/>
        </w:rPr>
        <w:t xml:space="preserve">es una enzima encargada de catalizador </w:t>
      </w:r>
      <w:r w:rsidR="00092E3E">
        <w:rPr>
          <w:rFonts w:ascii="Times" w:hAnsi="Times" w:cs="Times"/>
          <w:sz w:val="20"/>
        </w:rPr>
        <w:t>la hidrólisis de los enlaces alfa glucosídicos, presentes en los polisacáridos alfa glucosídicos de alto peso molecula</w:t>
      </w:r>
      <w:r w:rsidR="00195BB2">
        <w:rPr>
          <w:rFonts w:ascii="Times" w:hAnsi="Times" w:cs="Times"/>
          <w:sz w:val="20"/>
        </w:rPr>
        <w:t xml:space="preserve">r, </w:t>
      </w:r>
      <w:r w:rsidR="00D534F9">
        <w:rPr>
          <w:rFonts w:ascii="Times" w:hAnsi="Times" w:cs="Times"/>
          <w:sz w:val="20"/>
        </w:rPr>
        <w:t>tales como el almidón y gluc</w:t>
      </w:r>
      <w:r w:rsidR="0044360E">
        <w:rPr>
          <w:rFonts w:ascii="Times" w:hAnsi="Times" w:cs="Times"/>
          <w:sz w:val="20"/>
        </w:rPr>
        <w:t>ógeno</w:t>
      </w:r>
      <w:r w:rsidR="00D534F9">
        <w:rPr>
          <w:rFonts w:ascii="Times" w:hAnsi="Times" w:cs="Times"/>
          <w:sz w:val="20"/>
        </w:rPr>
        <w:t>, liberando así</w:t>
      </w:r>
      <w:r w:rsidR="0044360E">
        <w:rPr>
          <w:rFonts w:ascii="Times" w:hAnsi="Times" w:cs="Times"/>
          <w:sz w:val="20"/>
        </w:rPr>
        <w:t xml:space="preserve"> glucosa y maltosa.</w:t>
      </w:r>
      <w:r w:rsidR="00EE4051">
        <w:rPr>
          <w:rFonts w:ascii="Times" w:hAnsi="Times" w:cs="Times"/>
          <w:sz w:val="20"/>
        </w:rPr>
        <w:fldChar w:fldCharType="begin"/>
      </w:r>
      <w:r w:rsidR="00EE4051">
        <w:rPr>
          <w:rFonts w:ascii="Times" w:hAnsi="Times" w:cs="Times"/>
          <w:sz w:val="20"/>
        </w:rPr>
        <w:instrText xml:space="preserve"> ADDIN ZOTERO_ITEM CSL_CITATION {"citationID":"qbTDCpir","properties":{"formattedCitation":"\\super 1,2\\nosupersub{}","plainCitation":"1,2","noteIndex":0},"citationItems":[{"id":77,"uris":["http://zotero.org/users/local/nebPMONs/items/BMXL9CKC"],"uri":["http://zotero.org/users/local/nebPMONs/items/BMXL9CKC"],"itemData":{"id":77,"type":"article-journal","title":"The mechanism of action of salivary amylase: A simple undergraduate experiment","container-title":"Journal of Chemical Education","page":"423","volume":"56","issue":"6","source":"Crossref","DOI":"10.1021/ed056p423","ISSN":"0021-9584, 1938-1328","shortTitle":"The mechanism of action of salivary amylase","language":"en","author":[{"family":"Rungruangsak","given":"Krisna"},{"family":"Panijpan","given":"Bhinyo"}],"issued":{"date-parts":[["1979",6]]}}},{"id":96,"uris":["http://zotero.org/users/local/nebPMONs/items/UDHKXICF"],"uri":["http://zotero.org/users/local/nebPMONs/items/UDHKXICF"],"itemData":{"id":96,"type":"webpage","title":"Structure of human salivary alpha-amylase at 1.6 A resolution: implications for its role in the oral cavity. - PubMed - NCBI","abstract":"Acta Crystallogr D Biol Crystallogr. 1996 May 1;52(Pt 3):435-46.","URL":"https://www.ncbi.nlm.nih.gov/pubmed/15299664","shortTitle":"Structure of human salivary alpha-amylase at 1.6 A resolution","language":"en","author":[{"family":"al","given":"Ramasubbu N.","suffix":"et"}],"accessed":{"date-parts":[["2019",2,24]]}}}],"schema":"https://github.com/citation-style-language/schema/raw/master/csl-citation.json"} </w:instrText>
      </w:r>
      <w:r w:rsidR="00EE4051">
        <w:rPr>
          <w:rFonts w:ascii="Times" w:hAnsi="Times" w:cs="Times"/>
          <w:sz w:val="20"/>
        </w:rPr>
        <w:fldChar w:fldCharType="separate"/>
      </w:r>
      <w:r w:rsidR="00EE4051" w:rsidRPr="00EE4051">
        <w:rPr>
          <w:rFonts w:ascii="Times" w:hAnsi="Times" w:cs="Times"/>
          <w:sz w:val="20"/>
          <w:szCs w:val="24"/>
          <w:vertAlign w:val="superscript"/>
        </w:rPr>
        <w:t>1,2</w:t>
      </w:r>
      <w:r w:rsidR="00EE4051">
        <w:rPr>
          <w:rFonts w:ascii="Times" w:hAnsi="Times" w:cs="Times"/>
          <w:sz w:val="20"/>
        </w:rPr>
        <w:fldChar w:fldCharType="end"/>
      </w:r>
      <w:r w:rsidR="00EE4051">
        <w:rPr>
          <w:rFonts w:ascii="Times" w:hAnsi="Times" w:cs="Times"/>
          <w:sz w:val="20"/>
        </w:rPr>
        <w:t xml:space="preserve"> </w:t>
      </w:r>
      <w:r w:rsidR="00160D73">
        <w:rPr>
          <w:rFonts w:ascii="Times" w:hAnsi="Times" w:cs="Times"/>
          <w:sz w:val="20"/>
        </w:rPr>
        <w:t xml:space="preserve">El mecanismo de dicha enzima es un tema de estudio aún, sin embargo se conoce que se encarga de romper los enlaces 1,6 α – glucosídicos, presentes en diferentes </w:t>
      </w:r>
      <w:r w:rsidR="00F35040">
        <w:rPr>
          <w:rFonts w:ascii="Times" w:hAnsi="Times" w:cs="Times"/>
          <w:sz w:val="20"/>
        </w:rPr>
        <w:t xml:space="preserve">matrices de estudio, tales como la saliva humana. Sin embargo, este tipo de enzima </w:t>
      </w:r>
      <w:r w:rsidR="00864ADD">
        <w:rPr>
          <w:rFonts w:ascii="Times" w:hAnsi="Times" w:cs="Times"/>
          <w:sz w:val="20"/>
        </w:rPr>
        <w:t xml:space="preserve">se encuentra en otros diferentes compuestos tales como </w:t>
      </w:r>
      <w:r w:rsidR="008604BF">
        <w:rPr>
          <w:rFonts w:ascii="Times" w:hAnsi="Times" w:cs="Times"/>
          <w:sz w:val="20"/>
        </w:rPr>
        <w:t>semillas, las cuales contienen almidón como reserva alimenticia, además de ser se</w:t>
      </w:r>
      <w:r w:rsidR="00ED316C">
        <w:rPr>
          <w:rFonts w:ascii="Times" w:hAnsi="Times" w:cs="Times"/>
          <w:sz w:val="20"/>
        </w:rPr>
        <w:t>cretada por muchos hongos.</w:t>
      </w:r>
      <w:r w:rsidR="0044360E">
        <w:rPr>
          <w:rFonts w:ascii="Times" w:hAnsi="Times" w:cs="Times"/>
          <w:sz w:val="20"/>
        </w:rPr>
        <w:t xml:space="preserve"> </w:t>
      </w:r>
      <w:r w:rsidR="00D534F9">
        <w:rPr>
          <w:rFonts w:ascii="Times" w:hAnsi="Times" w:cs="Times"/>
          <w:sz w:val="20"/>
        </w:rPr>
        <w:t xml:space="preserve"> </w:t>
      </w:r>
    </w:p>
    <w:p w14:paraId="06414525" w14:textId="56A779D4" w:rsidR="00531982" w:rsidRPr="007F1624" w:rsidRDefault="00531982" w:rsidP="006313E7">
      <w:pPr>
        <w:jc w:val="both"/>
        <w:rPr>
          <w:rFonts w:ascii="Times" w:hAnsi="Times" w:cs="Times"/>
          <w:sz w:val="20"/>
        </w:rPr>
      </w:pPr>
      <w:r w:rsidRPr="007F1624">
        <w:rPr>
          <w:rFonts w:ascii="Times" w:hAnsi="Times" w:cs="Times"/>
          <w:sz w:val="20"/>
        </w:rPr>
        <w:t>introducción debe tener los objetivos de</w:t>
      </w:r>
      <w:r w:rsidR="00E566B8" w:rsidRPr="007F1624">
        <w:rPr>
          <w:rFonts w:ascii="Times" w:hAnsi="Times" w:cs="Times"/>
          <w:sz w:val="20"/>
        </w:rPr>
        <w:t xml:space="preserve">l laboratorio. </w:t>
      </w:r>
    </w:p>
    <w:tbl>
      <w:tblPr>
        <w:tblW w:w="46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624"/>
      </w:tblGrid>
      <w:tr w:rsidR="008B1DA1" w:rsidRPr="007F1624" w14:paraId="51AC0364" w14:textId="77777777" w:rsidTr="45EF3CC4">
        <w:trPr>
          <w:trHeight w:val="721"/>
        </w:trPr>
        <w:tc>
          <w:tcPr>
            <w:tcW w:w="0" w:type="auto"/>
            <w:tcBorders>
              <w:top w:val="single" w:sz="12" w:space="0" w:color="7B8CB9"/>
              <w:left w:val="single" w:sz="12" w:space="0" w:color="FFFFFF" w:themeColor="background1"/>
              <w:bottom w:val="single" w:sz="12" w:space="0" w:color="7B8CB9"/>
              <w:right w:val="single" w:sz="12" w:space="0" w:color="FFFFFF" w:themeColor="background1"/>
            </w:tcBorders>
            <w:shd w:val="clear" w:color="auto" w:fill="FFFFFF" w:themeFill="background1"/>
            <w:tcMar>
              <w:top w:w="100" w:type="dxa"/>
              <w:left w:w="100" w:type="dxa"/>
              <w:bottom w:w="100" w:type="dxa"/>
              <w:right w:w="100" w:type="dxa"/>
            </w:tcMar>
            <w:hideMark/>
          </w:tcPr>
          <w:p w14:paraId="1D7E20CA" w14:textId="2FC3CAB0" w:rsidR="00136972" w:rsidRPr="007F1624" w:rsidRDefault="00CE7E8A" w:rsidP="00136972">
            <w:pPr>
              <w:spacing w:after="0" w:line="240" w:lineRule="auto"/>
              <w:jc w:val="center"/>
              <w:rPr>
                <w:rFonts w:ascii="Times" w:eastAsia="Times New Roman" w:hAnsi="Times" w:cs="Times"/>
                <w:color w:val="000000"/>
                <w:sz w:val="20"/>
                <w:szCs w:val="20"/>
              </w:rPr>
            </w:pPr>
            <w:r w:rsidRPr="007F1624">
              <w:rPr>
                <w:rFonts w:ascii="Times" w:hAnsi="Times" w:cs="Times"/>
              </w:rPr>
              <w:object w:dxaOrig="1820" w:dyaOrig="1650" w14:anchorId="2222E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82.2pt" o:ole="">
                  <v:imagedata r:id="rId9" o:title=""/>
                </v:shape>
                <o:OLEObject Type="Embed" ProgID="PBrush" ShapeID="_x0000_i1025" DrawAspect="Content" ObjectID="_1612550967" r:id="rId10"/>
              </w:object>
            </w:r>
          </w:p>
          <w:p w14:paraId="02109836" w14:textId="451FA9EF" w:rsidR="008B1DA1" w:rsidRPr="007F1624" w:rsidRDefault="00C96CB6" w:rsidP="004B6B60">
            <w:pPr>
              <w:spacing w:after="0" w:line="240" w:lineRule="auto"/>
              <w:jc w:val="both"/>
              <w:rPr>
                <w:rFonts w:ascii="Times" w:eastAsia="Times New Roman" w:hAnsi="Times" w:cs="Times"/>
                <w:color w:val="000000"/>
                <w:sz w:val="16"/>
                <w:szCs w:val="20"/>
              </w:rPr>
            </w:pPr>
            <w:r w:rsidRPr="007F1624">
              <w:rPr>
                <w:rFonts w:ascii="Times" w:eastAsia="Times New Roman" w:hAnsi="Times" w:cs="Times"/>
                <w:b/>
                <w:i/>
                <w:color w:val="000000"/>
                <w:sz w:val="18"/>
                <w:szCs w:val="20"/>
              </w:rPr>
              <w:t xml:space="preserve">Figura </w:t>
            </w:r>
            <w:r w:rsidR="00313A84" w:rsidRPr="007F1624">
              <w:rPr>
                <w:rFonts w:ascii="Times" w:eastAsia="Times New Roman" w:hAnsi="Times" w:cs="Times"/>
                <w:b/>
                <w:i/>
                <w:color w:val="000000"/>
                <w:sz w:val="18"/>
                <w:szCs w:val="20"/>
              </w:rPr>
              <w:t>x</w:t>
            </w:r>
            <w:r w:rsidR="008B1DA1" w:rsidRPr="007F1624">
              <w:rPr>
                <w:rFonts w:ascii="Times" w:eastAsia="Times New Roman" w:hAnsi="Times" w:cs="Times"/>
                <w:b/>
                <w:color w:val="000000"/>
                <w:sz w:val="18"/>
                <w:szCs w:val="20"/>
              </w:rPr>
              <w:t>.</w:t>
            </w:r>
            <w:r w:rsidR="00313A84" w:rsidRPr="007F1624">
              <w:rPr>
                <w:rFonts w:ascii="Times" w:eastAsia="Times New Roman" w:hAnsi="Times" w:cs="Times"/>
                <w:b/>
                <w:color w:val="000000"/>
                <w:sz w:val="18"/>
                <w:szCs w:val="20"/>
              </w:rPr>
              <w:t xml:space="preserve"> </w:t>
            </w:r>
            <w:r w:rsidR="00313A84" w:rsidRPr="007F1624">
              <w:rPr>
                <w:rFonts w:ascii="Times" w:eastAsia="Times New Roman" w:hAnsi="Times" w:cs="Times"/>
                <w:color w:val="000000"/>
                <w:sz w:val="18"/>
                <w:szCs w:val="20"/>
              </w:rPr>
              <w:t>Descripción de figura</w:t>
            </w:r>
            <w:r w:rsidR="008B1DA1" w:rsidRPr="007F1624">
              <w:rPr>
                <w:rFonts w:ascii="Times" w:eastAsia="Times New Roman" w:hAnsi="Times" w:cs="Times"/>
                <w:color w:val="000000"/>
                <w:sz w:val="18"/>
                <w:szCs w:val="20"/>
              </w:rPr>
              <w:t xml:space="preserve"> </w:t>
            </w:r>
            <w:r w:rsidRPr="007F1624">
              <w:rPr>
                <w:rFonts w:ascii="Times" w:hAnsi="Times" w:cs="Times"/>
                <w:sz w:val="18"/>
                <w:szCs w:val="20"/>
              </w:rPr>
              <w:t xml:space="preserve">   </w:t>
            </w:r>
            <w:r w:rsidRPr="007F1624">
              <w:rPr>
                <w:rFonts w:ascii="Times" w:hAnsi="Times" w:cs="Times"/>
                <w:sz w:val="20"/>
                <w:szCs w:val="20"/>
              </w:rPr>
              <w:t xml:space="preserve"> </w:t>
            </w:r>
          </w:p>
        </w:tc>
      </w:tr>
    </w:tbl>
    <w:p w14:paraId="615FA7C8" w14:textId="43BFD145" w:rsidR="005B009E" w:rsidRPr="007F1624" w:rsidRDefault="005B009E" w:rsidP="00C96CB6">
      <w:pPr>
        <w:jc w:val="both"/>
        <w:rPr>
          <w:rFonts w:ascii="Times" w:hAnsi="Times" w:cs="Times"/>
          <w:sz w:val="20"/>
          <w:szCs w:val="20"/>
        </w:rPr>
      </w:pPr>
    </w:p>
    <w:p w14:paraId="059F2774" w14:textId="11BDFA3A" w:rsidR="000973CA" w:rsidRPr="009C5F7D" w:rsidRDefault="00E22F9A" w:rsidP="000973CA">
      <w:pPr>
        <w:spacing w:after="0" w:line="240" w:lineRule="auto"/>
        <w:jc w:val="both"/>
        <w:rPr>
          <w:rFonts w:ascii="Times" w:eastAsia="Times New Roman" w:hAnsi="Times" w:cs="Times"/>
          <w:color w:val="074B8F"/>
          <w:sz w:val="20"/>
          <w:szCs w:val="20"/>
        </w:rPr>
      </w:pPr>
      <w:r w:rsidRPr="007F1624">
        <w:rPr>
          <w:rFonts w:ascii="Times" w:eastAsia="MS Mincho" w:hAnsi="Times" w:cs="Times"/>
          <w:b/>
          <w:bCs/>
          <w:color w:val="074B8F"/>
          <w:sz w:val="20"/>
          <w:szCs w:val="20"/>
        </w:rPr>
        <w:t>■</w:t>
      </w:r>
      <w:r w:rsidRPr="007F1624">
        <w:rPr>
          <w:rFonts w:ascii="Times" w:eastAsia="Times New Roman" w:hAnsi="Times" w:cs="Times"/>
          <w:color w:val="074B8F"/>
          <w:sz w:val="20"/>
          <w:szCs w:val="20"/>
        </w:rPr>
        <w:t xml:space="preserve">SECCIÓN EXPERIMENTAL </w:t>
      </w:r>
    </w:p>
    <w:p w14:paraId="69C98B17" w14:textId="4616154E" w:rsidR="000973CA" w:rsidRPr="007F1624" w:rsidRDefault="008557BC" w:rsidP="00230A85">
      <w:pPr>
        <w:spacing w:after="0" w:line="240" w:lineRule="auto"/>
        <w:rPr>
          <w:rFonts w:ascii="Times" w:eastAsia="Times New Roman" w:hAnsi="Times" w:cs="Times"/>
          <w:b/>
          <w:bCs/>
          <w:color w:val="000000"/>
          <w:sz w:val="20"/>
        </w:rPr>
      </w:pPr>
      <w:r w:rsidRPr="007F1624">
        <w:rPr>
          <w:rFonts w:ascii="Times" w:eastAsia="Times New Roman" w:hAnsi="Times" w:cs="Times"/>
          <w:b/>
          <w:bCs/>
          <w:color w:val="000000"/>
          <w:sz w:val="20"/>
        </w:rPr>
        <w:t>Escritura</w:t>
      </w:r>
      <w:r w:rsidR="000973CA" w:rsidRPr="007F1624">
        <w:rPr>
          <w:rFonts w:ascii="Times" w:eastAsia="Times New Roman" w:hAnsi="Times" w:cs="Times"/>
          <w:b/>
          <w:bCs/>
          <w:color w:val="000000"/>
          <w:sz w:val="20"/>
        </w:rPr>
        <w:t xml:space="preserve"> de procedimiento experimental escrito tipo artículo</w:t>
      </w:r>
    </w:p>
    <w:p w14:paraId="43AB3E21" w14:textId="77777777" w:rsidR="000973CA" w:rsidRPr="007F1624" w:rsidRDefault="000973CA" w:rsidP="00230A85">
      <w:pPr>
        <w:spacing w:after="0" w:line="240" w:lineRule="auto"/>
        <w:rPr>
          <w:rFonts w:ascii="Times" w:eastAsia="Times New Roman" w:hAnsi="Times" w:cs="Times"/>
          <w:b/>
          <w:bCs/>
          <w:color w:val="000000"/>
          <w:sz w:val="20"/>
        </w:rPr>
      </w:pPr>
    </w:p>
    <w:p w14:paraId="33C48373" w14:textId="22CA618F" w:rsidR="005B009E" w:rsidRPr="007F1624" w:rsidRDefault="00E22F9A" w:rsidP="009E358C">
      <w:pPr>
        <w:spacing w:after="0" w:line="240" w:lineRule="auto"/>
        <w:ind w:firstLine="720"/>
        <w:jc w:val="both"/>
        <w:rPr>
          <w:rFonts w:ascii="Times" w:eastAsia="Times New Roman" w:hAnsi="Times" w:cs="Times"/>
          <w:b/>
          <w:bCs/>
          <w:color w:val="000000"/>
          <w:sz w:val="20"/>
        </w:rPr>
      </w:pPr>
      <w:r w:rsidRPr="007F1624">
        <w:rPr>
          <w:rFonts w:ascii="Times" w:eastAsia="Times New Roman" w:hAnsi="Times" w:cs="Times"/>
          <w:b/>
          <w:bCs/>
          <w:color w:val="000000"/>
          <w:sz w:val="20"/>
        </w:rPr>
        <w:t xml:space="preserve">Materiales: </w:t>
      </w:r>
      <w:r w:rsidR="00385045">
        <w:rPr>
          <w:rFonts w:ascii="Times" w:eastAsia="Times New Roman" w:hAnsi="Times" w:cs="Times"/>
          <w:bCs/>
          <w:color w:val="000000"/>
          <w:sz w:val="20"/>
        </w:rPr>
        <w:t xml:space="preserve">Una solución de buffer de fosfato pH 6.9 fue preparada disolviendo </w:t>
      </w:r>
      <w:r w:rsidR="009E358C">
        <w:rPr>
          <w:rFonts w:ascii="Times" w:eastAsia="Times New Roman" w:hAnsi="Times" w:cs="Times"/>
          <w:bCs/>
          <w:color w:val="000000"/>
          <w:sz w:val="20"/>
        </w:rPr>
        <w:t xml:space="preserve">240 mg de fosfato de sodio y 39 mg de cloruro de sodio en 100 </w:t>
      </w:r>
      <w:proofErr w:type="spellStart"/>
      <w:r w:rsidR="009E358C">
        <w:rPr>
          <w:rFonts w:ascii="Times" w:eastAsia="Times New Roman" w:hAnsi="Times" w:cs="Times"/>
          <w:bCs/>
          <w:color w:val="000000"/>
          <w:sz w:val="20"/>
        </w:rPr>
        <w:t>mL</w:t>
      </w:r>
      <w:proofErr w:type="spellEnd"/>
      <w:r w:rsidR="009E358C">
        <w:rPr>
          <w:rFonts w:ascii="Times" w:eastAsia="Times New Roman" w:hAnsi="Times" w:cs="Times"/>
          <w:bCs/>
          <w:color w:val="000000"/>
          <w:sz w:val="20"/>
        </w:rPr>
        <w:t xml:space="preserve"> de agua tipo 1. El pH fue ajustado usando hidróxido de sodio y ácido clorhídrico 1 M. Posteriormente fue realizada una solución acuosa de NaOH 2 M. Usando 60 mg de tartrato de potasio y sodio y 40 </w:t>
      </w:r>
      <w:proofErr w:type="spellStart"/>
      <w:r w:rsidR="009E358C">
        <w:rPr>
          <w:rFonts w:ascii="Times" w:eastAsia="Times New Roman" w:hAnsi="Times" w:cs="Times"/>
          <w:bCs/>
          <w:color w:val="000000"/>
          <w:sz w:val="20"/>
        </w:rPr>
        <w:t>mL</w:t>
      </w:r>
      <w:proofErr w:type="spellEnd"/>
      <w:r w:rsidR="009E358C">
        <w:rPr>
          <w:rFonts w:ascii="Times" w:eastAsia="Times New Roman" w:hAnsi="Times" w:cs="Times"/>
          <w:bCs/>
          <w:color w:val="000000"/>
          <w:sz w:val="20"/>
        </w:rPr>
        <w:t xml:space="preserve"> de la solución de hidróxido de sodio se preparó una solución de la sal de tartrato 5.3 </w:t>
      </w:r>
      <w:proofErr w:type="spellStart"/>
      <w:r w:rsidR="009E358C">
        <w:rPr>
          <w:rFonts w:ascii="Times" w:eastAsia="Times New Roman" w:hAnsi="Times" w:cs="Times"/>
          <w:bCs/>
          <w:color w:val="000000"/>
          <w:sz w:val="20"/>
        </w:rPr>
        <w:t>mM.</w:t>
      </w:r>
      <w:proofErr w:type="spellEnd"/>
      <w:r w:rsidR="009E358C">
        <w:rPr>
          <w:rFonts w:ascii="Times" w:eastAsia="Times New Roman" w:hAnsi="Times" w:cs="Times"/>
          <w:bCs/>
          <w:color w:val="000000"/>
          <w:sz w:val="20"/>
        </w:rPr>
        <w:t xml:space="preserve"> Para el reactivo c</w:t>
      </w:r>
      <w:r w:rsidR="00714707">
        <w:rPr>
          <w:rFonts w:ascii="Times" w:eastAsia="Times New Roman" w:hAnsi="Times" w:cs="Times"/>
          <w:bCs/>
          <w:color w:val="000000"/>
          <w:sz w:val="20"/>
        </w:rPr>
        <w:t>o</w:t>
      </w:r>
      <w:r w:rsidR="009E358C">
        <w:rPr>
          <w:rFonts w:ascii="Times" w:eastAsia="Times New Roman" w:hAnsi="Times" w:cs="Times"/>
          <w:bCs/>
          <w:color w:val="000000"/>
          <w:sz w:val="20"/>
        </w:rPr>
        <w:t xml:space="preserve">lorimétrico fueron adicionados 24 </w:t>
      </w:r>
      <w:proofErr w:type="spellStart"/>
      <w:r w:rsidR="009E358C">
        <w:rPr>
          <w:rFonts w:ascii="Times" w:eastAsia="Times New Roman" w:hAnsi="Times" w:cs="Times"/>
          <w:bCs/>
          <w:color w:val="000000"/>
          <w:sz w:val="20"/>
        </w:rPr>
        <w:t>mL</w:t>
      </w:r>
      <w:proofErr w:type="spellEnd"/>
      <w:r w:rsidR="009E358C">
        <w:rPr>
          <w:rFonts w:ascii="Times" w:eastAsia="Times New Roman" w:hAnsi="Times" w:cs="Times"/>
          <w:bCs/>
          <w:color w:val="000000"/>
          <w:sz w:val="20"/>
        </w:rPr>
        <w:t xml:space="preserve"> de agua tipo 1 en el rango de 50 a 70 °C, en un </w:t>
      </w:r>
      <w:proofErr w:type="spellStart"/>
      <w:r w:rsidR="009E358C">
        <w:rPr>
          <w:rFonts w:ascii="Times" w:eastAsia="Times New Roman" w:hAnsi="Times" w:cs="Times"/>
          <w:bCs/>
          <w:color w:val="000000"/>
          <w:sz w:val="20"/>
        </w:rPr>
        <w:t>erlenmeyer</w:t>
      </w:r>
      <w:proofErr w:type="spellEnd"/>
      <w:r w:rsidR="009E358C">
        <w:rPr>
          <w:rFonts w:ascii="Times" w:eastAsia="Times New Roman" w:hAnsi="Times" w:cs="Times"/>
          <w:bCs/>
          <w:color w:val="000000"/>
          <w:sz w:val="20"/>
        </w:rPr>
        <w:t xml:space="preserve"> cubierto con papel aluminio, 16 </w:t>
      </w:r>
      <w:proofErr w:type="spellStart"/>
      <w:r w:rsidR="009E358C">
        <w:rPr>
          <w:rFonts w:ascii="Times" w:eastAsia="Times New Roman" w:hAnsi="Times" w:cs="Times"/>
          <w:bCs/>
          <w:color w:val="000000"/>
          <w:sz w:val="20"/>
        </w:rPr>
        <w:t>mL</w:t>
      </w:r>
      <w:proofErr w:type="spellEnd"/>
      <w:r w:rsidR="009E358C">
        <w:rPr>
          <w:rFonts w:ascii="Times" w:eastAsia="Times New Roman" w:hAnsi="Times" w:cs="Times"/>
          <w:bCs/>
          <w:color w:val="000000"/>
          <w:sz w:val="20"/>
        </w:rPr>
        <w:t xml:space="preserve"> de la solución de tartrato de potasio y sodio, y 40 </w:t>
      </w:r>
      <w:proofErr w:type="spellStart"/>
      <w:r w:rsidR="009E358C">
        <w:rPr>
          <w:rFonts w:ascii="Times" w:eastAsia="Times New Roman" w:hAnsi="Times" w:cs="Times"/>
          <w:bCs/>
          <w:color w:val="000000"/>
          <w:sz w:val="20"/>
        </w:rPr>
        <w:t>mL</w:t>
      </w:r>
      <w:proofErr w:type="spellEnd"/>
      <w:r w:rsidR="009E358C">
        <w:rPr>
          <w:rFonts w:ascii="Times" w:eastAsia="Times New Roman" w:hAnsi="Times" w:cs="Times"/>
          <w:bCs/>
          <w:color w:val="000000"/>
          <w:sz w:val="20"/>
        </w:rPr>
        <w:t xml:space="preserve"> de una solución 96 </w:t>
      </w:r>
      <w:proofErr w:type="spellStart"/>
      <w:r w:rsidR="009E358C">
        <w:rPr>
          <w:rFonts w:ascii="Times" w:eastAsia="Times New Roman" w:hAnsi="Times" w:cs="Times"/>
          <w:bCs/>
          <w:color w:val="000000"/>
          <w:sz w:val="20"/>
        </w:rPr>
        <w:t>mM</w:t>
      </w:r>
      <w:proofErr w:type="spellEnd"/>
      <w:r w:rsidR="009E358C">
        <w:rPr>
          <w:rFonts w:ascii="Times" w:eastAsia="Times New Roman" w:hAnsi="Times" w:cs="Times"/>
          <w:bCs/>
          <w:color w:val="000000"/>
          <w:sz w:val="20"/>
        </w:rPr>
        <w:t xml:space="preserve"> de ácido 3,5-dinitrosalicílico. Finalmente, se preparó una solución </w:t>
      </w:r>
      <w:r w:rsidR="009E358C">
        <w:rPr>
          <w:rFonts w:ascii="Times" w:eastAsia="Times New Roman" w:hAnsi="Times" w:cs="Times"/>
          <w:bCs/>
          <w:color w:val="000000"/>
          <w:sz w:val="20"/>
        </w:rPr>
        <w:t xml:space="preserve">de almidón al 1 % con pH 6.9, usando el 100 </w:t>
      </w:r>
      <w:proofErr w:type="spellStart"/>
      <w:r w:rsidR="009E358C">
        <w:rPr>
          <w:rFonts w:ascii="Times" w:eastAsia="Times New Roman" w:hAnsi="Times" w:cs="Times"/>
          <w:bCs/>
          <w:color w:val="000000"/>
          <w:sz w:val="20"/>
        </w:rPr>
        <w:t>mL</w:t>
      </w:r>
      <w:proofErr w:type="spellEnd"/>
      <w:r w:rsidR="009E358C">
        <w:rPr>
          <w:rFonts w:ascii="Times" w:eastAsia="Times New Roman" w:hAnsi="Times" w:cs="Times"/>
          <w:bCs/>
          <w:color w:val="000000"/>
          <w:sz w:val="20"/>
        </w:rPr>
        <w:t xml:space="preserve"> del buffer previamente preparado y 1.0 g de almidón.</w:t>
      </w:r>
    </w:p>
    <w:p w14:paraId="459E5E13" w14:textId="31B6CAFA" w:rsidR="00EB158F" w:rsidRDefault="00385045" w:rsidP="00036F4E">
      <w:pPr>
        <w:spacing w:after="0" w:line="240" w:lineRule="auto"/>
        <w:ind w:firstLine="720"/>
        <w:jc w:val="both"/>
        <w:rPr>
          <w:rFonts w:ascii="Times" w:eastAsia="Times New Roman" w:hAnsi="Times" w:cs="Times"/>
          <w:bCs/>
          <w:color w:val="000000"/>
          <w:sz w:val="20"/>
        </w:rPr>
      </w:pPr>
      <w:r>
        <w:rPr>
          <w:rFonts w:ascii="Times" w:eastAsia="Times New Roman" w:hAnsi="Times" w:cs="Times"/>
          <w:b/>
          <w:bCs/>
          <w:color w:val="000000"/>
          <w:sz w:val="20"/>
        </w:rPr>
        <w:t>Efecto de la concentración de la enzima</w:t>
      </w:r>
      <w:r w:rsidR="00EB158F" w:rsidRPr="007F1624">
        <w:rPr>
          <w:rFonts w:ascii="Times" w:eastAsia="Times New Roman" w:hAnsi="Times" w:cs="Times"/>
          <w:b/>
          <w:bCs/>
          <w:color w:val="000000"/>
          <w:sz w:val="20"/>
        </w:rPr>
        <w:t>:</w:t>
      </w:r>
      <w:r w:rsidR="00EB158F" w:rsidRPr="007F1624">
        <w:rPr>
          <w:rFonts w:ascii="Times" w:eastAsia="Times New Roman" w:hAnsi="Times" w:cs="Times"/>
          <w:bCs/>
          <w:color w:val="000000"/>
          <w:sz w:val="20"/>
        </w:rPr>
        <w:t xml:space="preserve"> </w:t>
      </w:r>
      <w:r w:rsidR="00714707">
        <w:rPr>
          <w:rFonts w:ascii="Times" w:eastAsia="Times New Roman" w:hAnsi="Times" w:cs="Times"/>
          <w:bCs/>
          <w:color w:val="000000"/>
          <w:sz w:val="20"/>
        </w:rPr>
        <w:t xml:space="preserve">Con el objetivo de determinar el efecto sobre la velocidad de la reacción que tiene la concentración de la enzima, se usaron 7 soluciones con volúmenes distintos de enzima. Estas soluciones se prepararon de la siguiente manera. En 7 tubos de ensayo se adicionaron 2.5 </w:t>
      </w:r>
      <w:proofErr w:type="spellStart"/>
      <w:r w:rsidR="00714707">
        <w:rPr>
          <w:rFonts w:ascii="Times" w:eastAsia="Times New Roman" w:hAnsi="Times" w:cs="Times"/>
          <w:bCs/>
          <w:color w:val="000000"/>
          <w:sz w:val="20"/>
        </w:rPr>
        <w:t>mL</w:t>
      </w:r>
      <w:proofErr w:type="spellEnd"/>
      <w:r w:rsidR="00714707">
        <w:rPr>
          <w:rFonts w:ascii="Times" w:eastAsia="Times New Roman" w:hAnsi="Times" w:cs="Times"/>
          <w:bCs/>
          <w:color w:val="000000"/>
          <w:sz w:val="20"/>
        </w:rPr>
        <w:t xml:space="preserve"> de la solución de almidón previamente preparada, los cuales fueron llevados por equilibrio térmico con un contenedor de agua a 35 °C, sobre estos, se adicionaron: 0.0, 0.1, 0.3, 0.5, 0.7, 0.8 y 1.0 </w:t>
      </w:r>
      <w:proofErr w:type="spellStart"/>
      <w:r w:rsidR="00714707">
        <w:rPr>
          <w:rFonts w:ascii="Times" w:eastAsia="Times New Roman" w:hAnsi="Times" w:cs="Times"/>
          <w:bCs/>
          <w:color w:val="000000"/>
          <w:sz w:val="20"/>
        </w:rPr>
        <w:t>mL</w:t>
      </w:r>
      <w:proofErr w:type="spellEnd"/>
      <w:r w:rsidR="00714707">
        <w:rPr>
          <w:rFonts w:ascii="Times" w:eastAsia="Times New Roman" w:hAnsi="Times" w:cs="Times"/>
          <w:bCs/>
          <w:color w:val="000000"/>
          <w:sz w:val="20"/>
        </w:rPr>
        <w:t xml:space="preserve"> de saliva y fueron llevados nuevamente a 35 °C por 10 minutos. Una vez agotado este tiempo, fueron retirados del baño y se adicionaron 1.5 </w:t>
      </w:r>
      <w:proofErr w:type="spellStart"/>
      <w:r w:rsidR="00714707">
        <w:rPr>
          <w:rFonts w:ascii="Times" w:eastAsia="Times New Roman" w:hAnsi="Times" w:cs="Times"/>
          <w:bCs/>
          <w:color w:val="000000"/>
          <w:sz w:val="20"/>
        </w:rPr>
        <w:t>mL</w:t>
      </w:r>
      <w:proofErr w:type="spellEnd"/>
      <w:r w:rsidR="00714707">
        <w:rPr>
          <w:rFonts w:ascii="Times" w:eastAsia="Times New Roman" w:hAnsi="Times" w:cs="Times"/>
          <w:bCs/>
          <w:color w:val="000000"/>
          <w:sz w:val="20"/>
        </w:rPr>
        <w:t xml:space="preserve"> del reactivo colorimétrico, seguidos de un periodo de ebullición constante por 15 minutos.</w:t>
      </w:r>
      <w:r w:rsidR="00BF6624">
        <w:rPr>
          <w:rFonts w:ascii="Times" w:eastAsia="Times New Roman" w:hAnsi="Times" w:cs="Times"/>
          <w:bCs/>
          <w:color w:val="000000"/>
          <w:sz w:val="20"/>
        </w:rPr>
        <w:t xml:space="preserve"> Posteriormente los tubos fueron enfriados en un baño de hielo, y se adicionaron 1.0, 0.9, 0.7, 0.5, 0.3, 0.2 y 0.0 </w:t>
      </w:r>
      <w:proofErr w:type="spellStart"/>
      <w:r w:rsidR="00BF6624">
        <w:rPr>
          <w:rFonts w:ascii="Times" w:eastAsia="Times New Roman" w:hAnsi="Times" w:cs="Times"/>
          <w:bCs/>
          <w:color w:val="000000"/>
          <w:sz w:val="20"/>
        </w:rPr>
        <w:t>mL</w:t>
      </w:r>
      <w:proofErr w:type="spellEnd"/>
      <w:r w:rsidR="00BF6624">
        <w:rPr>
          <w:rFonts w:ascii="Times" w:eastAsia="Times New Roman" w:hAnsi="Times" w:cs="Times"/>
          <w:bCs/>
          <w:color w:val="000000"/>
          <w:sz w:val="20"/>
        </w:rPr>
        <w:t xml:space="preserve"> de agua tipo 1</w:t>
      </w:r>
      <w:r w:rsidR="00164E37">
        <w:rPr>
          <w:rFonts w:ascii="Times" w:eastAsia="Times New Roman" w:hAnsi="Times" w:cs="Times"/>
          <w:bCs/>
          <w:color w:val="000000"/>
          <w:sz w:val="20"/>
        </w:rPr>
        <w:t xml:space="preserve"> correspondientemente, en cada tubo</w:t>
      </w:r>
      <w:r w:rsidR="00BF6624">
        <w:rPr>
          <w:rFonts w:ascii="Times" w:eastAsia="Times New Roman" w:hAnsi="Times" w:cs="Times"/>
          <w:bCs/>
          <w:color w:val="000000"/>
          <w:sz w:val="20"/>
        </w:rPr>
        <w:t>.</w:t>
      </w:r>
      <w:r w:rsidR="00164E37">
        <w:rPr>
          <w:rFonts w:ascii="Times" w:eastAsia="Times New Roman" w:hAnsi="Times" w:cs="Times"/>
          <w:bCs/>
          <w:color w:val="000000"/>
          <w:sz w:val="20"/>
        </w:rPr>
        <w:t xml:space="preserve"> Finalmente se tomaron alícuotas de 2.5 </w:t>
      </w:r>
      <w:proofErr w:type="spellStart"/>
      <w:r w:rsidR="00164E37">
        <w:rPr>
          <w:rFonts w:ascii="Times" w:eastAsia="Times New Roman" w:hAnsi="Times" w:cs="Times"/>
          <w:bCs/>
          <w:color w:val="000000"/>
          <w:sz w:val="20"/>
        </w:rPr>
        <w:t>mL</w:t>
      </w:r>
      <w:proofErr w:type="spellEnd"/>
      <w:r w:rsidR="00164E37">
        <w:rPr>
          <w:rFonts w:ascii="Times" w:eastAsia="Times New Roman" w:hAnsi="Times" w:cs="Times"/>
          <w:bCs/>
          <w:color w:val="000000"/>
          <w:sz w:val="20"/>
        </w:rPr>
        <w:t xml:space="preserve"> de agua, a las cuales se adicionaron 10 </w:t>
      </w:r>
      <w:proofErr w:type="spellStart"/>
      <w:r w:rsidR="00164E37">
        <w:rPr>
          <w:rFonts w:ascii="Times" w:eastAsia="Times New Roman" w:hAnsi="Times" w:cs="Times"/>
          <w:bCs/>
          <w:color w:val="000000"/>
          <w:sz w:val="20"/>
        </w:rPr>
        <w:t>uL</w:t>
      </w:r>
      <w:proofErr w:type="spellEnd"/>
      <w:r w:rsidR="00164E37">
        <w:rPr>
          <w:rFonts w:ascii="Times" w:eastAsia="Times New Roman" w:hAnsi="Times" w:cs="Times"/>
          <w:bCs/>
          <w:color w:val="000000"/>
          <w:sz w:val="20"/>
        </w:rPr>
        <w:t xml:space="preserve"> de las soluciones en los tubos.</w:t>
      </w:r>
    </w:p>
    <w:p w14:paraId="2E2DCD22" w14:textId="061C3963" w:rsidR="008557BC" w:rsidRPr="007F1624" w:rsidRDefault="009E358C" w:rsidP="009E358C">
      <w:pPr>
        <w:spacing w:after="0" w:line="240" w:lineRule="auto"/>
        <w:ind w:firstLine="720"/>
        <w:jc w:val="both"/>
        <w:rPr>
          <w:rFonts w:ascii="Times" w:eastAsia="Times New Roman" w:hAnsi="Times" w:cs="Times"/>
          <w:bCs/>
          <w:color w:val="000000"/>
          <w:sz w:val="20"/>
        </w:rPr>
      </w:pPr>
      <w:r>
        <w:rPr>
          <w:rFonts w:ascii="Times" w:eastAsia="Times New Roman" w:hAnsi="Times" w:cs="Times"/>
          <w:b/>
          <w:bCs/>
          <w:color w:val="000000"/>
          <w:sz w:val="20"/>
        </w:rPr>
        <w:t xml:space="preserve">Efecto de la concentración </w:t>
      </w:r>
      <w:r w:rsidR="008D50EE">
        <w:rPr>
          <w:rFonts w:ascii="Times" w:eastAsia="Times New Roman" w:hAnsi="Times" w:cs="Times"/>
          <w:b/>
          <w:bCs/>
          <w:color w:val="000000"/>
          <w:sz w:val="20"/>
        </w:rPr>
        <w:t>del sustrato</w:t>
      </w:r>
      <w:r w:rsidRPr="007F1624">
        <w:rPr>
          <w:rFonts w:ascii="Times" w:eastAsia="Times New Roman" w:hAnsi="Times" w:cs="Times"/>
          <w:b/>
          <w:bCs/>
          <w:color w:val="000000"/>
          <w:sz w:val="20"/>
        </w:rPr>
        <w:t>:</w:t>
      </w:r>
      <w:r w:rsidRPr="007F1624">
        <w:rPr>
          <w:rFonts w:ascii="Times" w:eastAsia="Times New Roman" w:hAnsi="Times" w:cs="Times"/>
          <w:bCs/>
          <w:color w:val="000000"/>
          <w:sz w:val="20"/>
        </w:rPr>
        <w:t xml:space="preserve"> </w:t>
      </w:r>
      <w:r w:rsidR="008D50EE">
        <w:rPr>
          <w:rFonts w:ascii="Times" w:eastAsia="Times New Roman" w:hAnsi="Times" w:cs="Times"/>
          <w:bCs/>
          <w:color w:val="000000"/>
          <w:sz w:val="20"/>
        </w:rPr>
        <w:t xml:space="preserve">El estudio de la cantidad de sustrato, procede de manera análoga a la concentración de la enzima, salvo que se usan 0.0, 0.25, 0.5, 1.0, 1.5, 2.0 y 2.5 </w:t>
      </w:r>
      <w:proofErr w:type="spellStart"/>
      <w:r w:rsidR="008D50EE">
        <w:rPr>
          <w:rFonts w:ascii="Times" w:eastAsia="Times New Roman" w:hAnsi="Times" w:cs="Times"/>
          <w:bCs/>
          <w:color w:val="000000"/>
          <w:sz w:val="20"/>
        </w:rPr>
        <w:t>mL</w:t>
      </w:r>
      <w:proofErr w:type="spellEnd"/>
      <w:r w:rsidR="008D50EE">
        <w:rPr>
          <w:rFonts w:ascii="Times" w:eastAsia="Times New Roman" w:hAnsi="Times" w:cs="Times"/>
          <w:bCs/>
          <w:color w:val="000000"/>
          <w:sz w:val="20"/>
        </w:rPr>
        <w:t xml:space="preserve"> de la solución de almidón, en 7 tubos de ensayo. Luego del proceso de equilibrio térmico, fueron adicionados 0.5 </w:t>
      </w:r>
      <w:proofErr w:type="spellStart"/>
      <w:r w:rsidR="008D50EE">
        <w:rPr>
          <w:rFonts w:ascii="Times" w:eastAsia="Times New Roman" w:hAnsi="Times" w:cs="Times"/>
          <w:bCs/>
          <w:color w:val="000000"/>
          <w:sz w:val="20"/>
        </w:rPr>
        <w:t>mL</w:t>
      </w:r>
      <w:proofErr w:type="spellEnd"/>
      <w:r w:rsidR="008D50EE">
        <w:rPr>
          <w:rFonts w:ascii="Times" w:eastAsia="Times New Roman" w:hAnsi="Times" w:cs="Times"/>
          <w:bCs/>
          <w:color w:val="000000"/>
          <w:sz w:val="20"/>
        </w:rPr>
        <w:t xml:space="preserve"> de saliva. El resto del </w:t>
      </w:r>
      <w:proofErr w:type="gramStart"/>
      <w:r w:rsidR="008D50EE">
        <w:rPr>
          <w:rFonts w:ascii="Times" w:eastAsia="Times New Roman" w:hAnsi="Times" w:cs="Times"/>
          <w:bCs/>
          <w:color w:val="000000"/>
          <w:sz w:val="20"/>
        </w:rPr>
        <w:t>procedimiento,</w:t>
      </w:r>
      <w:proofErr w:type="gramEnd"/>
      <w:r w:rsidR="008D50EE">
        <w:rPr>
          <w:rFonts w:ascii="Times" w:eastAsia="Times New Roman" w:hAnsi="Times" w:cs="Times"/>
          <w:bCs/>
          <w:color w:val="000000"/>
          <w:sz w:val="20"/>
        </w:rPr>
        <w:t xml:space="preserve"> se realizó de la misma manera que en la sección anterior.</w:t>
      </w:r>
    </w:p>
    <w:p w14:paraId="3D31728A" w14:textId="2DB9E016" w:rsidR="00230A85" w:rsidRPr="007F1624" w:rsidRDefault="00851C63" w:rsidP="007F1624">
      <w:pPr>
        <w:spacing w:after="0" w:line="240" w:lineRule="auto"/>
        <w:ind w:firstLine="720"/>
        <w:jc w:val="both"/>
        <w:rPr>
          <w:rFonts w:ascii="Times" w:eastAsia="Times New Roman" w:hAnsi="Times" w:cs="Times"/>
          <w:bCs/>
          <w:color w:val="000000"/>
          <w:sz w:val="20"/>
        </w:rPr>
      </w:pPr>
      <w:r w:rsidRPr="007F1624">
        <w:rPr>
          <w:rFonts w:ascii="Times" w:eastAsia="Times New Roman" w:hAnsi="Times" w:cs="Times"/>
          <w:b/>
          <w:bCs/>
          <w:color w:val="000000"/>
          <w:sz w:val="20"/>
        </w:rPr>
        <w:t xml:space="preserve"> Espectro</w:t>
      </w:r>
      <w:r w:rsidR="00CC6109" w:rsidRPr="007F1624">
        <w:rPr>
          <w:rFonts w:ascii="Times" w:eastAsia="Times New Roman" w:hAnsi="Times" w:cs="Times"/>
          <w:b/>
          <w:bCs/>
          <w:color w:val="000000"/>
          <w:sz w:val="20"/>
        </w:rPr>
        <w:t>scopía UV-vis</w:t>
      </w:r>
      <w:r w:rsidR="008557BC" w:rsidRPr="007F1624">
        <w:rPr>
          <w:rFonts w:ascii="Times" w:eastAsia="Times New Roman" w:hAnsi="Times" w:cs="Times"/>
          <w:b/>
          <w:bCs/>
          <w:color w:val="000000"/>
          <w:sz w:val="20"/>
        </w:rPr>
        <w:t>:</w:t>
      </w:r>
      <w:r w:rsidR="008557BC" w:rsidRPr="007F1624">
        <w:rPr>
          <w:rFonts w:ascii="Times" w:eastAsia="Times New Roman" w:hAnsi="Times" w:cs="Times"/>
          <w:bCs/>
          <w:color w:val="000000"/>
          <w:sz w:val="20"/>
        </w:rPr>
        <w:t xml:space="preserve"> </w:t>
      </w:r>
      <w:r w:rsidR="008D50EE">
        <w:rPr>
          <w:rFonts w:ascii="Times" w:eastAsia="Times New Roman" w:hAnsi="Times" w:cs="Times"/>
          <w:bCs/>
          <w:color w:val="000000"/>
          <w:sz w:val="20"/>
        </w:rPr>
        <w:t xml:space="preserve">Usando el blanco del estudio de la concentración de la enzima se tomó un espectro en el rango de 700 a 200 nm, usando celdas de plástico con una longitud del camino óptico de 1 cm. La longitud de onda de máxima absorbancia fue XXX nm. Usando esta longitud se midió la absorbancia de cada uno de los 14 tubos de ensayo mencionados anteriormente. </w:t>
      </w:r>
    </w:p>
    <w:p w14:paraId="2C16E89F" w14:textId="77777777" w:rsidR="00675B34" w:rsidRPr="007F1624" w:rsidRDefault="00675B34" w:rsidP="00675B34">
      <w:pPr>
        <w:spacing w:after="0" w:line="240" w:lineRule="auto"/>
        <w:ind w:firstLine="720"/>
        <w:rPr>
          <w:rFonts w:ascii="Times" w:eastAsia="Times New Roman" w:hAnsi="Times" w:cs="Times"/>
          <w:bCs/>
          <w:color w:val="000000"/>
          <w:sz w:val="20"/>
        </w:rPr>
      </w:pPr>
    </w:p>
    <w:p w14:paraId="281C916E" w14:textId="77777777" w:rsidR="00B1182A" w:rsidRDefault="00E22F9A" w:rsidP="00B1182A">
      <w:pPr>
        <w:spacing w:after="0" w:line="240" w:lineRule="auto"/>
        <w:jc w:val="both"/>
        <w:rPr>
          <w:rFonts w:ascii="Times" w:eastAsia="Times New Roman" w:hAnsi="Times" w:cs="Times"/>
          <w:bCs/>
          <w:color w:val="000000"/>
          <w:sz w:val="20"/>
        </w:rPr>
      </w:pPr>
      <w:r w:rsidRPr="007F1624">
        <w:rPr>
          <w:rFonts w:ascii="Times" w:eastAsia="MS Mincho" w:hAnsi="Times" w:cs="Times"/>
          <w:b/>
          <w:bCs/>
          <w:color w:val="074B8F"/>
          <w:sz w:val="20"/>
          <w:szCs w:val="20"/>
        </w:rPr>
        <w:t>■</w:t>
      </w:r>
      <w:r w:rsidRPr="007F1624">
        <w:rPr>
          <w:rFonts w:ascii="Times" w:eastAsia="Times New Roman" w:hAnsi="Times" w:cs="Times"/>
          <w:color w:val="074B8F"/>
          <w:sz w:val="20"/>
          <w:szCs w:val="20"/>
        </w:rPr>
        <w:t xml:space="preserve">RESULTADOS Y DISCUSIÓN </w:t>
      </w:r>
    </w:p>
    <w:p w14:paraId="01E0D1ED" w14:textId="48901E5E" w:rsidR="00333141" w:rsidRDefault="00B1182A" w:rsidP="00A44F8D">
      <w:pPr>
        <w:spacing w:after="0" w:line="240" w:lineRule="auto"/>
        <w:ind w:firstLine="708"/>
        <w:jc w:val="both"/>
        <w:rPr>
          <w:rFonts w:ascii="Times" w:eastAsia="Times New Roman" w:hAnsi="Times" w:cs="Times"/>
          <w:bCs/>
          <w:color w:val="000000"/>
          <w:sz w:val="20"/>
        </w:rPr>
      </w:pPr>
      <w:r>
        <w:rPr>
          <w:rFonts w:ascii="Times" w:eastAsia="Times New Roman" w:hAnsi="Times" w:cs="Times"/>
          <w:bCs/>
          <w:color w:val="000000"/>
          <w:sz w:val="20"/>
        </w:rPr>
        <w:t xml:space="preserve">Dentro de las posibles </w:t>
      </w:r>
      <w:r w:rsidR="00AF4B53">
        <w:rPr>
          <w:rFonts w:ascii="Times" w:eastAsia="Times New Roman" w:hAnsi="Times" w:cs="Times"/>
          <w:bCs/>
          <w:color w:val="000000"/>
          <w:sz w:val="20"/>
        </w:rPr>
        <w:t>explicaciones</w:t>
      </w:r>
      <w:r>
        <w:rPr>
          <w:rFonts w:ascii="Times" w:eastAsia="Times New Roman" w:hAnsi="Times" w:cs="Times"/>
          <w:bCs/>
          <w:color w:val="000000"/>
          <w:sz w:val="20"/>
        </w:rPr>
        <w:t xml:space="preserve"> a la variabilidad de los resultados observados</w:t>
      </w:r>
      <w:r w:rsidR="00AF4B53">
        <w:rPr>
          <w:rFonts w:ascii="Times" w:eastAsia="Times New Roman" w:hAnsi="Times" w:cs="Times"/>
          <w:bCs/>
          <w:color w:val="000000"/>
          <w:sz w:val="20"/>
        </w:rPr>
        <w:t>,</w:t>
      </w:r>
      <w:r>
        <w:rPr>
          <w:rFonts w:ascii="Times" w:eastAsia="Times New Roman" w:hAnsi="Times" w:cs="Times"/>
          <w:bCs/>
          <w:color w:val="000000"/>
          <w:sz w:val="20"/>
        </w:rPr>
        <w:t xml:space="preserve"> se encuentran aquellas asociadas a la complejidad química de la matriz en la que se encuentra la amilasa, así como las propiedades físicas de la saliva.</w:t>
      </w:r>
      <w:r w:rsidR="00AF4B53">
        <w:rPr>
          <w:rFonts w:ascii="Times" w:eastAsia="Times New Roman" w:hAnsi="Times" w:cs="Times"/>
          <w:bCs/>
          <w:color w:val="000000"/>
          <w:sz w:val="20"/>
        </w:rPr>
        <w:t xml:space="preserve"> En el caso de estas últimas, se debe tener en cuenta que la viscosidad de este fluido es relativamente alt</w:t>
      </w:r>
      <w:r w:rsidR="00A44F8D">
        <w:rPr>
          <w:rFonts w:ascii="Times" w:eastAsia="Times New Roman" w:hAnsi="Times" w:cs="Times"/>
          <w:bCs/>
          <w:color w:val="000000"/>
          <w:sz w:val="20"/>
        </w:rPr>
        <w:t xml:space="preserve">a comparada con el agua pura, puesto que a 20 °C </w:t>
      </w:r>
      <w:proofErr w:type="spellStart"/>
      <w:r w:rsidR="00A44F8D">
        <w:rPr>
          <w:rFonts w:ascii="Times" w:eastAsia="Times New Roman" w:hAnsi="Times" w:cs="Times"/>
          <w:bCs/>
          <w:color w:val="000000"/>
          <w:sz w:val="20"/>
        </w:rPr>
        <w:t>esta</w:t>
      </w:r>
      <w:proofErr w:type="spellEnd"/>
      <w:r w:rsidR="00A44F8D">
        <w:rPr>
          <w:rFonts w:ascii="Times" w:eastAsia="Times New Roman" w:hAnsi="Times" w:cs="Times"/>
          <w:bCs/>
          <w:color w:val="000000"/>
          <w:sz w:val="20"/>
        </w:rPr>
        <w:t xml:space="preserve"> última tiene un valor de viscosidad de 1.0016 </w:t>
      </w:r>
      <w:proofErr w:type="spellStart"/>
      <w:r w:rsidR="00A44F8D">
        <w:rPr>
          <w:rFonts w:ascii="Times" w:eastAsia="Times New Roman" w:hAnsi="Times" w:cs="Times"/>
          <w:bCs/>
          <w:color w:val="000000"/>
          <w:sz w:val="20"/>
        </w:rPr>
        <w:lastRenderedPageBreak/>
        <w:t>mPa</w:t>
      </w:r>
      <w:proofErr w:type="spellEnd"/>
      <w:r w:rsidR="00A44F8D">
        <w:rPr>
          <w:rFonts w:ascii="Times" w:eastAsia="Times New Roman" w:hAnsi="Times" w:cs="Times"/>
          <w:bCs/>
          <w:color w:val="000000"/>
          <w:sz w:val="20"/>
        </w:rPr>
        <w:t xml:space="preserve"> s, mientras que la saliva humana por su </w:t>
      </w:r>
      <w:proofErr w:type="gramStart"/>
      <w:r w:rsidR="00A44F8D">
        <w:rPr>
          <w:rFonts w:ascii="Times" w:eastAsia="Times New Roman" w:hAnsi="Times" w:cs="Times"/>
          <w:bCs/>
          <w:color w:val="000000"/>
          <w:sz w:val="20"/>
        </w:rPr>
        <w:t>lado,</w:t>
      </w:r>
      <w:proofErr w:type="gramEnd"/>
      <w:r w:rsidR="00A44F8D">
        <w:rPr>
          <w:rFonts w:ascii="Times" w:eastAsia="Times New Roman" w:hAnsi="Times" w:cs="Times"/>
          <w:bCs/>
          <w:color w:val="000000"/>
          <w:sz w:val="20"/>
        </w:rPr>
        <w:t xml:space="preserve"> tiene valores cercanos a 1.5 </w:t>
      </w:r>
      <w:proofErr w:type="spellStart"/>
      <w:r w:rsidR="00A44F8D">
        <w:rPr>
          <w:rFonts w:ascii="Times" w:eastAsia="Times New Roman" w:hAnsi="Times" w:cs="Times"/>
          <w:bCs/>
          <w:color w:val="000000"/>
          <w:sz w:val="20"/>
        </w:rPr>
        <w:t>mPa</w:t>
      </w:r>
      <w:proofErr w:type="spellEnd"/>
      <w:r w:rsidR="00A44F8D">
        <w:rPr>
          <w:rFonts w:ascii="Times" w:eastAsia="Times New Roman" w:hAnsi="Times" w:cs="Times"/>
          <w:bCs/>
          <w:color w:val="000000"/>
          <w:sz w:val="20"/>
        </w:rPr>
        <w:t xml:space="preserve"> s, lo cual implica aumento de cerca de 50 % respecto al agua. La viscosidad se encuentra relacionada con la difusión como un fenómeno de transporte, la difusión, a su vez depende de la geometría </w:t>
      </w:r>
      <w:r w:rsidR="0035645B">
        <w:rPr>
          <w:rFonts w:ascii="Times" w:eastAsia="Times New Roman" w:hAnsi="Times" w:cs="Times"/>
          <w:bCs/>
          <w:color w:val="000000"/>
          <w:sz w:val="20"/>
        </w:rPr>
        <w:t>del espacio en la que esta tiene lugar</w:t>
      </w:r>
      <w:r w:rsidR="00A44F8D">
        <w:rPr>
          <w:rFonts w:ascii="Times" w:eastAsia="Times New Roman" w:hAnsi="Times" w:cs="Times"/>
          <w:bCs/>
          <w:color w:val="000000"/>
          <w:sz w:val="20"/>
        </w:rPr>
        <w:t xml:space="preserve">. En el caso de los experimentos realizados, la sección transversal de los tubos de ensayos </w:t>
      </w:r>
      <w:proofErr w:type="gramStart"/>
      <w:r w:rsidR="00A44F8D">
        <w:rPr>
          <w:rFonts w:ascii="Times" w:eastAsia="Times New Roman" w:hAnsi="Times" w:cs="Times"/>
          <w:bCs/>
          <w:color w:val="000000"/>
          <w:sz w:val="20"/>
        </w:rPr>
        <w:t>usados,</w:t>
      </w:r>
      <w:proofErr w:type="gramEnd"/>
      <w:r w:rsidR="00A44F8D">
        <w:rPr>
          <w:rFonts w:ascii="Times" w:eastAsia="Times New Roman" w:hAnsi="Times" w:cs="Times"/>
          <w:bCs/>
          <w:color w:val="000000"/>
          <w:sz w:val="20"/>
        </w:rPr>
        <w:t xml:space="preserve"> puede jugar en co</w:t>
      </w:r>
      <w:bookmarkStart w:id="0" w:name="_GoBack"/>
      <w:bookmarkEnd w:id="0"/>
      <w:r w:rsidR="00A44F8D">
        <w:rPr>
          <w:rFonts w:ascii="Times" w:eastAsia="Times New Roman" w:hAnsi="Times" w:cs="Times"/>
          <w:bCs/>
          <w:color w:val="000000"/>
          <w:sz w:val="20"/>
        </w:rPr>
        <w:t xml:space="preserve">ntra de la difusión, </w:t>
      </w:r>
      <w:r w:rsidR="00333141">
        <w:rPr>
          <w:rFonts w:ascii="Times" w:eastAsia="Times New Roman" w:hAnsi="Times" w:cs="Times"/>
          <w:bCs/>
          <w:color w:val="000000"/>
          <w:sz w:val="20"/>
        </w:rPr>
        <w:t>dificultando en algunos casos el acceso del sustrato a la enzima</w:t>
      </w:r>
      <w:r w:rsidR="0035645B">
        <w:rPr>
          <w:rFonts w:ascii="Times" w:eastAsia="Times New Roman" w:hAnsi="Times" w:cs="Times"/>
          <w:bCs/>
          <w:color w:val="000000"/>
          <w:sz w:val="20"/>
        </w:rPr>
        <w:t>, sumada a una posible deposición por la ausencia de agitación</w:t>
      </w:r>
      <w:r w:rsidR="00333141">
        <w:rPr>
          <w:rFonts w:ascii="Times" w:eastAsia="Times New Roman" w:hAnsi="Times" w:cs="Times"/>
          <w:bCs/>
          <w:color w:val="000000"/>
          <w:sz w:val="20"/>
        </w:rPr>
        <w:t xml:space="preserve">. </w:t>
      </w:r>
    </w:p>
    <w:p w14:paraId="090BF146" w14:textId="77777777" w:rsidR="00333141" w:rsidRDefault="00333141" w:rsidP="00A44F8D">
      <w:pPr>
        <w:spacing w:after="0" w:line="240" w:lineRule="auto"/>
        <w:ind w:firstLine="708"/>
        <w:jc w:val="both"/>
        <w:rPr>
          <w:rFonts w:ascii="Times" w:eastAsia="Times New Roman" w:hAnsi="Times" w:cs="Times"/>
          <w:bCs/>
          <w:color w:val="000000"/>
          <w:sz w:val="20"/>
        </w:rPr>
      </w:pPr>
    </w:p>
    <w:p w14:paraId="63BBE2E0" w14:textId="18512465" w:rsidR="00A44F8D" w:rsidRDefault="00333141" w:rsidP="00A44F8D">
      <w:pPr>
        <w:spacing w:after="0" w:line="240" w:lineRule="auto"/>
        <w:ind w:firstLine="708"/>
        <w:jc w:val="both"/>
        <w:rPr>
          <w:rFonts w:ascii="Times" w:eastAsia="Times New Roman" w:hAnsi="Times" w:cs="Times"/>
          <w:bCs/>
          <w:color w:val="000000"/>
          <w:sz w:val="20"/>
        </w:rPr>
      </w:pPr>
      <w:r>
        <w:rPr>
          <w:rFonts w:ascii="Times" w:eastAsia="Times New Roman" w:hAnsi="Times" w:cs="Times"/>
          <w:bCs/>
          <w:color w:val="000000"/>
          <w:sz w:val="20"/>
        </w:rPr>
        <w:t xml:space="preserve">Por otro lado, se debe tener en cuenta que la saliva no es translúcida, por lo cual la ley de </w:t>
      </w:r>
      <w:proofErr w:type="spellStart"/>
      <w:r>
        <w:rPr>
          <w:rFonts w:ascii="Times" w:eastAsia="Times New Roman" w:hAnsi="Times" w:cs="Times"/>
          <w:bCs/>
          <w:color w:val="000000"/>
          <w:sz w:val="20"/>
        </w:rPr>
        <w:t>Beer</w:t>
      </w:r>
      <w:proofErr w:type="spellEnd"/>
      <w:r>
        <w:rPr>
          <w:rFonts w:ascii="Times" w:eastAsia="Times New Roman" w:hAnsi="Times" w:cs="Times"/>
          <w:bCs/>
          <w:color w:val="000000"/>
          <w:sz w:val="20"/>
        </w:rPr>
        <w:t xml:space="preserve"> se puede ver afectada al considerar que la absorbancia depende de la absortividad molar y concentración de todas las especies absorbentes en la solución. En general, dado que en las soluciones a estudiar en espectroscopía UV-VIS mantienen una concentración constante de todos los componentes, salvo por uno, el blanco de la solución neutraliza el efecto del resto de las especies adsorbentes.</w:t>
      </w:r>
      <w:r w:rsidR="0035645B">
        <w:rPr>
          <w:rFonts w:ascii="Times" w:eastAsia="Times New Roman" w:hAnsi="Times" w:cs="Times"/>
          <w:bCs/>
          <w:color w:val="000000"/>
          <w:sz w:val="20"/>
        </w:rPr>
        <w:t xml:space="preserve"> Sin embargo, en el caso de la concentración de la enzima, las soluciones con mayor concentración de saliva son más opacas debido a la dispersión de la luz con la saliva y no sólo por una mayor cantidad de producto. Si bien no necesariamente la luz es absorbida por la saliva, sí puede ser dispersada (de ahí el color grisáceo de la misma) siendo registrada por el detector como luz absorbida por la muestra, aumentando la </w:t>
      </w:r>
      <w:r w:rsidR="0035645B">
        <w:rPr>
          <w:rFonts w:ascii="Times" w:eastAsia="Times New Roman" w:hAnsi="Times" w:cs="Times"/>
          <w:bCs/>
          <w:color w:val="000000"/>
          <w:sz w:val="20"/>
        </w:rPr>
        <w:t xml:space="preserve">concentración aparente en la gráfica 1. Lo anterior también está soportado por la gráfica 2, en la cual la variación de la absorbancia es mínima salvo por un dato, resultados que coinciden con la adición del mismo volumen de saliva en todos los tubos, salvo en uno, el cual pudo haber quedado mal rotulado y registrado como volumen 2.5 </w:t>
      </w:r>
      <w:proofErr w:type="spellStart"/>
      <w:r w:rsidR="0035645B">
        <w:rPr>
          <w:rFonts w:ascii="Times" w:eastAsia="Times New Roman" w:hAnsi="Times" w:cs="Times"/>
          <w:bCs/>
          <w:color w:val="000000"/>
          <w:sz w:val="20"/>
        </w:rPr>
        <w:t>mL</w:t>
      </w:r>
      <w:proofErr w:type="spellEnd"/>
      <w:r w:rsidR="0035645B">
        <w:rPr>
          <w:rFonts w:ascii="Times" w:eastAsia="Times New Roman" w:hAnsi="Times" w:cs="Times"/>
          <w:bCs/>
          <w:color w:val="000000"/>
          <w:sz w:val="20"/>
        </w:rPr>
        <w:t>,</w:t>
      </w:r>
      <w:r w:rsidR="003440C0">
        <w:rPr>
          <w:rFonts w:ascii="Times" w:eastAsia="Times New Roman" w:hAnsi="Times" w:cs="Times"/>
          <w:bCs/>
          <w:color w:val="000000"/>
          <w:sz w:val="20"/>
        </w:rPr>
        <w:t xml:space="preserve"> de tal forma </w:t>
      </w:r>
      <w:proofErr w:type="gramStart"/>
      <w:r w:rsidR="003440C0">
        <w:rPr>
          <w:rFonts w:ascii="Times" w:eastAsia="Times New Roman" w:hAnsi="Times" w:cs="Times"/>
          <w:bCs/>
          <w:color w:val="000000"/>
          <w:sz w:val="20"/>
        </w:rPr>
        <w:t>que</w:t>
      </w:r>
      <w:proofErr w:type="gramEnd"/>
      <w:r w:rsidR="0035645B">
        <w:rPr>
          <w:rFonts w:ascii="Times" w:eastAsia="Times New Roman" w:hAnsi="Times" w:cs="Times"/>
          <w:bCs/>
          <w:color w:val="000000"/>
          <w:sz w:val="20"/>
        </w:rPr>
        <w:t xml:space="preserve"> al no tener saliva, la dispersión de la luz es considerablemente menor, dando lugar a una absorbancia fuera de la tendencia observada</w:t>
      </w:r>
      <w:r w:rsidR="003440C0">
        <w:rPr>
          <w:rFonts w:ascii="Times" w:eastAsia="Times New Roman" w:hAnsi="Times" w:cs="Times"/>
          <w:bCs/>
          <w:color w:val="000000"/>
          <w:sz w:val="20"/>
        </w:rPr>
        <w:t xml:space="preserve"> en la misma</w:t>
      </w:r>
      <w:r w:rsidR="0035645B">
        <w:rPr>
          <w:rFonts w:ascii="Times" w:eastAsia="Times New Roman" w:hAnsi="Times" w:cs="Times"/>
          <w:bCs/>
          <w:color w:val="000000"/>
          <w:sz w:val="20"/>
        </w:rPr>
        <w:t>.</w:t>
      </w:r>
    </w:p>
    <w:p w14:paraId="7FEC0F12" w14:textId="77777777" w:rsidR="00A44F8D" w:rsidRPr="00A44F8D" w:rsidRDefault="00A44F8D" w:rsidP="00A44F8D">
      <w:pPr>
        <w:spacing w:after="0" w:line="240" w:lineRule="auto"/>
        <w:ind w:firstLine="708"/>
        <w:jc w:val="both"/>
        <w:rPr>
          <w:rFonts w:ascii="Times" w:eastAsia="Times New Roman" w:hAnsi="Times" w:cs="Times"/>
          <w:bCs/>
          <w:color w:val="000000"/>
          <w:sz w:val="20"/>
        </w:rPr>
      </w:pPr>
    </w:p>
    <w:p w14:paraId="3BB4257C" w14:textId="5DF94903" w:rsidR="00531982" w:rsidRPr="007F1624" w:rsidRDefault="00DD5272" w:rsidP="00531982">
      <w:pPr>
        <w:spacing w:after="0" w:line="240" w:lineRule="auto"/>
        <w:jc w:val="both"/>
        <w:rPr>
          <w:rFonts w:ascii="Times" w:eastAsia="Times New Roman" w:hAnsi="Times" w:cs="Times"/>
          <w:color w:val="074B8F"/>
          <w:sz w:val="20"/>
          <w:szCs w:val="20"/>
        </w:rPr>
      </w:pPr>
      <w:r w:rsidRPr="007F1624">
        <w:rPr>
          <w:rFonts w:ascii="Times" w:eastAsia="MS Mincho" w:hAnsi="Times" w:cs="Times"/>
          <w:b/>
          <w:bCs/>
          <w:color w:val="074B8F"/>
          <w:sz w:val="20"/>
          <w:szCs w:val="20"/>
        </w:rPr>
        <w:t>■</w:t>
      </w:r>
      <w:r w:rsidRPr="007F1624">
        <w:rPr>
          <w:rFonts w:ascii="Times" w:eastAsia="Times New Roman" w:hAnsi="Times" w:cs="Times"/>
          <w:color w:val="074B8F"/>
          <w:sz w:val="20"/>
          <w:szCs w:val="20"/>
        </w:rPr>
        <w:t>CONCLUSIONES</w:t>
      </w:r>
    </w:p>
    <w:p w14:paraId="46F666EC" w14:textId="6B7FF143" w:rsidR="004B6B60" w:rsidRPr="007F1624" w:rsidRDefault="00531982" w:rsidP="00531982">
      <w:pPr>
        <w:jc w:val="both"/>
        <w:rPr>
          <w:rFonts w:ascii="Times" w:hAnsi="Times" w:cs="Times"/>
          <w:sz w:val="20"/>
          <w:lang w:val="es-ES"/>
        </w:rPr>
      </w:pPr>
      <w:r w:rsidRPr="007F1624">
        <w:rPr>
          <w:rFonts w:ascii="Times" w:hAnsi="Times" w:cs="Times"/>
          <w:sz w:val="20"/>
          <w:lang w:val="es-ES"/>
        </w:rPr>
        <w:t xml:space="preserve">Reflexiones de los resultados obtenidos sintetizando lo discutido en el texto. Las conclusiones deben ir en línea con los objetivos de la práctica planteados en el informe. </w:t>
      </w:r>
    </w:p>
    <w:p w14:paraId="7C440F86" w14:textId="77777777" w:rsidR="00675B34" w:rsidRPr="007F1624" w:rsidRDefault="00675B34" w:rsidP="00DD5272">
      <w:pPr>
        <w:spacing w:after="0" w:line="240" w:lineRule="auto"/>
        <w:jc w:val="both"/>
        <w:rPr>
          <w:rFonts w:ascii="Times" w:eastAsia="Times New Roman" w:hAnsi="Times" w:cs="Times"/>
          <w:color w:val="074B8F"/>
          <w:sz w:val="20"/>
          <w:szCs w:val="20"/>
        </w:rPr>
      </w:pPr>
    </w:p>
    <w:p w14:paraId="6BA7D314" w14:textId="5EA2F261" w:rsidR="00DD5272" w:rsidRPr="007F1624" w:rsidRDefault="00DD5272" w:rsidP="00DD5272">
      <w:pPr>
        <w:spacing w:after="0" w:line="240" w:lineRule="auto"/>
        <w:jc w:val="both"/>
        <w:rPr>
          <w:rFonts w:ascii="Times" w:eastAsia="Times New Roman" w:hAnsi="Times" w:cs="Times"/>
          <w:sz w:val="24"/>
          <w:szCs w:val="24"/>
        </w:rPr>
      </w:pPr>
      <w:r w:rsidRPr="007F1624">
        <w:rPr>
          <w:rFonts w:ascii="Times" w:eastAsia="MS Mincho" w:hAnsi="Times" w:cs="Times"/>
          <w:b/>
          <w:bCs/>
          <w:color w:val="074B8F"/>
          <w:sz w:val="20"/>
          <w:szCs w:val="20"/>
        </w:rPr>
        <w:t>■</w:t>
      </w:r>
      <w:r w:rsidRPr="007F1624">
        <w:rPr>
          <w:rFonts w:ascii="Times" w:eastAsia="Times New Roman" w:hAnsi="Times" w:cs="Times"/>
          <w:color w:val="074B8F"/>
          <w:sz w:val="20"/>
          <w:szCs w:val="20"/>
        </w:rPr>
        <w:t>REFERENCIAS</w:t>
      </w:r>
    </w:p>
    <w:p w14:paraId="7F510678" w14:textId="07D4523C" w:rsidR="00DD5272" w:rsidRPr="007F1624" w:rsidRDefault="00DD5272" w:rsidP="00E22F9A">
      <w:pPr>
        <w:spacing w:after="0" w:line="240" w:lineRule="auto"/>
        <w:jc w:val="both"/>
        <w:rPr>
          <w:rFonts w:ascii="Times" w:eastAsia="Times New Roman" w:hAnsi="Times" w:cs="Times"/>
          <w:bCs/>
          <w:color w:val="000000"/>
          <w:sz w:val="20"/>
          <w:szCs w:val="20"/>
        </w:rPr>
      </w:pPr>
    </w:p>
    <w:p w14:paraId="4F55A84D" w14:textId="77777777" w:rsidR="00675B34" w:rsidRDefault="00675B34" w:rsidP="00675B34">
      <w:pPr>
        <w:spacing w:after="0" w:line="240" w:lineRule="auto"/>
        <w:jc w:val="both"/>
        <w:rPr>
          <w:rFonts w:ascii="Times" w:eastAsia="Times New Roman" w:hAnsi="Times" w:cs="Times"/>
          <w:bCs/>
          <w:color w:val="000000"/>
          <w:sz w:val="20"/>
          <w:szCs w:val="20"/>
          <w:lang w:eastAsia="en-US"/>
        </w:rPr>
      </w:pPr>
      <w:r w:rsidRPr="007F1624">
        <w:rPr>
          <w:rFonts w:ascii="Times" w:eastAsia="Times New Roman" w:hAnsi="Times" w:cs="Times"/>
          <w:bCs/>
          <w:color w:val="000000"/>
          <w:sz w:val="20"/>
          <w:szCs w:val="20"/>
          <w:lang w:eastAsia="en-US"/>
        </w:rPr>
        <w:t>Referencias tipo ACS</w:t>
      </w:r>
      <w:r w:rsidR="008C0CBC" w:rsidRPr="007F1624">
        <w:rPr>
          <w:rFonts w:ascii="Times" w:eastAsia="Times New Roman" w:hAnsi="Times" w:cs="Times"/>
          <w:bCs/>
          <w:color w:val="000000"/>
          <w:sz w:val="20"/>
          <w:szCs w:val="20"/>
          <w:lang w:eastAsia="en-US"/>
        </w:rPr>
        <w:t>.</w:t>
      </w:r>
    </w:p>
    <w:p w14:paraId="1A173909" w14:textId="442EF212" w:rsidR="00AF4B53" w:rsidRDefault="00AF4B53" w:rsidP="00675B34">
      <w:pPr>
        <w:spacing w:after="0" w:line="240" w:lineRule="auto"/>
        <w:jc w:val="both"/>
        <w:rPr>
          <w:rFonts w:ascii="Arial" w:hAnsi="Arial" w:cs="Arial"/>
          <w:color w:val="222222"/>
          <w:sz w:val="20"/>
          <w:szCs w:val="20"/>
          <w:shd w:val="clear" w:color="auto" w:fill="FFFFFF"/>
          <w:lang w:val="en-US"/>
        </w:rPr>
      </w:pPr>
    </w:p>
    <w:p w14:paraId="580975DA" w14:textId="495A51C2" w:rsidR="00A44F8D" w:rsidRDefault="00A44F8D" w:rsidP="00675B34">
      <w:pPr>
        <w:spacing w:after="0" w:line="240" w:lineRule="auto"/>
        <w:jc w:val="both"/>
        <w:rPr>
          <w:rFonts w:ascii="Arial" w:hAnsi="Arial" w:cs="Arial"/>
          <w:color w:val="222222"/>
          <w:sz w:val="20"/>
          <w:szCs w:val="20"/>
          <w:shd w:val="clear" w:color="auto" w:fill="FFFFFF"/>
          <w:lang w:val="en-US"/>
        </w:rPr>
      </w:pPr>
      <w:r w:rsidRPr="00A44F8D">
        <w:rPr>
          <w:rFonts w:ascii="Arial" w:hAnsi="Arial" w:cs="Arial"/>
          <w:color w:val="222222"/>
          <w:sz w:val="20"/>
          <w:szCs w:val="20"/>
          <w:shd w:val="clear" w:color="auto" w:fill="FFFFFF"/>
          <w:lang w:val="en-US"/>
        </w:rPr>
        <w:t>John R. Rumble, ed. (2018). </w:t>
      </w:r>
      <w:r w:rsidRPr="00A44F8D">
        <w:rPr>
          <w:rFonts w:ascii="Arial" w:hAnsi="Arial" w:cs="Arial"/>
          <w:i/>
          <w:iCs/>
          <w:color w:val="222222"/>
          <w:sz w:val="20"/>
          <w:szCs w:val="20"/>
          <w:shd w:val="clear" w:color="auto" w:fill="FFFFFF"/>
          <w:lang w:val="en-US"/>
        </w:rPr>
        <w:t>CRC Handbook of Chemistry and Physics</w:t>
      </w:r>
      <w:r w:rsidRPr="00A44F8D">
        <w:rPr>
          <w:rFonts w:ascii="Arial" w:hAnsi="Arial" w:cs="Arial"/>
          <w:color w:val="222222"/>
          <w:sz w:val="20"/>
          <w:szCs w:val="20"/>
          <w:shd w:val="clear" w:color="auto" w:fill="FFFFFF"/>
          <w:lang w:val="en-US"/>
        </w:rPr>
        <w:t xml:space="preserve"> (99th ed.). </w:t>
      </w:r>
      <w:r>
        <w:rPr>
          <w:rFonts w:ascii="Arial" w:hAnsi="Arial" w:cs="Arial"/>
          <w:color w:val="222222"/>
          <w:sz w:val="20"/>
          <w:szCs w:val="20"/>
          <w:shd w:val="clear" w:color="auto" w:fill="FFFFFF"/>
        </w:rPr>
        <w:t xml:space="preserve">Boca </w:t>
      </w:r>
      <w:proofErr w:type="spellStart"/>
      <w:r>
        <w:rPr>
          <w:rFonts w:ascii="Arial" w:hAnsi="Arial" w:cs="Arial"/>
          <w:color w:val="222222"/>
          <w:sz w:val="20"/>
          <w:szCs w:val="20"/>
          <w:shd w:val="clear" w:color="auto" w:fill="FFFFFF"/>
        </w:rPr>
        <w:t>Raton</w:t>
      </w:r>
      <w:proofErr w:type="spellEnd"/>
      <w:r>
        <w:rPr>
          <w:rFonts w:ascii="Arial" w:hAnsi="Arial" w:cs="Arial"/>
          <w:color w:val="222222"/>
          <w:sz w:val="20"/>
          <w:szCs w:val="20"/>
          <w:shd w:val="clear" w:color="auto" w:fill="FFFFFF"/>
        </w:rPr>
        <w:t>, FL: CRC Pres</w:t>
      </w:r>
    </w:p>
    <w:p w14:paraId="251A36CD" w14:textId="77777777" w:rsidR="00A44F8D" w:rsidRDefault="00A44F8D" w:rsidP="00675B34">
      <w:pPr>
        <w:spacing w:after="0" w:line="240" w:lineRule="auto"/>
        <w:jc w:val="both"/>
        <w:rPr>
          <w:rFonts w:ascii="Arial" w:hAnsi="Arial" w:cs="Arial"/>
          <w:color w:val="222222"/>
          <w:sz w:val="20"/>
          <w:szCs w:val="20"/>
          <w:shd w:val="clear" w:color="auto" w:fill="FFFFFF"/>
          <w:lang w:val="en-US"/>
        </w:rPr>
      </w:pPr>
    </w:p>
    <w:p w14:paraId="485739D0" w14:textId="0EC0EB80" w:rsidR="00AF4B53" w:rsidRPr="007F1624" w:rsidRDefault="00AF4B53" w:rsidP="00675B34">
      <w:pPr>
        <w:spacing w:after="0" w:line="240" w:lineRule="auto"/>
        <w:jc w:val="both"/>
        <w:rPr>
          <w:rFonts w:ascii="Times" w:eastAsia="Times New Roman" w:hAnsi="Times" w:cs="Times"/>
          <w:bCs/>
          <w:color w:val="000000"/>
          <w:sz w:val="20"/>
          <w:szCs w:val="20"/>
        </w:rPr>
        <w:sectPr w:rsidR="00AF4B53" w:rsidRPr="007F1624" w:rsidSect="004B6B60">
          <w:type w:val="continuous"/>
          <w:pgSz w:w="12240" w:h="15840"/>
          <w:pgMar w:top="1440" w:right="1080" w:bottom="1440" w:left="1080" w:header="708" w:footer="708" w:gutter="0"/>
          <w:cols w:num="2" w:space="708"/>
          <w:docGrid w:linePitch="360"/>
        </w:sectPr>
      </w:pPr>
      <w:proofErr w:type="spellStart"/>
      <w:r w:rsidRPr="00AF4B53">
        <w:rPr>
          <w:rFonts w:ascii="Arial" w:hAnsi="Arial" w:cs="Arial"/>
          <w:color w:val="222222"/>
          <w:sz w:val="20"/>
          <w:szCs w:val="20"/>
          <w:shd w:val="clear" w:color="auto" w:fill="FFFFFF"/>
          <w:lang w:val="en-US"/>
        </w:rPr>
        <w:t>Flink</w:t>
      </w:r>
      <w:proofErr w:type="spellEnd"/>
      <w:r w:rsidRPr="00AF4B53">
        <w:rPr>
          <w:rFonts w:ascii="Arial" w:hAnsi="Arial" w:cs="Arial"/>
          <w:color w:val="222222"/>
          <w:sz w:val="20"/>
          <w:szCs w:val="20"/>
          <w:shd w:val="clear" w:color="auto" w:fill="FFFFFF"/>
          <w:lang w:val="en-US"/>
        </w:rPr>
        <w:t xml:space="preserve">, </w:t>
      </w:r>
      <w:proofErr w:type="spellStart"/>
      <w:r w:rsidRPr="00AF4B53">
        <w:rPr>
          <w:rFonts w:ascii="Arial" w:hAnsi="Arial" w:cs="Arial"/>
          <w:color w:val="222222"/>
          <w:sz w:val="20"/>
          <w:szCs w:val="20"/>
          <w:shd w:val="clear" w:color="auto" w:fill="FFFFFF"/>
          <w:lang w:val="en-US"/>
        </w:rPr>
        <w:t>Håkan</w:t>
      </w:r>
      <w:proofErr w:type="spellEnd"/>
      <w:r w:rsidRPr="00AF4B53">
        <w:rPr>
          <w:rFonts w:ascii="Arial" w:hAnsi="Arial" w:cs="Arial"/>
          <w:color w:val="222222"/>
          <w:sz w:val="20"/>
          <w:szCs w:val="20"/>
          <w:shd w:val="clear" w:color="auto" w:fill="FFFFFF"/>
          <w:lang w:val="en-US"/>
        </w:rPr>
        <w:t>. </w:t>
      </w:r>
      <w:r w:rsidRPr="00AF4B53">
        <w:rPr>
          <w:rFonts w:ascii="Arial" w:hAnsi="Arial" w:cs="Arial"/>
          <w:i/>
          <w:iCs/>
          <w:color w:val="222222"/>
          <w:sz w:val="20"/>
          <w:szCs w:val="20"/>
          <w:shd w:val="clear" w:color="auto" w:fill="FFFFFF"/>
          <w:lang w:val="en-US"/>
        </w:rPr>
        <w:t>Unstimulated human whole saliva flow rate in relation to hyposalivation and dental caries</w:t>
      </w:r>
      <w:r w:rsidRPr="00AF4B53">
        <w:rPr>
          <w:rFonts w:ascii="Arial" w:hAnsi="Arial" w:cs="Arial"/>
          <w:color w:val="222222"/>
          <w:sz w:val="20"/>
          <w:szCs w:val="20"/>
          <w:shd w:val="clear" w:color="auto" w:fill="FFFFFF"/>
          <w:lang w:val="en-US"/>
        </w:rPr>
        <w:t xml:space="preserve">. </w:t>
      </w:r>
      <w:proofErr w:type="spellStart"/>
      <w:r>
        <w:rPr>
          <w:rFonts w:ascii="Arial" w:hAnsi="Arial" w:cs="Arial"/>
          <w:color w:val="222222"/>
          <w:sz w:val="20"/>
          <w:szCs w:val="20"/>
          <w:shd w:val="clear" w:color="auto" w:fill="FFFFFF"/>
        </w:rPr>
        <w:t>Institutionen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för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odontologi</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Department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Odontology</w:t>
      </w:r>
      <w:proofErr w:type="spellEnd"/>
      <w:r>
        <w:rPr>
          <w:rFonts w:ascii="Arial" w:hAnsi="Arial" w:cs="Arial"/>
          <w:color w:val="222222"/>
          <w:sz w:val="20"/>
          <w:szCs w:val="20"/>
          <w:shd w:val="clear" w:color="auto" w:fill="FFFFFF"/>
        </w:rPr>
        <w:t>, 2005.</w:t>
      </w:r>
    </w:p>
    <w:p w14:paraId="5BCBBBE0" w14:textId="251E1025" w:rsidR="00AA1F1D" w:rsidRPr="007F1624" w:rsidRDefault="00AA1F1D" w:rsidP="004B395F">
      <w:pPr>
        <w:rPr>
          <w:rFonts w:ascii="Times" w:eastAsia="Times New Roman" w:hAnsi="Times" w:cs="Times"/>
          <w:sz w:val="24"/>
          <w:szCs w:val="24"/>
        </w:rPr>
        <w:sectPr w:rsidR="00AA1F1D" w:rsidRPr="007F1624" w:rsidSect="00930FC6">
          <w:type w:val="continuous"/>
          <w:pgSz w:w="12240" w:h="15840"/>
          <w:pgMar w:top="1440" w:right="1080" w:bottom="1440" w:left="1080" w:header="708" w:footer="708" w:gutter="0"/>
          <w:cols w:space="708"/>
          <w:docGrid w:linePitch="360"/>
        </w:sectPr>
      </w:pPr>
    </w:p>
    <w:p w14:paraId="163BCB49" w14:textId="04E20A12" w:rsidR="002E70D7" w:rsidRPr="007F1624" w:rsidRDefault="002E70D7" w:rsidP="006313E7">
      <w:pPr>
        <w:spacing w:after="0" w:line="240" w:lineRule="auto"/>
        <w:jc w:val="both"/>
        <w:rPr>
          <w:rFonts w:ascii="Times" w:eastAsia="Times New Roman" w:hAnsi="Times" w:cs="Times"/>
          <w:color w:val="074B8F"/>
          <w:sz w:val="20"/>
          <w:szCs w:val="20"/>
        </w:rPr>
        <w:sectPr w:rsidR="002E70D7" w:rsidRPr="007F1624" w:rsidSect="004B6B60">
          <w:type w:val="continuous"/>
          <w:pgSz w:w="12240" w:h="15840"/>
          <w:pgMar w:top="1440" w:right="1080" w:bottom="1440" w:left="1080" w:header="708" w:footer="708" w:gutter="0"/>
          <w:cols w:num="2" w:space="708"/>
          <w:docGrid w:linePitch="360"/>
        </w:sectPr>
      </w:pPr>
    </w:p>
    <w:p w14:paraId="0001EE94" w14:textId="77777777" w:rsidR="00B964D9" w:rsidRPr="007F1624" w:rsidRDefault="00B964D9" w:rsidP="00B964D9">
      <w:pPr>
        <w:rPr>
          <w:rFonts w:ascii="Times" w:hAnsi="Times" w:cs="Times"/>
          <w:lang w:val="es-ES"/>
        </w:rPr>
      </w:pPr>
    </w:p>
    <w:p w14:paraId="652A4841" w14:textId="77777777" w:rsidR="00B964D9" w:rsidRPr="007F1624" w:rsidRDefault="00B964D9" w:rsidP="00B964D9">
      <w:pPr>
        <w:jc w:val="center"/>
        <w:rPr>
          <w:rFonts w:ascii="Times" w:hAnsi="Times" w:cs="Times"/>
          <w:lang w:val="es-ES"/>
        </w:rPr>
      </w:pPr>
    </w:p>
    <w:p w14:paraId="2222D110" w14:textId="77777777" w:rsidR="00B964D9" w:rsidRPr="007F1624" w:rsidRDefault="00B964D9" w:rsidP="00B964D9">
      <w:pPr>
        <w:rPr>
          <w:rFonts w:ascii="Times" w:hAnsi="Times" w:cs="Times"/>
          <w:lang w:val="es-ES"/>
        </w:rPr>
      </w:pPr>
    </w:p>
    <w:p w14:paraId="2CBB2649" w14:textId="77777777" w:rsidR="00B964D9" w:rsidRPr="007F1624" w:rsidRDefault="00B964D9" w:rsidP="00B964D9">
      <w:pPr>
        <w:rPr>
          <w:rFonts w:ascii="Times" w:hAnsi="Times" w:cs="Times"/>
          <w:lang w:val="es-ES"/>
        </w:rPr>
      </w:pPr>
    </w:p>
    <w:p w14:paraId="22B87F56" w14:textId="77777777" w:rsidR="00B964D9" w:rsidRPr="007F1624" w:rsidRDefault="00B964D9" w:rsidP="00B964D9">
      <w:pPr>
        <w:rPr>
          <w:rFonts w:ascii="Times" w:hAnsi="Times" w:cs="Times"/>
          <w:lang w:val="es-ES"/>
        </w:rPr>
      </w:pPr>
    </w:p>
    <w:p w14:paraId="1AF9BE4B" w14:textId="77777777" w:rsidR="00B964D9" w:rsidRPr="007F1624" w:rsidRDefault="00B964D9" w:rsidP="00B964D9">
      <w:pPr>
        <w:rPr>
          <w:rFonts w:ascii="Times" w:hAnsi="Times" w:cs="Times"/>
          <w:lang w:val="es-ES"/>
        </w:rPr>
      </w:pPr>
    </w:p>
    <w:p w14:paraId="7A05F1A0" w14:textId="77777777" w:rsidR="00B964D9" w:rsidRPr="007F1624" w:rsidRDefault="00B964D9" w:rsidP="00B964D9">
      <w:pPr>
        <w:rPr>
          <w:rFonts w:ascii="Times" w:hAnsi="Times" w:cs="Times"/>
          <w:lang w:val="es-ES"/>
        </w:rPr>
      </w:pPr>
    </w:p>
    <w:p w14:paraId="511371AC" w14:textId="77777777" w:rsidR="00B964D9" w:rsidRPr="007F1624" w:rsidRDefault="00B964D9" w:rsidP="00B964D9">
      <w:pPr>
        <w:rPr>
          <w:rFonts w:ascii="Times" w:hAnsi="Times" w:cs="Times"/>
          <w:lang w:val="es-ES"/>
        </w:rPr>
      </w:pPr>
    </w:p>
    <w:p w14:paraId="71FCB8B6" w14:textId="77777777" w:rsidR="00B964D9" w:rsidRPr="007F1624" w:rsidRDefault="00B964D9" w:rsidP="00B964D9">
      <w:pPr>
        <w:rPr>
          <w:rFonts w:ascii="Times" w:hAnsi="Times" w:cs="Times"/>
          <w:lang w:val="es-ES"/>
        </w:rPr>
      </w:pPr>
    </w:p>
    <w:p w14:paraId="0747072C" w14:textId="77777777" w:rsidR="00B964D9" w:rsidRPr="007F1624" w:rsidRDefault="00B964D9" w:rsidP="00B964D9">
      <w:pPr>
        <w:rPr>
          <w:rFonts w:ascii="Times" w:hAnsi="Times" w:cs="Times"/>
          <w:lang w:val="es-ES"/>
        </w:rPr>
      </w:pPr>
    </w:p>
    <w:p w14:paraId="4AEAC992" w14:textId="77777777" w:rsidR="00B964D9" w:rsidRPr="007F1624" w:rsidRDefault="00B964D9" w:rsidP="00B964D9">
      <w:pPr>
        <w:rPr>
          <w:rFonts w:ascii="Times" w:hAnsi="Times" w:cs="Times"/>
          <w:lang w:val="es-ES"/>
        </w:rPr>
      </w:pPr>
    </w:p>
    <w:p w14:paraId="2C43D4C9" w14:textId="77777777" w:rsidR="00B964D9" w:rsidRPr="007F1624" w:rsidRDefault="00B964D9" w:rsidP="00B964D9">
      <w:pPr>
        <w:rPr>
          <w:rFonts w:ascii="Times" w:hAnsi="Times" w:cs="Times"/>
          <w:lang w:val="es-ES"/>
        </w:rPr>
      </w:pPr>
    </w:p>
    <w:p w14:paraId="4146E854" w14:textId="77777777" w:rsidR="00B964D9" w:rsidRPr="007F1624" w:rsidRDefault="00B964D9" w:rsidP="00B964D9">
      <w:pPr>
        <w:rPr>
          <w:rFonts w:ascii="Times" w:hAnsi="Times" w:cs="Times"/>
          <w:lang w:val="es-ES"/>
        </w:rPr>
      </w:pPr>
    </w:p>
    <w:p w14:paraId="584BB907" w14:textId="77777777" w:rsidR="00B964D9" w:rsidRPr="007F1624" w:rsidRDefault="00B964D9" w:rsidP="00B964D9">
      <w:pPr>
        <w:rPr>
          <w:rFonts w:ascii="Times" w:hAnsi="Times" w:cs="Times"/>
          <w:lang w:val="es-ES"/>
        </w:rPr>
      </w:pPr>
    </w:p>
    <w:p w14:paraId="6FAAB001" w14:textId="49CF7702" w:rsidR="00192C4D" w:rsidRPr="007F1624" w:rsidRDefault="00192C4D" w:rsidP="00192C4D">
      <w:pPr>
        <w:jc w:val="center"/>
        <w:rPr>
          <w:rFonts w:ascii="Times" w:hAnsi="Times" w:cs="Times"/>
          <w:lang w:val="es-ES"/>
        </w:rPr>
      </w:pPr>
    </w:p>
    <w:sectPr w:rsidR="00192C4D" w:rsidRPr="007F1624" w:rsidSect="00192C4D">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B8DBD" w14:textId="77777777" w:rsidR="005C3EDC" w:rsidRDefault="005C3EDC" w:rsidP="00E22F9A">
      <w:pPr>
        <w:spacing w:after="0" w:line="240" w:lineRule="auto"/>
      </w:pPr>
      <w:r>
        <w:separator/>
      </w:r>
    </w:p>
  </w:endnote>
  <w:endnote w:type="continuationSeparator" w:id="0">
    <w:p w14:paraId="03182327" w14:textId="77777777" w:rsidR="005C3EDC" w:rsidRDefault="005C3EDC" w:rsidP="00E22F9A">
      <w:pPr>
        <w:spacing w:after="0" w:line="240" w:lineRule="auto"/>
      </w:pPr>
      <w:r>
        <w:continuationSeparator/>
      </w:r>
    </w:p>
  </w:endnote>
  <w:endnote w:type="continuationNotice" w:id="1">
    <w:p w14:paraId="0DD8AAEC" w14:textId="77777777" w:rsidR="005C3EDC" w:rsidRDefault="005C3E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44623"/>
      <w:docPartObj>
        <w:docPartGallery w:val="Page Numbers (Bottom of Page)"/>
        <w:docPartUnique/>
      </w:docPartObj>
    </w:sdtPr>
    <w:sdtEndPr/>
    <w:sdtContent>
      <w:sdt>
        <w:sdtPr>
          <w:id w:val="-2017536858"/>
          <w:docPartObj>
            <w:docPartGallery w:val="Page Numbers (Top of Page)"/>
            <w:docPartUnique/>
          </w:docPartObj>
        </w:sdtPr>
        <w:sdtEndPr/>
        <w:sdtContent>
          <w:p w14:paraId="30B18669" w14:textId="75372C6B" w:rsidR="00420361" w:rsidRDefault="00420361">
            <w:pPr>
              <w:pStyle w:val="Footer"/>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C732904" w14:textId="77777777" w:rsidR="00420361" w:rsidRDefault="00420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519864"/>
      <w:docPartObj>
        <w:docPartGallery w:val="Page Numbers (Bottom of Page)"/>
        <w:docPartUnique/>
      </w:docPartObj>
    </w:sdtPr>
    <w:sdtEndPr/>
    <w:sdtContent>
      <w:sdt>
        <w:sdtPr>
          <w:id w:val="-275101918"/>
          <w:docPartObj>
            <w:docPartGallery w:val="Page Numbers (Top of Page)"/>
            <w:docPartUnique/>
          </w:docPartObj>
        </w:sdtPr>
        <w:sdtEndPr/>
        <w:sdtContent>
          <w:p w14:paraId="2167C854" w14:textId="4916C402" w:rsidR="00420361" w:rsidRDefault="00420361">
            <w:pPr>
              <w:pStyle w:val="Footer"/>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9A6918E" w14:textId="77777777" w:rsidR="00420361" w:rsidRDefault="00420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CCDAE" w14:textId="77777777" w:rsidR="005C3EDC" w:rsidRDefault="005C3EDC" w:rsidP="00E22F9A">
      <w:pPr>
        <w:spacing w:after="0" w:line="240" w:lineRule="auto"/>
      </w:pPr>
      <w:r>
        <w:separator/>
      </w:r>
    </w:p>
  </w:footnote>
  <w:footnote w:type="continuationSeparator" w:id="0">
    <w:p w14:paraId="76F09645" w14:textId="77777777" w:rsidR="005C3EDC" w:rsidRDefault="005C3EDC" w:rsidP="00E22F9A">
      <w:pPr>
        <w:spacing w:after="0" w:line="240" w:lineRule="auto"/>
      </w:pPr>
      <w:r>
        <w:continuationSeparator/>
      </w:r>
    </w:p>
  </w:footnote>
  <w:footnote w:type="continuationNotice" w:id="1">
    <w:p w14:paraId="5655FBD8" w14:textId="77777777" w:rsidR="005C3EDC" w:rsidRDefault="005C3E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C5A9A"/>
    <w:multiLevelType w:val="hybridMultilevel"/>
    <w:tmpl w:val="61BE0DB8"/>
    <w:lvl w:ilvl="0" w:tplc="D892D9D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7747527"/>
    <w:multiLevelType w:val="hybridMultilevel"/>
    <w:tmpl w:val="35788CBE"/>
    <w:lvl w:ilvl="0" w:tplc="B57E4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16312"/>
    <w:multiLevelType w:val="hybridMultilevel"/>
    <w:tmpl w:val="A2D07FB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F9A"/>
    <w:rsid w:val="000108AF"/>
    <w:rsid w:val="00036F4E"/>
    <w:rsid w:val="00047923"/>
    <w:rsid w:val="00092E3E"/>
    <w:rsid w:val="000973CA"/>
    <w:rsid w:val="00097EDD"/>
    <w:rsid w:val="000B71A8"/>
    <w:rsid w:val="000C4CB9"/>
    <w:rsid w:val="000F19C3"/>
    <w:rsid w:val="000F4B80"/>
    <w:rsid w:val="00105D0B"/>
    <w:rsid w:val="00136972"/>
    <w:rsid w:val="00141EA4"/>
    <w:rsid w:val="00160D73"/>
    <w:rsid w:val="00164E37"/>
    <w:rsid w:val="001760B7"/>
    <w:rsid w:val="00186AFA"/>
    <w:rsid w:val="00192C4D"/>
    <w:rsid w:val="00195BB2"/>
    <w:rsid w:val="001C7FC3"/>
    <w:rsid w:val="00203890"/>
    <w:rsid w:val="00230A85"/>
    <w:rsid w:val="002421C7"/>
    <w:rsid w:val="0026196F"/>
    <w:rsid w:val="002B2597"/>
    <w:rsid w:val="002C3992"/>
    <w:rsid w:val="002C520E"/>
    <w:rsid w:val="002D535F"/>
    <w:rsid w:val="002E0377"/>
    <w:rsid w:val="002E70D7"/>
    <w:rsid w:val="002E7689"/>
    <w:rsid w:val="00313A84"/>
    <w:rsid w:val="00333141"/>
    <w:rsid w:val="003341D5"/>
    <w:rsid w:val="003440C0"/>
    <w:rsid w:val="0035645B"/>
    <w:rsid w:val="00385045"/>
    <w:rsid w:val="00390337"/>
    <w:rsid w:val="00394604"/>
    <w:rsid w:val="003976DE"/>
    <w:rsid w:val="003A53E8"/>
    <w:rsid w:val="003C6FCD"/>
    <w:rsid w:val="003E0A39"/>
    <w:rsid w:val="00420361"/>
    <w:rsid w:val="0044360E"/>
    <w:rsid w:val="00475420"/>
    <w:rsid w:val="004A0281"/>
    <w:rsid w:val="004B395F"/>
    <w:rsid w:val="004B67FB"/>
    <w:rsid w:val="004B6B60"/>
    <w:rsid w:val="004E074D"/>
    <w:rsid w:val="004F2EC9"/>
    <w:rsid w:val="00531982"/>
    <w:rsid w:val="005B009E"/>
    <w:rsid w:val="005C3EDC"/>
    <w:rsid w:val="005E11F3"/>
    <w:rsid w:val="005E152C"/>
    <w:rsid w:val="005F1EAD"/>
    <w:rsid w:val="005F5FB1"/>
    <w:rsid w:val="006068FB"/>
    <w:rsid w:val="006146A3"/>
    <w:rsid w:val="0061700F"/>
    <w:rsid w:val="00621FAD"/>
    <w:rsid w:val="00623F3A"/>
    <w:rsid w:val="006313E7"/>
    <w:rsid w:val="006632E4"/>
    <w:rsid w:val="00663D0C"/>
    <w:rsid w:val="00672DC1"/>
    <w:rsid w:val="00675B34"/>
    <w:rsid w:val="0069000E"/>
    <w:rsid w:val="006A017E"/>
    <w:rsid w:val="006A1167"/>
    <w:rsid w:val="006A393F"/>
    <w:rsid w:val="006C1BA1"/>
    <w:rsid w:val="006C5C51"/>
    <w:rsid w:val="006E3181"/>
    <w:rsid w:val="00714707"/>
    <w:rsid w:val="00757555"/>
    <w:rsid w:val="007618C0"/>
    <w:rsid w:val="00781E14"/>
    <w:rsid w:val="007832D1"/>
    <w:rsid w:val="007B5131"/>
    <w:rsid w:val="007C2008"/>
    <w:rsid w:val="007C69BD"/>
    <w:rsid w:val="007D4249"/>
    <w:rsid w:val="007F1624"/>
    <w:rsid w:val="00841E40"/>
    <w:rsid w:val="00851C63"/>
    <w:rsid w:val="008557BC"/>
    <w:rsid w:val="008604BF"/>
    <w:rsid w:val="00864ADD"/>
    <w:rsid w:val="00867A7D"/>
    <w:rsid w:val="00872DB8"/>
    <w:rsid w:val="0088678A"/>
    <w:rsid w:val="008969E8"/>
    <w:rsid w:val="008B1DA1"/>
    <w:rsid w:val="008B4B17"/>
    <w:rsid w:val="008C0CBC"/>
    <w:rsid w:val="008D50EE"/>
    <w:rsid w:val="0091232F"/>
    <w:rsid w:val="009130EA"/>
    <w:rsid w:val="00930FC6"/>
    <w:rsid w:val="009C5F7D"/>
    <w:rsid w:val="009D3A8F"/>
    <w:rsid w:val="009E1794"/>
    <w:rsid w:val="009E358C"/>
    <w:rsid w:val="009F3E83"/>
    <w:rsid w:val="00A026E5"/>
    <w:rsid w:val="00A135FF"/>
    <w:rsid w:val="00A316BF"/>
    <w:rsid w:val="00A43041"/>
    <w:rsid w:val="00A44F8D"/>
    <w:rsid w:val="00A62498"/>
    <w:rsid w:val="00A64BED"/>
    <w:rsid w:val="00A905F3"/>
    <w:rsid w:val="00A92B74"/>
    <w:rsid w:val="00A94D2C"/>
    <w:rsid w:val="00A95D98"/>
    <w:rsid w:val="00AA1F1D"/>
    <w:rsid w:val="00AB08AD"/>
    <w:rsid w:val="00AB36D7"/>
    <w:rsid w:val="00AB414D"/>
    <w:rsid w:val="00AD4C30"/>
    <w:rsid w:val="00AD7C10"/>
    <w:rsid w:val="00AF4B53"/>
    <w:rsid w:val="00B0268F"/>
    <w:rsid w:val="00B037A4"/>
    <w:rsid w:val="00B1182A"/>
    <w:rsid w:val="00B17C44"/>
    <w:rsid w:val="00B964D9"/>
    <w:rsid w:val="00BA3E1F"/>
    <w:rsid w:val="00BF007C"/>
    <w:rsid w:val="00BF6624"/>
    <w:rsid w:val="00C00437"/>
    <w:rsid w:val="00C27044"/>
    <w:rsid w:val="00C311D6"/>
    <w:rsid w:val="00C4450A"/>
    <w:rsid w:val="00C9340F"/>
    <w:rsid w:val="00C94520"/>
    <w:rsid w:val="00C96CB6"/>
    <w:rsid w:val="00C977A2"/>
    <w:rsid w:val="00CA2FD5"/>
    <w:rsid w:val="00CA67D1"/>
    <w:rsid w:val="00CC52A6"/>
    <w:rsid w:val="00CC6109"/>
    <w:rsid w:val="00CD4B86"/>
    <w:rsid w:val="00CE7E8A"/>
    <w:rsid w:val="00D05468"/>
    <w:rsid w:val="00D534F9"/>
    <w:rsid w:val="00D747EF"/>
    <w:rsid w:val="00D93B74"/>
    <w:rsid w:val="00DB465F"/>
    <w:rsid w:val="00DB6F85"/>
    <w:rsid w:val="00DC1C2C"/>
    <w:rsid w:val="00DC76E7"/>
    <w:rsid w:val="00DD5272"/>
    <w:rsid w:val="00E22F9A"/>
    <w:rsid w:val="00E510A4"/>
    <w:rsid w:val="00E566B8"/>
    <w:rsid w:val="00E904C6"/>
    <w:rsid w:val="00EB158F"/>
    <w:rsid w:val="00ED316C"/>
    <w:rsid w:val="00EE168A"/>
    <w:rsid w:val="00EE4051"/>
    <w:rsid w:val="00EF1833"/>
    <w:rsid w:val="00F04ADF"/>
    <w:rsid w:val="00F101C2"/>
    <w:rsid w:val="00F10715"/>
    <w:rsid w:val="00F1175A"/>
    <w:rsid w:val="00F30E89"/>
    <w:rsid w:val="00F35040"/>
    <w:rsid w:val="00F74C88"/>
    <w:rsid w:val="00FA2C51"/>
    <w:rsid w:val="00FB2445"/>
    <w:rsid w:val="00FC3C9F"/>
    <w:rsid w:val="00FE768C"/>
    <w:rsid w:val="45EF3C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208C2"/>
  <w15:chartTrackingRefBased/>
  <w15:docId w15:val="{1C32DE8B-9B8F-490C-9215-CE06A6E8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F9A"/>
  </w:style>
  <w:style w:type="paragraph" w:styleId="Heading1">
    <w:name w:val="heading 1"/>
    <w:basedOn w:val="Normal"/>
    <w:link w:val="Heading1Char"/>
    <w:uiPriority w:val="9"/>
    <w:qFormat/>
    <w:rsid w:val="00BA3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F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E22F9A"/>
  </w:style>
  <w:style w:type="paragraph" w:styleId="Footer">
    <w:name w:val="footer"/>
    <w:basedOn w:val="Normal"/>
    <w:link w:val="FooterChar"/>
    <w:uiPriority w:val="99"/>
    <w:unhideWhenUsed/>
    <w:rsid w:val="00E22F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E22F9A"/>
  </w:style>
  <w:style w:type="table" w:styleId="TableGrid">
    <w:name w:val="Table Grid"/>
    <w:basedOn w:val="TableNormal"/>
    <w:uiPriority w:val="39"/>
    <w:rsid w:val="009E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37A4"/>
  </w:style>
  <w:style w:type="paragraph" w:styleId="ListParagraph">
    <w:name w:val="List Paragraph"/>
    <w:basedOn w:val="Normal"/>
    <w:uiPriority w:val="34"/>
    <w:qFormat/>
    <w:rsid w:val="006313E7"/>
    <w:pPr>
      <w:ind w:left="720"/>
      <w:contextualSpacing/>
    </w:pPr>
    <w:rPr>
      <w:rFonts w:eastAsiaTheme="minorHAnsi"/>
      <w:lang w:eastAsia="en-US"/>
    </w:rPr>
  </w:style>
  <w:style w:type="character" w:customStyle="1" w:styleId="Heading1Char">
    <w:name w:val="Heading 1 Char"/>
    <w:basedOn w:val="DefaultParagraphFont"/>
    <w:link w:val="Heading1"/>
    <w:uiPriority w:val="9"/>
    <w:rsid w:val="00BA3E1F"/>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88678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C9340F"/>
    <w:rPr>
      <w:color w:val="808080"/>
    </w:rPr>
  </w:style>
  <w:style w:type="table" w:styleId="PlainTable5">
    <w:name w:val="Plain Table 5"/>
    <w:basedOn w:val="TableNormal"/>
    <w:uiPriority w:val="45"/>
    <w:rsid w:val="005F5F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3939">
      <w:bodyDiv w:val="1"/>
      <w:marLeft w:val="0"/>
      <w:marRight w:val="0"/>
      <w:marTop w:val="0"/>
      <w:marBottom w:val="0"/>
      <w:divBdr>
        <w:top w:val="none" w:sz="0" w:space="0" w:color="auto"/>
        <w:left w:val="none" w:sz="0" w:space="0" w:color="auto"/>
        <w:bottom w:val="none" w:sz="0" w:space="0" w:color="auto"/>
        <w:right w:val="none" w:sz="0" w:space="0" w:color="auto"/>
      </w:divBdr>
    </w:div>
    <w:div w:id="504898536">
      <w:bodyDiv w:val="1"/>
      <w:marLeft w:val="0"/>
      <w:marRight w:val="0"/>
      <w:marTop w:val="0"/>
      <w:marBottom w:val="0"/>
      <w:divBdr>
        <w:top w:val="none" w:sz="0" w:space="0" w:color="auto"/>
        <w:left w:val="none" w:sz="0" w:space="0" w:color="auto"/>
        <w:bottom w:val="none" w:sz="0" w:space="0" w:color="auto"/>
        <w:right w:val="none" w:sz="0" w:space="0" w:color="auto"/>
      </w:divBdr>
    </w:div>
    <w:div w:id="1560940277">
      <w:bodyDiv w:val="1"/>
      <w:marLeft w:val="0"/>
      <w:marRight w:val="0"/>
      <w:marTop w:val="0"/>
      <w:marBottom w:val="0"/>
      <w:divBdr>
        <w:top w:val="none" w:sz="0" w:space="0" w:color="auto"/>
        <w:left w:val="none" w:sz="0" w:space="0" w:color="auto"/>
        <w:bottom w:val="none" w:sz="0" w:space="0" w:color="auto"/>
        <w:right w:val="none" w:sz="0" w:space="0" w:color="auto"/>
      </w:divBdr>
    </w:div>
    <w:div w:id="189053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1312</Words>
  <Characters>7219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Eliana Cabrera Diaz</dc:creator>
  <cp:keywords/>
  <dc:description/>
  <cp:lastModifiedBy>Juan Sebastian Barbosa Coy</cp:lastModifiedBy>
  <cp:revision>24</cp:revision>
  <dcterms:created xsi:type="dcterms:W3CDTF">2019-02-24T20:16:00Z</dcterms:created>
  <dcterms:modified xsi:type="dcterms:W3CDTF">2019-02-25T03:03:00Z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id="cEBakKOU"/&gt;&lt;style id="http://www.zotero.org/styles/american-chemical-society" hasBibliography="1" bibliographyStyleHasBeenSet="0"/&gt;&lt;prefs&gt;&lt;pref name="fieldType" value="Field"/&gt;&lt;/prefs&gt;&lt;/data&gt;</vt:lpwstr>
  </property>
</Properties>
</file>