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A844F" w14:textId="7E116AEF" w:rsidR="0020540F" w:rsidRPr="0020540F" w:rsidRDefault="0020540F" w:rsidP="0020540F">
      <w:pPr>
        <w:spacing w:after="0"/>
        <w:jc w:val="center"/>
        <w:rPr>
          <w:b/>
          <w:lang w:val="es-CO"/>
        </w:rPr>
      </w:pPr>
      <w:r w:rsidRPr="0020540F">
        <w:rPr>
          <w:b/>
          <w:lang w:val="es-CO"/>
        </w:rPr>
        <w:t>ESPECTROS DE IMPEDANCIA ELECTROQUÍMICA EN SOLUCIONES</w:t>
      </w:r>
    </w:p>
    <w:p w14:paraId="4DF28B03" w14:textId="77777777" w:rsidR="0020540F" w:rsidRPr="0020540F" w:rsidRDefault="0020540F" w:rsidP="0020540F">
      <w:pPr>
        <w:spacing w:after="0"/>
        <w:jc w:val="center"/>
        <w:rPr>
          <w:b/>
          <w:lang w:val="es-CO"/>
        </w:rPr>
      </w:pPr>
    </w:p>
    <w:p w14:paraId="22EAC27B" w14:textId="77777777" w:rsidR="0020540F" w:rsidRPr="0020540F" w:rsidRDefault="0020540F" w:rsidP="0020540F">
      <w:pPr>
        <w:spacing w:after="0"/>
        <w:jc w:val="center"/>
        <w:rPr>
          <w:b/>
          <w:lang w:val="es-CO"/>
        </w:rPr>
      </w:pPr>
    </w:p>
    <w:p w14:paraId="72BD92DA" w14:textId="3C9DEFB6" w:rsidR="0045682B" w:rsidRPr="00A13C09" w:rsidRDefault="0045682B" w:rsidP="00902EBB">
      <w:pPr>
        <w:pStyle w:val="ListParagraph"/>
        <w:numPr>
          <w:ilvl w:val="0"/>
          <w:numId w:val="1"/>
        </w:numPr>
        <w:spacing w:after="0"/>
        <w:rPr>
          <w:b/>
          <w:lang w:val="es-CO"/>
        </w:rPr>
      </w:pPr>
      <w:r w:rsidRPr="00A13C09">
        <w:rPr>
          <w:b/>
          <w:lang w:val="es-CO"/>
        </w:rPr>
        <w:t>Introducción</w:t>
      </w:r>
    </w:p>
    <w:p w14:paraId="10DA8176" w14:textId="77777777" w:rsidR="0020540F" w:rsidRDefault="0020540F" w:rsidP="0020540F">
      <w:pPr>
        <w:spacing w:after="0"/>
        <w:jc w:val="center"/>
        <w:rPr>
          <w:lang w:val="es-CO"/>
        </w:rPr>
      </w:pPr>
    </w:p>
    <w:p w14:paraId="45139B43" w14:textId="6CE55C1D" w:rsidR="0020540F" w:rsidRDefault="0020540F" w:rsidP="0020540F">
      <w:pPr>
        <w:spacing w:after="0"/>
        <w:jc w:val="both"/>
        <w:rPr>
          <w:lang w:val="es-CO"/>
        </w:rPr>
      </w:pPr>
      <w:r w:rsidRPr="0020540F">
        <w:rPr>
          <w:lang w:val="es-CO"/>
        </w:rPr>
        <w:t>En la última década, la Espectroscopía de Impedancia Electroquímica (EIS) se ha establecido como una de las herramientas analíticas más populares en la investigación de materiales. La técnica se está aplicando de manera amplia y efectiva a un gran número de áreas importantes de investigación y análisis de materiales, tales como estudios de corrosió</w:t>
      </w:r>
      <w:r w:rsidR="00EE7F9A">
        <w:rPr>
          <w:lang w:val="es-CO"/>
        </w:rPr>
        <w:t>n; m</w:t>
      </w:r>
      <w:r w:rsidRPr="0020540F">
        <w:rPr>
          <w:lang w:val="es-CO"/>
        </w:rPr>
        <w:t>onitoreo de propiedades de polímeros, coloides y revestimientos electrónicos e iónicos</w:t>
      </w:r>
      <w:r w:rsidR="00EE7F9A">
        <w:rPr>
          <w:lang w:val="es-CO"/>
        </w:rPr>
        <w:t>;</w:t>
      </w:r>
      <w:r w:rsidRPr="0020540F">
        <w:rPr>
          <w:lang w:val="es-CO"/>
        </w:rPr>
        <w:t xml:space="preserve"> mediciones en almacenamiento de energía, baterías y sistemas relacionados con pilas de combustible; análisis biológicos y sensores biomédicos; </w:t>
      </w:r>
      <w:r w:rsidR="00EE7F9A">
        <w:rPr>
          <w:lang w:val="es-CO"/>
        </w:rPr>
        <w:t>m</w:t>
      </w:r>
      <w:r w:rsidRPr="0020540F">
        <w:rPr>
          <w:lang w:val="es-CO"/>
        </w:rPr>
        <w:t>ediciones en semiconductores y electrolitos sólidos. La EIS permite estudiar</w:t>
      </w:r>
      <w:r w:rsidR="00EE7F9A">
        <w:rPr>
          <w:lang w:val="es-CO"/>
        </w:rPr>
        <w:t xml:space="preserve"> </w:t>
      </w:r>
      <w:r w:rsidRPr="0020540F">
        <w:rPr>
          <w:lang w:val="es-CO"/>
        </w:rPr>
        <w:t>procesos como la adsorción, el transporte de carga y masa y la cinética de reacciones secuenciales y paralelas acopladas</w:t>
      </w:r>
      <w:r w:rsidR="002D417F">
        <w:rPr>
          <w:lang w:val="es-CO"/>
        </w:rPr>
        <w:t xml:space="preserve"> [1]</w:t>
      </w:r>
      <w:r w:rsidRPr="0020540F">
        <w:rPr>
          <w:lang w:val="es-CO"/>
        </w:rPr>
        <w:t>.</w:t>
      </w:r>
    </w:p>
    <w:p w14:paraId="517B8C4C" w14:textId="0BC21D6C" w:rsidR="007A7816" w:rsidRDefault="007A7816" w:rsidP="0020540F">
      <w:pPr>
        <w:spacing w:after="0"/>
        <w:jc w:val="both"/>
        <w:rPr>
          <w:lang w:val="es-CO"/>
        </w:rPr>
      </w:pPr>
    </w:p>
    <w:p w14:paraId="30EF7B99" w14:textId="35779985" w:rsidR="007A7816" w:rsidRDefault="00F638D0" w:rsidP="0020540F">
      <w:pPr>
        <w:spacing w:after="0"/>
        <w:jc w:val="both"/>
        <w:rPr>
          <w:lang w:val="es-CO"/>
        </w:rPr>
      </w:pPr>
      <w:r w:rsidRPr="00F638D0">
        <w:rPr>
          <w:lang w:val="es-CO"/>
        </w:rPr>
        <w:t xml:space="preserve">Los datos de impedancia obtenidos experimentalmente para un sistema de electrodo/material pueden analizarse utilizando un modelo matemático exacto basado en una teoría física plausible que predice la impedancia teórica </w:t>
      </w:r>
      <w:proofErr w:type="spellStart"/>
      <w:r w:rsidRPr="00F638D0">
        <w:rPr>
          <w:lang w:val="es-CO"/>
        </w:rPr>
        <w:t>Z</w:t>
      </w:r>
      <w:r w:rsidRPr="00F638D0">
        <w:rPr>
          <w:vertAlign w:val="subscript"/>
          <w:lang w:val="es-CO"/>
        </w:rPr>
        <w:t>t</w:t>
      </w:r>
      <w:proofErr w:type="spellEnd"/>
      <w:r w:rsidRPr="00F638D0">
        <w:rPr>
          <w:lang w:val="es-CO"/>
        </w:rPr>
        <w:t>(</w:t>
      </w:r>
      <w:r>
        <w:rPr>
          <w:rFonts w:cstheme="minorHAnsi"/>
          <w:lang w:val="es-CO"/>
        </w:rPr>
        <w:t>ω</w:t>
      </w:r>
      <w:r w:rsidRPr="00F638D0">
        <w:rPr>
          <w:lang w:val="es-CO"/>
        </w:rPr>
        <w:t>) o mediante un circuito equivalente relativamente empírico</w:t>
      </w:r>
      <w:r w:rsidR="002D417F">
        <w:rPr>
          <w:lang w:val="es-CO"/>
        </w:rPr>
        <w:t>, estimando los parámetros,</w:t>
      </w:r>
      <w:r w:rsidRPr="00F638D0">
        <w:rPr>
          <w:lang w:val="es-CO"/>
        </w:rPr>
        <w:t xml:space="preserve"> cuyas predicciones de impedancia se pueden denotar con </w:t>
      </w:r>
      <w:proofErr w:type="spellStart"/>
      <w:r w:rsidRPr="00F638D0">
        <w:rPr>
          <w:lang w:val="es-CO"/>
        </w:rPr>
        <w:t>Z</w:t>
      </w:r>
      <w:r w:rsidRPr="00F638D0">
        <w:rPr>
          <w:vertAlign w:val="subscript"/>
          <w:lang w:val="es-CO"/>
        </w:rPr>
        <w:t>ec</w:t>
      </w:r>
      <w:proofErr w:type="spellEnd"/>
      <w:r w:rsidRPr="00F638D0">
        <w:rPr>
          <w:lang w:val="es-CO"/>
        </w:rPr>
        <w:t>(</w:t>
      </w:r>
      <w:r>
        <w:rPr>
          <w:rFonts w:cstheme="minorHAnsi"/>
          <w:lang w:val="es-CO"/>
        </w:rPr>
        <w:t>ω</w:t>
      </w:r>
      <w:r w:rsidRPr="00F638D0">
        <w:rPr>
          <w:lang w:val="es-CO"/>
        </w:rPr>
        <w:t>)</w:t>
      </w:r>
      <w:r>
        <w:rPr>
          <w:lang w:val="es-CO"/>
        </w:rPr>
        <w:t xml:space="preserve">. </w:t>
      </w:r>
      <w:r w:rsidR="00574882" w:rsidRPr="00574882">
        <w:rPr>
          <w:lang w:val="es-CO"/>
        </w:rPr>
        <w:t xml:space="preserve">Las desventajas de la </w:t>
      </w:r>
      <w:r w:rsidR="008C73ED">
        <w:rPr>
          <w:lang w:val="es-CO"/>
        </w:rPr>
        <w:t>E</w:t>
      </w:r>
      <w:r w:rsidR="00574882" w:rsidRPr="00574882">
        <w:rPr>
          <w:lang w:val="es-CO"/>
        </w:rPr>
        <w:t>IS se asocian principalmente con posibles ambigüedades en la interpretación. Una complicación importante de los análisis basados en un circuito equivalente es que los elementos de circuito ideal representan propiedades constantes ideales. En estas condiciones, los elementos ideales del circuito pueden ser inadecuados para describir la respuesta eléctrica. Muchos han observado en el campo que el uso de elementos de impedancia distribuida [por ejemplo, Los elementos de fase constante (CPE)</w:t>
      </w:r>
      <w:r w:rsidR="003F74C7">
        <w:rPr>
          <w:lang w:val="es-CO"/>
        </w:rPr>
        <w:t>}</w:t>
      </w:r>
      <w:r w:rsidR="00574882" w:rsidRPr="00574882">
        <w:rPr>
          <w:lang w:val="es-CO"/>
        </w:rPr>
        <w:t xml:space="preserve"> en el circuito equivalente ayudan en gran medida al proceso de ajuste de los datos de impedancia observada para una celda con propiedades distribuidas</w:t>
      </w:r>
      <w:r w:rsidR="003F74C7">
        <w:rPr>
          <w:lang w:val="es-CO"/>
        </w:rPr>
        <w:t>. [2]</w:t>
      </w:r>
    </w:p>
    <w:p w14:paraId="1FF11AB2" w14:textId="48494A20" w:rsidR="0020540F" w:rsidRDefault="0020540F" w:rsidP="0020540F">
      <w:pPr>
        <w:spacing w:after="0"/>
        <w:jc w:val="both"/>
        <w:rPr>
          <w:lang w:val="es-CO"/>
        </w:rPr>
      </w:pPr>
    </w:p>
    <w:p w14:paraId="602E250C" w14:textId="6315782B" w:rsidR="00A13C09" w:rsidRDefault="003F74C7" w:rsidP="0020540F">
      <w:pPr>
        <w:spacing w:after="0"/>
        <w:jc w:val="both"/>
        <w:rPr>
          <w:lang w:val="es-CO"/>
        </w:rPr>
      </w:pPr>
      <w:r w:rsidRPr="003F74C7">
        <w:rPr>
          <w:lang w:val="es-CO"/>
        </w:rPr>
        <w:t>El presente informe</w:t>
      </w:r>
      <w:r>
        <w:rPr>
          <w:lang w:val="es-CO"/>
        </w:rPr>
        <w:t xml:space="preserve"> contiene los espectros de impedancia </w:t>
      </w:r>
      <w:r w:rsidR="00A13C09">
        <w:rPr>
          <w:lang w:val="es-CO"/>
        </w:rPr>
        <w:t xml:space="preserve">junto con </w:t>
      </w:r>
      <w:r>
        <w:rPr>
          <w:lang w:val="es-CO"/>
        </w:rPr>
        <w:t>los circuitos ajustados</w:t>
      </w:r>
      <w:r w:rsidR="00A13C09">
        <w:rPr>
          <w:lang w:val="es-CO"/>
        </w:rPr>
        <w:t xml:space="preserve"> </w:t>
      </w:r>
      <w:r w:rsidR="00A13C09">
        <w:rPr>
          <w:lang w:val="es-CO"/>
        </w:rPr>
        <w:t xml:space="preserve">de disoluciones </w:t>
      </w:r>
      <w:r w:rsidR="00A13C09">
        <w:rPr>
          <w:lang w:val="es-CO"/>
        </w:rPr>
        <w:t xml:space="preserve">a diferentes </w:t>
      </w:r>
      <w:r>
        <w:rPr>
          <w:lang w:val="es-CO"/>
        </w:rPr>
        <w:t>concentraci</w:t>
      </w:r>
      <w:r w:rsidR="00A13C09">
        <w:rPr>
          <w:lang w:val="es-CO"/>
        </w:rPr>
        <w:t xml:space="preserve">ones del electrolito y variando de </w:t>
      </w:r>
      <w:r>
        <w:rPr>
          <w:lang w:val="es-CO"/>
        </w:rPr>
        <w:t>los iones presentes</w:t>
      </w:r>
      <w:r w:rsidR="00A13C09">
        <w:rPr>
          <w:lang w:val="es-CO"/>
        </w:rPr>
        <w:t>.</w:t>
      </w:r>
    </w:p>
    <w:p w14:paraId="49AFF42B" w14:textId="77777777" w:rsidR="00A13C09" w:rsidRDefault="00A13C09" w:rsidP="0020540F">
      <w:pPr>
        <w:spacing w:after="0"/>
        <w:jc w:val="both"/>
        <w:rPr>
          <w:lang w:val="es-CO"/>
        </w:rPr>
      </w:pPr>
    </w:p>
    <w:p w14:paraId="3EAD7A0D" w14:textId="7E36FAB2" w:rsidR="003F74C7" w:rsidRPr="00902EBB" w:rsidRDefault="00A13C09" w:rsidP="00A13C09">
      <w:pPr>
        <w:pStyle w:val="ListParagraph"/>
        <w:numPr>
          <w:ilvl w:val="0"/>
          <w:numId w:val="1"/>
        </w:numPr>
        <w:spacing w:after="0"/>
        <w:jc w:val="both"/>
        <w:rPr>
          <w:b/>
          <w:lang w:val="es-CO"/>
        </w:rPr>
      </w:pPr>
      <w:r w:rsidRPr="00902EBB">
        <w:rPr>
          <w:b/>
          <w:lang w:val="es-CO"/>
        </w:rPr>
        <w:t>Parte experimental</w:t>
      </w:r>
    </w:p>
    <w:p w14:paraId="03224E9E" w14:textId="69361C30" w:rsidR="00902EBB" w:rsidRDefault="00902EBB" w:rsidP="00902EBB">
      <w:pPr>
        <w:spacing w:after="0"/>
        <w:jc w:val="both"/>
        <w:rPr>
          <w:b/>
          <w:lang w:val="es-CO"/>
        </w:rPr>
      </w:pPr>
    </w:p>
    <w:p w14:paraId="18F86C59" w14:textId="590D6981" w:rsidR="00201E43" w:rsidRDefault="0023225C" w:rsidP="00902EBB">
      <w:pPr>
        <w:spacing w:after="0"/>
        <w:jc w:val="both"/>
        <w:rPr>
          <w:lang w:val="es-CO"/>
        </w:rPr>
      </w:pPr>
      <w:r>
        <w:rPr>
          <w:lang w:val="es-CO"/>
        </w:rPr>
        <w:t xml:space="preserve">Los espectros de impedancia fueron realizados en un sistema de tres electrodos: un electrodo de oro, </w:t>
      </w:r>
      <w:r>
        <w:rPr>
          <w:lang w:val="es-CO"/>
        </w:rPr>
        <w:t>un electrodo de Ag/AgCl</w:t>
      </w:r>
      <w:r>
        <w:rPr>
          <w:lang w:val="es-CO"/>
        </w:rPr>
        <w:t xml:space="preserve"> y una barra de platino como electrodo de trabajo, de referencia y contraelectrodo respectivamente. </w:t>
      </w:r>
      <w:r w:rsidR="00902EBB">
        <w:rPr>
          <w:lang w:val="es-CO"/>
        </w:rPr>
        <w:t xml:space="preserve">El electrodo de trabajo de oro fue pulido con </w:t>
      </w:r>
      <w:r w:rsidR="00902EBB" w:rsidRPr="00902EBB">
        <w:rPr>
          <w:lang w:val="es-CO"/>
        </w:rPr>
        <w:t>Al</w:t>
      </w:r>
      <w:r w:rsidR="00902EBB" w:rsidRPr="00902EBB">
        <w:rPr>
          <w:vertAlign w:val="subscript"/>
          <w:lang w:val="es-CO"/>
        </w:rPr>
        <w:t>2</w:t>
      </w:r>
      <w:r w:rsidR="00902EBB" w:rsidRPr="00902EBB">
        <w:rPr>
          <w:lang w:val="es-CO"/>
        </w:rPr>
        <w:t>O</w:t>
      </w:r>
      <w:r w:rsidR="00902EBB" w:rsidRPr="00902EBB">
        <w:rPr>
          <w:vertAlign w:val="subscript"/>
          <w:lang w:val="es-CO"/>
        </w:rPr>
        <w:t>3</w:t>
      </w:r>
      <w:r w:rsidR="00902EBB">
        <w:rPr>
          <w:lang w:val="es-CO"/>
        </w:rPr>
        <w:t xml:space="preserve"> de </w:t>
      </w:r>
      <w:r w:rsidR="00902EBB" w:rsidRPr="0005471D">
        <w:rPr>
          <w:lang w:val="es-CO"/>
        </w:rPr>
        <w:t>1, 0,</w:t>
      </w:r>
      <w:r w:rsidR="0005471D" w:rsidRPr="0005471D">
        <w:rPr>
          <w:lang w:val="es-CO"/>
        </w:rPr>
        <w:t>3</w:t>
      </w:r>
      <w:r w:rsidR="00902EBB" w:rsidRPr="0005471D">
        <w:rPr>
          <w:lang w:val="es-CO"/>
        </w:rPr>
        <w:t xml:space="preserve"> y 0,</w:t>
      </w:r>
      <w:r w:rsidR="0005471D" w:rsidRPr="0005471D">
        <w:rPr>
          <w:lang w:val="es-CO"/>
        </w:rPr>
        <w:t>05</w:t>
      </w:r>
      <w:r w:rsidR="00902EBB" w:rsidRPr="0005471D">
        <w:rPr>
          <w:lang w:val="es-CO"/>
        </w:rPr>
        <w:t xml:space="preserve"> </w:t>
      </w:r>
      <w:proofErr w:type="spellStart"/>
      <w:r w:rsidR="00902EBB" w:rsidRPr="0005471D">
        <w:rPr>
          <w:rFonts w:cstheme="minorHAnsi"/>
          <w:lang w:val="es-CO"/>
        </w:rPr>
        <w:t>μ</w:t>
      </w:r>
      <w:r w:rsidR="00902EBB" w:rsidRPr="0005471D">
        <w:rPr>
          <w:lang w:val="es-CO"/>
        </w:rPr>
        <w:t>m</w:t>
      </w:r>
      <w:proofErr w:type="spellEnd"/>
      <w:r w:rsidR="00902EBB" w:rsidRPr="0005471D">
        <w:rPr>
          <w:lang w:val="es-CO"/>
        </w:rPr>
        <w:t xml:space="preserve"> </w:t>
      </w:r>
      <w:r w:rsidR="00902EBB">
        <w:rPr>
          <w:lang w:val="es-CO"/>
        </w:rPr>
        <w:t xml:space="preserve">de diámetro </w:t>
      </w:r>
      <w:r w:rsidR="00902EBB" w:rsidRPr="00902EBB">
        <w:rPr>
          <w:lang w:val="es-CO"/>
        </w:rPr>
        <w:t>sobre</w:t>
      </w:r>
      <w:r w:rsidR="00902EBB">
        <w:rPr>
          <w:lang w:val="es-CO"/>
        </w:rPr>
        <w:t xml:space="preserve"> una almohadilla apropiada</w:t>
      </w:r>
      <w:r>
        <w:rPr>
          <w:lang w:val="es-CO"/>
        </w:rPr>
        <w:t xml:space="preserve"> y </w:t>
      </w:r>
      <w:r w:rsidR="00760037">
        <w:rPr>
          <w:lang w:val="es-CO"/>
        </w:rPr>
        <w:t xml:space="preserve">posteriormente </w:t>
      </w:r>
      <w:r>
        <w:rPr>
          <w:lang w:val="es-CO"/>
        </w:rPr>
        <w:t xml:space="preserve">activado con voltamperometría cíclica usando 20 barridos </w:t>
      </w:r>
      <w:r w:rsidR="00EC616F">
        <w:rPr>
          <w:lang w:val="es-CO"/>
        </w:rPr>
        <w:t>desde -0,2</w:t>
      </w:r>
      <w:r w:rsidR="00760037">
        <w:rPr>
          <w:lang w:val="es-CO"/>
        </w:rPr>
        <w:t xml:space="preserve"> </w:t>
      </w:r>
      <w:r w:rsidR="00EC616F">
        <w:rPr>
          <w:lang w:val="es-CO"/>
        </w:rPr>
        <w:t>V hasta 1,6 V</w:t>
      </w:r>
      <w:r w:rsidR="00760037">
        <w:rPr>
          <w:lang w:val="es-CO"/>
        </w:rPr>
        <w:t xml:space="preserve"> en </w:t>
      </w:r>
      <w:r w:rsidR="0005471D">
        <w:rPr>
          <w:lang w:val="es-CO"/>
        </w:rPr>
        <w:t>agua</w:t>
      </w:r>
      <w:r w:rsidR="00760037">
        <w:rPr>
          <w:lang w:val="es-CO"/>
        </w:rPr>
        <w:t xml:space="preserve">. </w:t>
      </w:r>
    </w:p>
    <w:p w14:paraId="729571E5" w14:textId="77777777" w:rsidR="003D4E3A" w:rsidRDefault="003D4E3A" w:rsidP="00902EBB">
      <w:pPr>
        <w:spacing w:after="0"/>
        <w:jc w:val="both"/>
        <w:rPr>
          <w:lang w:val="es-CO"/>
        </w:rPr>
      </w:pPr>
    </w:p>
    <w:p w14:paraId="2F5FBBAB" w14:textId="4DC64014" w:rsidR="001F51C1" w:rsidRDefault="00201E43" w:rsidP="00902EBB">
      <w:pPr>
        <w:spacing w:after="0"/>
        <w:jc w:val="both"/>
        <w:rPr>
          <w:lang w:val="es-CO"/>
        </w:rPr>
      </w:pPr>
      <w:r>
        <w:rPr>
          <w:lang w:val="es-CO"/>
        </w:rPr>
        <w:t>Una solución 1</w:t>
      </w:r>
      <w:r w:rsidR="003D4E3A">
        <w:rPr>
          <w:lang w:val="es-CO"/>
        </w:rPr>
        <w:t>,</w:t>
      </w:r>
      <w:r>
        <w:rPr>
          <w:lang w:val="es-CO"/>
        </w:rPr>
        <w:t xml:space="preserve">0 M de perclorato de litio fue </w:t>
      </w:r>
      <w:proofErr w:type="gramStart"/>
      <w:r>
        <w:rPr>
          <w:lang w:val="es-CO"/>
        </w:rPr>
        <w:t>prepa</w:t>
      </w:r>
      <w:bookmarkStart w:id="0" w:name="_GoBack"/>
      <w:bookmarkEnd w:id="0"/>
      <w:r>
        <w:rPr>
          <w:lang w:val="es-CO"/>
        </w:rPr>
        <w:t>rada</w:t>
      </w:r>
      <w:proofErr w:type="gramEnd"/>
      <w:r>
        <w:rPr>
          <w:lang w:val="es-CO"/>
        </w:rPr>
        <w:t xml:space="preserve"> disolviendo 5</w:t>
      </w:r>
      <w:r w:rsidR="003D4E3A">
        <w:rPr>
          <w:lang w:val="es-CO"/>
        </w:rPr>
        <w:t>,</w:t>
      </w:r>
      <w:r>
        <w:rPr>
          <w:lang w:val="es-CO"/>
        </w:rPr>
        <w:t xml:space="preserve">319 g de LiClO4 en 50 </w:t>
      </w:r>
      <w:proofErr w:type="spellStart"/>
      <w:r>
        <w:rPr>
          <w:lang w:val="es-CO"/>
        </w:rPr>
        <w:t>mL</w:t>
      </w:r>
      <w:proofErr w:type="spellEnd"/>
      <w:r>
        <w:rPr>
          <w:lang w:val="es-CO"/>
        </w:rPr>
        <w:t xml:space="preserve"> de agua, de esta solución se tomaron 12</w:t>
      </w:r>
      <w:r w:rsidR="003D4E3A">
        <w:rPr>
          <w:lang w:val="es-CO"/>
        </w:rPr>
        <w:t>,</w:t>
      </w:r>
      <w:r>
        <w:rPr>
          <w:lang w:val="es-CO"/>
        </w:rPr>
        <w:t xml:space="preserve">5 </w:t>
      </w:r>
      <w:proofErr w:type="spellStart"/>
      <w:r>
        <w:rPr>
          <w:lang w:val="es-CO"/>
        </w:rPr>
        <w:t>mL</w:t>
      </w:r>
      <w:proofErr w:type="spellEnd"/>
      <w:r w:rsidR="003D4E3A">
        <w:rPr>
          <w:lang w:val="es-CO"/>
        </w:rPr>
        <w:t xml:space="preserve"> los cuales fueron dispuestos en un balón aforado de 25 </w:t>
      </w:r>
      <w:proofErr w:type="spellStart"/>
      <w:r w:rsidR="003D4E3A">
        <w:rPr>
          <w:lang w:val="es-CO"/>
        </w:rPr>
        <w:t>mL</w:t>
      </w:r>
      <w:proofErr w:type="spellEnd"/>
      <w:r w:rsidR="003D4E3A">
        <w:rPr>
          <w:lang w:val="es-CO"/>
        </w:rPr>
        <w:t xml:space="preserve"> para obtener una solución 0,5 M. De manera análoga se obtuvo una solución 0,1 M usando 2,5 </w:t>
      </w:r>
      <w:proofErr w:type="spellStart"/>
      <w:r w:rsidR="003D4E3A">
        <w:rPr>
          <w:lang w:val="es-CO"/>
        </w:rPr>
        <w:t>mL</w:t>
      </w:r>
      <w:proofErr w:type="spellEnd"/>
      <w:r w:rsidR="003D4E3A">
        <w:rPr>
          <w:lang w:val="es-CO"/>
        </w:rPr>
        <w:t xml:space="preserve"> de la solución 1,0 M en 25 </w:t>
      </w:r>
      <w:proofErr w:type="spellStart"/>
      <w:r w:rsidR="003D4E3A">
        <w:rPr>
          <w:lang w:val="es-CO"/>
        </w:rPr>
        <w:t>mL</w:t>
      </w:r>
      <w:proofErr w:type="spellEnd"/>
      <w:r w:rsidR="003D4E3A">
        <w:rPr>
          <w:lang w:val="es-CO"/>
        </w:rPr>
        <w:t xml:space="preserve"> de agua. Una cuarta solución 0,1 M fue </w:t>
      </w:r>
      <w:proofErr w:type="gramStart"/>
      <w:r w:rsidR="003D4E3A">
        <w:rPr>
          <w:lang w:val="es-CO"/>
        </w:rPr>
        <w:t>preparada</w:t>
      </w:r>
      <w:proofErr w:type="gramEnd"/>
      <w:r w:rsidR="003D4E3A">
        <w:rPr>
          <w:lang w:val="es-CO"/>
        </w:rPr>
        <w:t xml:space="preserve"> disolviendo 0.266 g de LiClO4 en 25 </w:t>
      </w:r>
      <w:proofErr w:type="spellStart"/>
      <w:r w:rsidR="003D4E3A">
        <w:rPr>
          <w:lang w:val="es-CO"/>
        </w:rPr>
        <w:t>mL</w:t>
      </w:r>
      <w:proofErr w:type="spellEnd"/>
      <w:r w:rsidR="003D4E3A">
        <w:rPr>
          <w:lang w:val="es-CO"/>
        </w:rPr>
        <w:t xml:space="preserve"> de acetonitrilo, el cual fue previamente secado usando tamiz molecular. Finalmente fue preparada una solución de sulfato de sodio 0,1 M usando 0,355 g de Na2SO4 los cuales fueron disueltos </w:t>
      </w:r>
      <w:r w:rsidR="003D4E3A">
        <w:rPr>
          <w:lang w:val="es-CO"/>
        </w:rPr>
        <w:lastRenderedPageBreak/>
        <w:t xml:space="preserve">en un balón aforado de 25 </w:t>
      </w:r>
      <w:proofErr w:type="spellStart"/>
      <w:r w:rsidR="003D4E3A">
        <w:rPr>
          <w:lang w:val="es-CO"/>
        </w:rPr>
        <w:t>mL</w:t>
      </w:r>
      <w:proofErr w:type="spellEnd"/>
      <w:r w:rsidR="003D4E3A">
        <w:rPr>
          <w:lang w:val="es-CO"/>
        </w:rPr>
        <w:t>.</w:t>
      </w:r>
      <w:r w:rsidR="00760037">
        <w:rPr>
          <w:lang w:val="es-CO"/>
        </w:rPr>
        <w:t xml:space="preserve"> Cada activación del electrodo y cada medida de espectro de impedancia fue realizada después de gasificar la solución con nitrógeno durante 10 minutos.</w:t>
      </w:r>
    </w:p>
    <w:p w14:paraId="0F6C38CC" w14:textId="77777777" w:rsidR="001F51C1" w:rsidRDefault="001F51C1" w:rsidP="00902EBB">
      <w:pPr>
        <w:spacing w:after="0"/>
        <w:jc w:val="both"/>
        <w:rPr>
          <w:lang w:val="es-CO"/>
        </w:rPr>
      </w:pPr>
    </w:p>
    <w:p w14:paraId="11AD657F" w14:textId="618E64FC" w:rsidR="00760037" w:rsidRDefault="00760037" w:rsidP="00760037">
      <w:pPr>
        <w:pStyle w:val="ListParagraph"/>
        <w:numPr>
          <w:ilvl w:val="0"/>
          <w:numId w:val="1"/>
        </w:numPr>
        <w:spacing w:after="0"/>
        <w:jc w:val="both"/>
        <w:rPr>
          <w:b/>
          <w:lang w:val="es-CO"/>
        </w:rPr>
      </w:pPr>
      <w:r w:rsidRPr="00760037">
        <w:rPr>
          <w:b/>
          <w:lang w:val="es-CO"/>
        </w:rPr>
        <w:t>Análisis de resultados</w:t>
      </w:r>
    </w:p>
    <w:p w14:paraId="59C38B0E" w14:textId="0C0EF447" w:rsidR="001F51C1" w:rsidRDefault="001F51C1" w:rsidP="001F51C1">
      <w:pPr>
        <w:spacing w:after="0"/>
        <w:jc w:val="both"/>
        <w:rPr>
          <w:lang w:val="es-CO"/>
        </w:rPr>
      </w:pPr>
    </w:p>
    <w:p w14:paraId="34BDF4C0" w14:textId="4EA7314D" w:rsidR="001F51C1" w:rsidRPr="0029578D" w:rsidRDefault="001F51C1" w:rsidP="001F51C1">
      <w:pPr>
        <w:spacing w:after="0"/>
        <w:jc w:val="both"/>
        <w:rPr>
          <w:lang w:val="es-CO"/>
        </w:rPr>
      </w:pPr>
      <w:r>
        <w:rPr>
          <w:lang w:val="es-CO"/>
        </w:rPr>
        <w:t xml:space="preserve">Como protocolo </w:t>
      </w:r>
      <w:r w:rsidR="0029578D">
        <w:rPr>
          <w:lang w:val="es-CO"/>
        </w:rPr>
        <w:t xml:space="preserve">en las medidas electroquímicas, se tiene que limpiar cada electrodo apropiadamente. El electrodo de platino se somete a fuego de gas propano durante algunos segundos para que cualquier sustancia orgánica e inorgánica sea </w:t>
      </w:r>
      <w:r w:rsidR="0029578D" w:rsidRPr="00752B7D">
        <w:rPr>
          <w:lang w:val="es-CO"/>
        </w:rPr>
        <w:t>quemada</w:t>
      </w:r>
      <w:r w:rsidR="0029578D" w:rsidRPr="0029578D">
        <w:rPr>
          <w:color w:val="FF0000"/>
          <w:lang w:val="es-CO"/>
        </w:rPr>
        <w:t xml:space="preserve">. </w:t>
      </w:r>
      <w:r w:rsidR="0029578D">
        <w:rPr>
          <w:lang w:val="es-CO"/>
        </w:rPr>
        <w:t>El electrodo de oro se pule con polvo de alúmina en agua para retirar cualquier partícula de la superficie</w:t>
      </w:r>
      <w:r w:rsidR="006677F3">
        <w:rPr>
          <w:lang w:val="es-CO"/>
        </w:rPr>
        <w:t xml:space="preserve"> yendo de particular de mayor tamaño a menor tamaño, sometiéndolo a</w:t>
      </w:r>
      <w:r w:rsidR="009B01CC">
        <w:rPr>
          <w:lang w:val="es-CO"/>
        </w:rPr>
        <w:t xml:space="preserve"> ultrasonido entre cada cambio de tamaño de partícula</w:t>
      </w:r>
      <w:r w:rsidR="0029578D">
        <w:rPr>
          <w:lang w:val="es-CO"/>
        </w:rPr>
        <w:t>. Posteriormente se hacen 20 barridos en VC</w:t>
      </w:r>
      <w:r w:rsidR="009B01CC">
        <w:rPr>
          <w:lang w:val="es-CO"/>
        </w:rPr>
        <w:t xml:space="preserve"> para activar el electrodo, es decir, retirar cualquier partícula de alúmina que pudo quedar en la superficie. La superficie también se reorganiza en los barridos desde -0,20 V hasta 1,60 V respecto a Ag/AgCl</w:t>
      </w:r>
      <w:r w:rsidR="00CF1E14">
        <w:rPr>
          <w:lang w:val="es-CO"/>
        </w:rPr>
        <w:t>. En la figura 1 se observa un pico de reducción entre 0,79 V y 0,8 V</w:t>
      </w:r>
      <w:r w:rsidR="00AF1735">
        <w:rPr>
          <w:lang w:val="es-CO"/>
        </w:rPr>
        <w:t>. Este pico fue aumentando tras cada barrido hasta que permaneció constante, esto se debe a la aparición de unos picos de oxidación entre 1,00 V y 1,25 V que fueron apareciendo mientras transcurrieron los barridos</w:t>
      </w:r>
      <w:r w:rsidR="009B01CC">
        <w:rPr>
          <w:lang w:val="es-CO"/>
        </w:rPr>
        <w:t xml:space="preserve"> asociados a la formación de óxidos de oro superficial</w:t>
      </w:r>
      <w:r w:rsidR="00AF1735">
        <w:rPr>
          <w:lang w:val="es-CO"/>
        </w:rPr>
        <w:t>. También se observa una zona donde no hay corrientes faradaicas entre -0,20 V y 0,5 V</w:t>
      </w:r>
      <w:r w:rsidR="009B01CC">
        <w:rPr>
          <w:lang w:val="es-CO"/>
        </w:rPr>
        <w:t>, característico del oro, esto muestra que solo hay efecto de la doble capa eléctrica</w:t>
      </w:r>
      <w:r w:rsidR="00AF1735">
        <w:rPr>
          <w:lang w:val="es-CO"/>
        </w:rPr>
        <w:t>. Se estableció que el potencial de trabajo para la espectroscopía de impedancia electroquímica será 0,0 V</w:t>
      </w:r>
      <w:r w:rsidR="00CC3C9F">
        <w:rPr>
          <w:lang w:val="es-CO"/>
        </w:rPr>
        <w:t xml:space="preserve"> y a 0,3 V</w:t>
      </w:r>
      <w:r w:rsidR="00AF1735">
        <w:rPr>
          <w:lang w:val="es-CO"/>
        </w:rPr>
        <w:t xml:space="preserve"> ya que se garantiza que no hay reacciones a este potencial.</w:t>
      </w:r>
    </w:p>
    <w:p w14:paraId="02B0516B" w14:textId="6138F98C" w:rsidR="001F51C1" w:rsidRDefault="001F51C1" w:rsidP="001F51C1">
      <w:pPr>
        <w:spacing w:after="0"/>
        <w:jc w:val="both"/>
        <w:rPr>
          <w:b/>
          <w:lang w:val="es-CO"/>
        </w:rPr>
      </w:pPr>
    </w:p>
    <w:p w14:paraId="0A140C96" w14:textId="59A4A6DE" w:rsidR="001F51C1" w:rsidRPr="001F51C1" w:rsidRDefault="001F51C1" w:rsidP="001F51C1">
      <w:pPr>
        <w:spacing w:after="0"/>
        <w:jc w:val="both"/>
        <w:rPr>
          <w:b/>
          <w:lang w:val="es-CO"/>
        </w:rPr>
      </w:pPr>
      <w:r>
        <w:rPr>
          <w:noProof/>
          <w:lang w:val="es-CO"/>
        </w:rPr>
        <w:drawing>
          <wp:inline distT="0" distB="0" distL="0" distR="0" wp14:anchorId="0207F994" wp14:editId="06FE4204">
            <wp:extent cx="2423795" cy="15865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0248" r="8588"/>
                    <a:stretch/>
                  </pic:blipFill>
                  <pic:spPr bwMode="auto">
                    <a:xfrm>
                      <a:off x="0" y="0"/>
                      <a:ext cx="2432768" cy="1592392"/>
                    </a:xfrm>
                    <a:prstGeom prst="rect">
                      <a:avLst/>
                    </a:prstGeom>
                    <a:noFill/>
                    <a:ln>
                      <a:noFill/>
                    </a:ln>
                    <a:extLst>
                      <a:ext uri="{53640926-AAD7-44D8-BBD7-CCE9431645EC}">
                        <a14:shadowObscured xmlns:a14="http://schemas.microsoft.com/office/drawing/2010/main"/>
                      </a:ext>
                    </a:extLst>
                  </pic:spPr>
                </pic:pic>
              </a:graphicData>
            </a:graphic>
          </wp:inline>
        </w:drawing>
      </w:r>
    </w:p>
    <w:p w14:paraId="1A1D7945" w14:textId="08F3629E" w:rsidR="001F51C1" w:rsidRDefault="001F51C1" w:rsidP="001F51C1">
      <w:pPr>
        <w:spacing w:after="0"/>
        <w:jc w:val="both"/>
        <w:rPr>
          <w:lang w:val="es-CO"/>
        </w:rPr>
      </w:pPr>
      <w:proofErr w:type="spellStart"/>
      <w:r w:rsidRPr="001F51C1">
        <w:rPr>
          <w:b/>
          <w:lang w:val="es-CO"/>
        </w:rPr>
        <w:t>Fig</w:t>
      </w:r>
      <w:proofErr w:type="spellEnd"/>
      <w:r w:rsidRPr="001F51C1">
        <w:rPr>
          <w:b/>
          <w:lang w:val="es-CO"/>
        </w:rPr>
        <w:t xml:space="preserve"> 1. </w:t>
      </w:r>
      <w:r w:rsidRPr="001F51C1">
        <w:rPr>
          <w:lang w:val="es-CO"/>
        </w:rPr>
        <w:t>VC de la activación del electrodo de oro. Se muestra el primer y el décimo noveno barrido.</w:t>
      </w:r>
    </w:p>
    <w:p w14:paraId="7C1AEE0F" w14:textId="61747820" w:rsidR="00CC3C9F" w:rsidRDefault="00CC3C9F" w:rsidP="001F51C1">
      <w:pPr>
        <w:spacing w:after="0"/>
        <w:jc w:val="both"/>
        <w:rPr>
          <w:lang w:val="es-CO"/>
        </w:rPr>
      </w:pPr>
    </w:p>
    <w:p w14:paraId="635A6748" w14:textId="5E8F327A" w:rsidR="00144106" w:rsidRDefault="00144106" w:rsidP="001F51C1">
      <w:pPr>
        <w:spacing w:after="0"/>
        <w:jc w:val="both"/>
        <w:rPr>
          <w:lang w:val="es-CO"/>
        </w:rPr>
      </w:pPr>
      <w:r>
        <w:rPr>
          <w:lang w:val="es-CO"/>
        </w:rPr>
        <w:t xml:space="preserve">En la figura 2 </w:t>
      </w:r>
      <w:r w:rsidR="00752B7D">
        <w:rPr>
          <w:lang w:val="es-CO"/>
        </w:rPr>
        <w:t xml:space="preserve">se observa </w:t>
      </w:r>
      <w:r w:rsidR="0063270F">
        <w:rPr>
          <w:lang w:val="es-CO"/>
        </w:rPr>
        <w:t>el cambio en las impedancias con respecto a la concentración. En primer lugar</w:t>
      </w:r>
      <w:r w:rsidR="003540F0">
        <w:rPr>
          <w:lang w:val="es-CO"/>
        </w:rPr>
        <w:t>, se observa que la solución de menor concentración tiene más impedancia</w:t>
      </w:r>
      <w:r w:rsidR="0034181C">
        <w:rPr>
          <w:lang w:val="es-CO"/>
        </w:rPr>
        <w:t xml:space="preserve"> a mayores frecuencias </w:t>
      </w:r>
      <w:r w:rsidR="0034181C" w:rsidRPr="0034181C">
        <w:rPr>
          <w:color w:val="FF0000"/>
          <w:lang w:val="es-CO"/>
        </w:rPr>
        <w:t>(aquí es la parte de la ecuación que hablamos en la tarde)</w:t>
      </w:r>
      <w:r w:rsidR="003540F0" w:rsidRPr="0034181C">
        <w:rPr>
          <w:color w:val="FF0000"/>
          <w:lang w:val="es-CO"/>
        </w:rPr>
        <w:t xml:space="preserve">, </w:t>
      </w:r>
      <w:r w:rsidR="003540F0">
        <w:rPr>
          <w:lang w:val="es-CO"/>
        </w:rPr>
        <w:t>esto corresponde a que su resistencia entre el electrodo de referencia y la interfaz electrodo de trabajo-electrolito</w:t>
      </w:r>
      <w:r w:rsidR="0034181C">
        <w:rPr>
          <w:lang w:val="es-CO"/>
        </w:rPr>
        <w:t xml:space="preserve"> es mayor debido a la menor</w:t>
      </w:r>
      <w:r w:rsidR="0060595B">
        <w:rPr>
          <w:lang w:val="es-CO"/>
        </w:rPr>
        <w:t xml:space="preserve"> concentración</w:t>
      </w:r>
      <w:r w:rsidR="0034181C">
        <w:rPr>
          <w:lang w:val="es-CO"/>
        </w:rPr>
        <w:t xml:space="preserve"> de electrolito [3]</w:t>
      </w:r>
      <w:r w:rsidR="0060595B">
        <w:rPr>
          <w:lang w:val="es-CO"/>
        </w:rPr>
        <w:t xml:space="preserve"> como transportador de carga</w:t>
      </w:r>
      <w:r w:rsidR="0034181C">
        <w:rPr>
          <w:lang w:val="es-CO"/>
        </w:rPr>
        <w:t xml:space="preserve">. </w:t>
      </w:r>
      <w:r w:rsidR="0060595B">
        <w:rPr>
          <w:lang w:val="es-CO"/>
        </w:rPr>
        <w:t>Esto lo corrobora los valores de</w:t>
      </w:r>
      <w:r w:rsidR="0034181C">
        <w:rPr>
          <w:lang w:val="es-CO"/>
        </w:rPr>
        <w:t xml:space="preserve"> R1 en la tabla 1 y 2 </w:t>
      </w:r>
      <w:r w:rsidR="0060595B">
        <w:rPr>
          <w:lang w:val="es-CO"/>
        </w:rPr>
        <w:t xml:space="preserve">que </w:t>
      </w:r>
      <w:r w:rsidR="0034181C">
        <w:rPr>
          <w:lang w:val="es-CO"/>
        </w:rPr>
        <w:t>son mayores cuando la concentración es menor.  La tabla 1 y 2 también muestra diferencias en el valor del elemento de fase constante CPE</w:t>
      </w:r>
      <w:r w:rsidR="0060595B">
        <w:rPr>
          <w:lang w:val="es-CO"/>
        </w:rPr>
        <w:t xml:space="preserve">. Este elemento en el circuito llega a simular un condensador cuando el valor </w:t>
      </w:r>
      <w:r w:rsidR="0060595B" w:rsidRPr="0060595B">
        <w:rPr>
          <w:i/>
          <w:lang w:val="es-CO"/>
        </w:rPr>
        <w:t>n</w:t>
      </w:r>
      <w:r w:rsidR="0034181C">
        <w:rPr>
          <w:lang w:val="es-CO"/>
        </w:rPr>
        <w:t xml:space="preserve"> </w:t>
      </w:r>
      <w:r w:rsidR="0060595B">
        <w:rPr>
          <w:lang w:val="es-CO"/>
        </w:rPr>
        <w:t>es cercano a 1. Podemos observar que a</w:t>
      </w:r>
      <w:r w:rsidR="0034181C">
        <w:rPr>
          <w:lang w:val="es-CO"/>
        </w:rPr>
        <w:t xml:space="preserve"> mayor concentración hay un mayor </w:t>
      </w:r>
      <w:r w:rsidR="0060595B">
        <w:rPr>
          <w:lang w:val="es-CO"/>
        </w:rPr>
        <w:t xml:space="preserve">valor en este elemento, esto significa que hay un mayor </w:t>
      </w:r>
      <w:r w:rsidR="0034181C">
        <w:rPr>
          <w:lang w:val="es-CO"/>
        </w:rPr>
        <w:t xml:space="preserve">efecto en la doble capa eléctrica debido a la mayor presencia de iones en la superficie del electrolito. </w:t>
      </w:r>
    </w:p>
    <w:p w14:paraId="4584BEFE" w14:textId="77777777" w:rsidR="007A50E4" w:rsidRDefault="007A50E4" w:rsidP="001F51C1">
      <w:pPr>
        <w:spacing w:after="0"/>
        <w:jc w:val="both"/>
        <w:rPr>
          <w:lang w:val="es-C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5471D" w14:paraId="349CE897" w14:textId="77777777" w:rsidTr="007A50E4">
        <w:tc>
          <w:tcPr>
            <w:tcW w:w="4675" w:type="dxa"/>
          </w:tcPr>
          <w:p w14:paraId="569CE3FC" w14:textId="4676509B" w:rsidR="0005471D" w:rsidRDefault="0005471D" w:rsidP="0005471D">
            <w:pPr>
              <w:jc w:val="center"/>
              <w:rPr>
                <w:lang w:val="es-CO"/>
              </w:rPr>
            </w:pPr>
            <w:r w:rsidRPr="0005471D">
              <w:rPr>
                <w:noProof/>
                <w:lang w:val="es-CO"/>
              </w:rPr>
              <w:lastRenderedPageBreak/>
              <mc:AlternateContent>
                <mc:Choice Requires="wps">
                  <w:drawing>
                    <wp:anchor distT="45720" distB="45720" distL="114300" distR="114300" simplePos="0" relativeHeight="251661312" behindDoc="0" locked="0" layoutInCell="1" allowOverlap="1" wp14:anchorId="14097582" wp14:editId="04BB10A7">
                      <wp:simplePos x="0" y="0"/>
                      <wp:positionH relativeFrom="column">
                        <wp:posOffset>-43027</wp:posOffset>
                      </wp:positionH>
                      <wp:positionV relativeFrom="paragraph">
                        <wp:posOffset>773734</wp:posOffset>
                      </wp:positionV>
                      <wp:extent cx="190196" cy="219456"/>
                      <wp:effectExtent l="0" t="0" r="63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96" cy="219456"/>
                              </a:xfrm>
                              <a:prstGeom prst="rect">
                                <a:avLst/>
                              </a:prstGeom>
                              <a:solidFill>
                                <a:srgbClr val="FFFFFF"/>
                              </a:solidFill>
                              <a:ln w="9525">
                                <a:noFill/>
                                <a:miter lim="800000"/>
                                <a:headEnd/>
                                <a:tailEnd/>
                              </a:ln>
                            </wps:spPr>
                            <wps:txbx>
                              <w:txbxContent>
                                <w:p w14:paraId="7E5FCE19" w14:textId="09EF2307" w:rsidR="0005471D" w:rsidRPr="0005471D" w:rsidRDefault="0005471D" w:rsidP="0005471D">
                                  <w:pPr>
                                    <w:rPr>
                                      <w:sz w:val="18"/>
                                      <w:szCs w:val="18"/>
                                    </w:rPr>
                                  </w:pPr>
                                  <w:r>
                                    <w:rPr>
                                      <w:sz w:val="18"/>
                                      <w:szCs w:val="1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097582" id="_x0000_t202" coordsize="21600,21600" o:spt="202" path="m,l,21600r21600,l21600,xe">
                      <v:stroke joinstyle="miter"/>
                      <v:path gradientshapeok="t" o:connecttype="rect"/>
                    </v:shapetype>
                    <v:shape id="Text Box 2" o:spid="_x0000_s1026" type="#_x0000_t202" style="position:absolute;left:0;text-align:left;margin-left:-3.4pt;margin-top:60.9pt;width:15pt;height:17.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SckIAIAABwEAAAOAAAAZHJzL2Uyb0RvYy54bWysU9tu2zAMfR+wfxD0vviCJG2MOEWXLsOA&#10;rhvQ7gNkWY6FSaImKbG7rx8lp2m2vQ3zgyCa5OHhIbW+GbUiR+G8BFPTYpZTIgyHVpp9Tb897d5d&#10;U+IDMy1TYERNn4WnN5u3b9aDrUQJPahWOIIgxleDrWkfgq2yzPNeaOZnYIVBZwdOs4Cm22etYwOi&#10;a5WVeb7MBnCtdcCF9/j3bnLSTcLvOsHDl67zIhBVU+QW0unS2cQz26xZtXfM9pKfaLB/YKGZNFj0&#10;DHXHAiMHJ/+C0pI78NCFGQedQddJLlIP2E2R/9HNY8+sSL2gON6eZfL/D5Y/HL86ItualsUVJYZp&#10;HNKTGAN5DyMpoz6D9RWGPVoMDCP+xjmnXr29B/7dEwPbnpm9uHUOhl6wFvkVMTO7SJ1wfARphs/Q&#10;Yhl2CJCAxs7pKB7KQRAd5/R8nk2kwmPJVV6slpRwdJXFar5Ypgqsekm2zoePAjSJl5o6HH0CZ8d7&#10;HyIZVr2ExFoelGx3UqlkuH2zVY4cGa7JLn0n9N/ClCFDTVeLcpGQDcT8tEFaBlxjJXVNr/P4xXRW&#10;RTE+mDbdA5NquiMTZU7qREEmacLYjBgYJWugfUadHEzris8LLz24n5QMuKo19T8OzAlK1CeDWq+K&#10;+TzudjLmi6sSDXfpaS49zHCEqmmgZLpuQ3oPka+BW5xJJ5Ner0xOXHEFk4yn5xJ3/NJOUa+PevML&#10;AAD//wMAUEsDBBQABgAIAAAAIQDiRLp53gAAAAkBAAAPAAAAZHJzL2Rvd25yZXYueG1sTI/BTsNA&#10;DETvSPzDykhcULtpaFNIs6kACcS1pR/gJG4SNeuNstsm/XvMid7smdH4OdtOtlMXGnzr2MBiHoEi&#10;Ll3Vcm3g8PM5ewHlA3KFnWMycCUP2/z+LsO0ciPv6LIPtZIS9ikaaELoU6192ZBFP3c9sXhHN1gM&#10;sg61rgYcpdx2Oo6iRFtsWS402NNHQ+Vpf7YGjt/j0+p1LL7CYb1bJu/Yrgt3NebxYXrbgAo0hf8w&#10;/OELOuTCVLgzV151BmaJkAfR44UMEoifY1CFCKtkCTrP9O0H+S8AAAD//wMAUEsBAi0AFAAGAAgA&#10;AAAhALaDOJL+AAAA4QEAABMAAAAAAAAAAAAAAAAAAAAAAFtDb250ZW50X1R5cGVzXS54bWxQSwEC&#10;LQAUAAYACAAAACEAOP0h/9YAAACUAQAACwAAAAAAAAAAAAAAAAAvAQAAX3JlbHMvLnJlbHNQSwEC&#10;LQAUAAYACAAAACEAb8EnJCACAAAcBAAADgAAAAAAAAAAAAAAAAAuAgAAZHJzL2Uyb0RvYy54bWxQ&#10;SwECLQAUAAYACAAAACEA4kS6ed4AAAAJAQAADwAAAAAAAAAAAAAAAAB6BAAAZHJzL2Rvd25yZXYu&#10;eG1sUEsFBgAAAAAEAAQA8wAAAIUFAAAAAA==&#10;" stroked="f">
                      <v:textbox>
                        <w:txbxContent>
                          <w:p w14:paraId="7E5FCE19" w14:textId="09EF2307" w:rsidR="0005471D" w:rsidRPr="0005471D" w:rsidRDefault="0005471D" w:rsidP="0005471D">
                            <w:pPr>
                              <w:rPr>
                                <w:sz w:val="18"/>
                                <w:szCs w:val="18"/>
                              </w:rPr>
                            </w:pPr>
                            <w:r>
                              <w:rPr>
                                <w:sz w:val="18"/>
                                <w:szCs w:val="18"/>
                              </w:rPr>
                              <w:t>a</w:t>
                            </w:r>
                          </w:p>
                        </w:txbxContent>
                      </v:textbox>
                    </v:shape>
                  </w:pict>
                </mc:Fallback>
              </mc:AlternateContent>
            </w:r>
            <w:r>
              <w:rPr>
                <w:noProof/>
                <w:lang w:val="es-CO"/>
              </w:rPr>
              <w:drawing>
                <wp:inline distT="0" distB="0" distL="0" distR="0" wp14:anchorId="0E11488B" wp14:editId="4818A4BC">
                  <wp:extent cx="2572603" cy="2008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935" t="9340" r="8642"/>
                          <a:stretch/>
                        </pic:blipFill>
                        <pic:spPr bwMode="auto">
                          <a:xfrm>
                            <a:off x="0" y="0"/>
                            <a:ext cx="2578677" cy="201324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14:paraId="5BE328B1" w14:textId="43FF207A" w:rsidR="0005471D" w:rsidRDefault="0005471D" w:rsidP="0005471D">
            <w:pPr>
              <w:jc w:val="center"/>
              <w:rPr>
                <w:lang w:val="es-CO"/>
              </w:rPr>
            </w:pPr>
            <w:r w:rsidRPr="0005471D">
              <w:rPr>
                <w:noProof/>
                <w:lang w:val="es-CO"/>
              </w:rPr>
              <mc:AlternateContent>
                <mc:Choice Requires="wps">
                  <w:drawing>
                    <wp:anchor distT="45720" distB="45720" distL="114300" distR="114300" simplePos="0" relativeHeight="251663360" behindDoc="0" locked="0" layoutInCell="1" allowOverlap="1" wp14:anchorId="373040C5" wp14:editId="5E01C0F3">
                      <wp:simplePos x="0" y="0"/>
                      <wp:positionH relativeFrom="column">
                        <wp:posOffset>-55777</wp:posOffset>
                      </wp:positionH>
                      <wp:positionV relativeFrom="paragraph">
                        <wp:posOffset>795731</wp:posOffset>
                      </wp:positionV>
                      <wp:extent cx="234086" cy="226771"/>
                      <wp:effectExtent l="0" t="0" r="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86" cy="226771"/>
                              </a:xfrm>
                              <a:prstGeom prst="rect">
                                <a:avLst/>
                              </a:prstGeom>
                              <a:solidFill>
                                <a:srgbClr val="FFFFFF"/>
                              </a:solidFill>
                              <a:ln w="9525">
                                <a:noFill/>
                                <a:miter lim="800000"/>
                                <a:headEnd/>
                                <a:tailEnd/>
                              </a:ln>
                            </wps:spPr>
                            <wps:txbx>
                              <w:txbxContent>
                                <w:p w14:paraId="636CE5C6" w14:textId="0454052B" w:rsidR="0005471D" w:rsidRPr="0005471D" w:rsidRDefault="0005471D" w:rsidP="0005471D">
                                  <w:pPr>
                                    <w:rPr>
                                      <w:sz w:val="18"/>
                                      <w:szCs w:val="18"/>
                                    </w:rPr>
                                  </w:pPr>
                                  <w:r w:rsidRPr="0005471D">
                                    <w:rPr>
                                      <w:sz w:val="18"/>
                                      <w:szCs w:val="1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040C5" id="_x0000_s1027" type="#_x0000_t202" style="position:absolute;left:0;text-align:left;margin-left:-4.4pt;margin-top:62.65pt;width:18.45pt;height:17.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gCwHwIAACEEAAAOAAAAZHJzL2Uyb0RvYy54bWysU9uO2yAQfa/Uf0C8N3bc3NaKs9pmm6rS&#10;9iLt9gMwxjEqMBRI7PTrO+BsNtq+VeUBMcxwOHNmZn07aEWOwnkJpqLTSU6JMBwaafYV/fG0e7ei&#10;xAdmGqbAiIqehKe3m7dv1r0tRQEdqEY4giDGl72taBeCLbPM805o5idghUFnC06zgKbbZ41jPaJr&#10;lRV5vsh6cI11wIX3eHs/Oukm4bet4OFb23oRiKoocgtpd2mv455t1qzcO2Y7yc802D+w0Ewa/PQC&#10;dc8CIwcn/4LSkjvw0IYJB51B20ouUg6YzTR/lc1jx6xIuaA43l5k8v8Pln89fndENhVdUGKYxhI9&#10;iSGQDzCQIqrTW19i0KPFsDDgNVY5ZertA/CfnhjYdszsxZ1z0HeCNchuGl9mV09HHB9B6v4LNPgN&#10;OwRIQEPrdJQOxSCIjlU6XSoTqXC8LN7P8hUy5OgqisVyOf7AyufH1vnwSYAm8VBRh4VP4Oz44EMk&#10;w8rnkPiXByWbnVQqGW5fb5UjR4ZNsksr8X8VpgzpK3ozL+YJ2UB8n/pHy4BNrKSu6CqPa2yrKMZH&#10;06SQwKQaz8hEmbM6UZBRmjDUQypDSiwqV0NzQrkcjD2LM4aHDtxvSnrs14r6XwfmBCXqs0HJb6az&#10;WWzwZMzmywINd+2prz3McISqaKBkPG5DGoooh4E7LE0rk2wvTM6UsQ+TmueZiY1+baeol8ne/AEA&#10;AP//AwBQSwMEFAAGAAgAAAAhAMfX++rdAAAACQEAAA8AAABkcnMvZG93bnJldi54bWxMj89Og0AQ&#10;xu8mvsNmTLyYdgEtpZSlURON19Y+wMBugcjOEnZb6Ns7nuzx+5NvflPsZtuLixl950hBvIxAGKqd&#10;7qhRcPz+WGQgfEDS2DsyCq7Gw668vysw126ivbkcQiN4hHyOCtoQhlxKX7fGol+6wRBnJzdaDCzH&#10;RuoRJx63vUyiKJUWO+ILLQ7mvTX1z+FsFZy+pqfVZqo+w3G9f0nfsFtX7qrU48P8ugURzBz+y/CH&#10;z+hQMlPlzqS96BUsMiYP7CerZxBcSLIYRMVGGkcgy0LeflD+AgAA//8DAFBLAQItABQABgAIAAAA&#10;IQC2gziS/gAAAOEBAAATAAAAAAAAAAAAAAAAAAAAAABbQ29udGVudF9UeXBlc10ueG1sUEsBAi0A&#10;FAAGAAgAAAAhADj9If/WAAAAlAEAAAsAAAAAAAAAAAAAAAAALwEAAF9yZWxzLy5yZWxzUEsBAi0A&#10;FAAGAAgAAAAhAKaaALAfAgAAIQQAAA4AAAAAAAAAAAAAAAAALgIAAGRycy9lMm9Eb2MueG1sUEsB&#10;Ai0AFAAGAAgAAAAhAMfX++rdAAAACQEAAA8AAAAAAAAAAAAAAAAAeQQAAGRycy9kb3ducmV2Lnht&#10;bFBLBQYAAAAABAAEAPMAAACDBQAAAAA=&#10;" stroked="f">
                      <v:textbox>
                        <w:txbxContent>
                          <w:p w14:paraId="636CE5C6" w14:textId="0454052B" w:rsidR="0005471D" w:rsidRPr="0005471D" w:rsidRDefault="0005471D" w:rsidP="0005471D">
                            <w:pPr>
                              <w:rPr>
                                <w:sz w:val="18"/>
                                <w:szCs w:val="18"/>
                              </w:rPr>
                            </w:pPr>
                            <w:r w:rsidRPr="0005471D">
                              <w:rPr>
                                <w:sz w:val="18"/>
                                <w:szCs w:val="18"/>
                              </w:rPr>
                              <w:t>b</w:t>
                            </w:r>
                          </w:p>
                        </w:txbxContent>
                      </v:textbox>
                    </v:shape>
                  </w:pict>
                </mc:Fallback>
              </mc:AlternateContent>
            </w:r>
            <w:r>
              <w:rPr>
                <w:noProof/>
                <w:lang w:val="es-CO"/>
              </w:rPr>
              <w:drawing>
                <wp:inline distT="0" distB="0" distL="0" distR="0" wp14:anchorId="264264BC" wp14:editId="4DADCED4">
                  <wp:extent cx="2743200" cy="2008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354" t="8529" r="8854"/>
                          <a:stretch/>
                        </pic:blipFill>
                        <pic:spPr bwMode="auto">
                          <a:xfrm>
                            <a:off x="0" y="0"/>
                            <a:ext cx="2807189" cy="205535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A50E4" w14:paraId="55EA7F0B" w14:textId="77777777" w:rsidTr="007A50E4">
        <w:tc>
          <w:tcPr>
            <w:tcW w:w="9350" w:type="dxa"/>
            <w:gridSpan w:val="2"/>
          </w:tcPr>
          <w:p w14:paraId="78EA772A" w14:textId="2663E22B" w:rsidR="007A50E4" w:rsidRDefault="007A50E4" w:rsidP="001F51C1">
            <w:pPr>
              <w:jc w:val="both"/>
              <w:rPr>
                <w:lang w:val="es-CO"/>
              </w:rPr>
            </w:pPr>
            <w:r w:rsidRPr="00DC48B8">
              <w:rPr>
                <w:b/>
                <w:lang w:val="es-CO"/>
              </w:rPr>
              <w:t>Figura</w:t>
            </w:r>
            <w:r>
              <w:rPr>
                <w:b/>
                <w:lang w:val="es-CO"/>
              </w:rPr>
              <w:t xml:space="preserve"> 2</w:t>
            </w:r>
            <w:r w:rsidRPr="00DC48B8">
              <w:rPr>
                <w:b/>
                <w:lang w:val="es-CO"/>
              </w:rPr>
              <w:t>.</w:t>
            </w:r>
            <w:r>
              <w:rPr>
                <w:lang w:val="es-CO"/>
              </w:rPr>
              <w:t xml:space="preserve"> Impedancia vs. Frecuencia (superior) y diagrama de Bode (inferior) de solución de LiClO</w:t>
            </w:r>
            <w:r w:rsidRPr="00DC48B8">
              <w:rPr>
                <w:vertAlign w:val="subscript"/>
                <w:lang w:val="es-CO"/>
              </w:rPr>
              <w:t>4</w:t>
            </w:r>
            <w:r>
              <w:rPr>
                <w:lang w:val="es-CO"/>
              </w:rPr>
              <w:t xml:space="preserve"> a diferentes concentraciones en 0,0 V (a) y en 0,3 V (b).</w:t>
            </w:r>
          </w:p>
        </w:tc>
      </w:tr>
    </w:tbl>
    <w:p w14:paraId="0DEA1F59" w14:textId="587815D3" w:rsidR="00144106" w:rsidRDefault="00144106" w:rsidP="001F51C1">
      <w:pPr>
        <w:spacing w:after="0"/>
        <w:jc w:val="both"/>
        <w:rPr>
          <w:lang w:val="es-CO"/>
        </w:rPr>
      </w:pPr>
    </w:p>
    <w:p w14:paraId="7917934E" w14:textId="03E3E3A2" w:rsidR="00A13C09" w:rsidRDefault="0060595B" w:rsidP="00A13C09">
      <w:pPr>
        <w:spacing w:after="0"/>
        <w:jc w:val="both"/>
        <w:rPr>
          <w:lang w:val="es-CO"/>
        </w:rPr>
      </w:pPr>
      <w:r w:rsidRPr="0060595B">
        <w:rPr>
          <w:b/>
          <w:lang w:val="es-CO"/>
        </w:rPr>
        <w:t>Tabla 1.</w:t>
      </w:r>
      <w:r>
        <w:rPr>
          <w:lang w:val="es-CO"/>
        </w:rPr>
        <w:t xml:space="preserve"> Valores de los elementos del circuito ajustado a los EIS a 0,0 V</w:t>
      </w:r>
    </w:p>
    <w:tbl>
      <w:tblPr>
        <w:tblStyle w:val="TableGrid"/>
        <w:tblW w:w="0" w:type="auto"/>
        <w:tblLook w:val="04A0" w:firstRow="1" w:lastRow="0" w:firstColumn="1" w:lastColumn="0" w:noHBand="0" w:noVBand="1"/>
      </w:tblPr>
      <w:tblGrid>
        <w:gridCol w:w="1858"/>
        <w:gridCol w:w="1857"/>
        <w:gridCol w:w="1919"/>
        <w:gridCol w:w="1858"/>
        <w:gridCol w:w="1858"/>
      </w:tblGrid>
      <w:tr w:rsidR="00A90300" w14:paraId="15FE8F59" w14:textId="77777777" w:rsidTr="00A359E4">
        <w:tc>
          <w:tcPr>
            <w:tcW w:w="1858" w:type="dxa"/>
          </w:tcPr>
          <w:p w14:paraId="76A0214A" w14:textId="77777777" w:rsidR="00A90300" w:rsidRDefault="00A90300" w:rsidP="00DC48B8">
            <w:pPr>
              <w:pStyle w:val="ListParagraph"/>
              <w:ind w:left="0"/>
              <w:jc w:val="both"/>
              <w:rPr>
                <w:lang w:val="es-CO"/>
              </w:rPr>
            </w:pPr>
          </w:p>
        </w:tc>
        <w:tc>
          <w:tcPr>
            <w:tcW w:w="3776" w:type="dxa"/>
            <w:gridSpan w:val="2"/>
          </w:tcPr>
          <w:p w14:paraId="6B36B2EC" w14:textId="483AA2D3" w:rsidR="00A90300" w:rsidRPr="00A90300" w:rsidRDefault="00A90300" w:rsidP="00DC48B8">
            <w:pPr>
              <w:pStyle w:val="ListParagraph"/>
              <w:ind w:left="0"/>
              <w:jc w:val="both"/>
              <w:rPr>
                <w:b/>
                <w:lang w:val="es-CO"/>
              </w:rPr>
            </w:pPr>
            <w:r w:rsidRPr="00A90300">
              <w:rPr>
                <w:b/>
                <w:lang w:val="es-CO"/>
              </w:rPr>
              <w:t>0,1 M</w:t>
            </w:r>
          </w:p>
        </w:tc>
        <w:tc>
          <w:tcPr>
            <w:tcW w:w="3716" w:type="dxa"/>
            <w:gridSpan w:val="2"/>
          </w:tcPr>
          <w:p w14:paraId="05F7FF01" w14:textId="47CA080E" w:rsidR="00A90300" w:rsidRDefault="00A90300" w:rsidP="00DC48B8">
            <w:pPr>
              <w:pStyle w:val="ListParagraph"/>
              <w:ind w:left="0"/>
              <w:jc w:val="both"/>
              <w:rPr>
                <w:lang w:val="es-CO"/>
              </w:rPr>
            </w:pPr>
            <w:r w:rsidRPr="00A90300">
              <w:rPr>
                <w:b/>
                <w:lang w:val="es-CO"/>
              </w:rPr>
              <w:t>1,0 M</w:t>
            </w:r>
          </w:p>
        </w:tc>
      </w:tr>
      <w:tr w:rsidR="00A90300" w14:paraId="560A89D1" w14:textId="77777777" w:rsidTr="00C51CB8">
        <w:tc>
          <w:tcPr>
            <w:tcW w:w="1858" w:type="dxa"/>
          </w:tcPr>
          <w:p w14:paraId="44E8DED4" w14:textId="77777777" w:rsidR="00A90300" w:rsidRDefault="00A90300" w:rsidP="00A90300">
            <w:pPr>
              <w:pStyle w:val="ListParagraph"/>
              <w:ind w:left="0"/>
              <w:jc w:val="both"/>
              <w:rPr>
                <w:lang w:val="es-CO"/>
              </w:rPr>
            </w:pPr>
          </w:p>
        </w:tc>
        <w:tc>
          <w:tcPr>
            <w:tcW w:w="1857" w:type="dxa"/>
          </w:tcPr>
          <w:p w14:paraId="34B93F3C" w14:textId="778F8794" w:rsidR="00A90300" w:rsidRPr="00A90300" w:rsidRDefault="00A90300" w:rsidP="00A90300">
            <w:pPr>
              <w:pStyle w:val="ListParagraph"/>
              <w:ind w:left="0"/>
              <w:rPr>
                <w:b/>
                <w:lang w:val="es-CO"/>
              </w:rPr>
            </w:pPr>
            <w:r>
              <w:rPr>
                <w:b/>
                <w:lang w:val="es-CO"/>
              </w:rPr>
              <w:t>Valor</w:t>
            </w:r>
          </w:p>
        </w:tc>
        <w:tc>
          <w:tcPr>
            <w:tcW w:w="1919" w:type="dxa"/>
          </w:tcPr>
          <w:p w14:paraId="41BBC0EE" w14:textId="3BAD9A53" w:rsidR="00A90300" w:rsidRPr="00A90300" w:rsidRDefault="00A90300" w:rsidP="00A90300">
            <w:pPr>
              <w:pStyle w:val="ListParagraph"/>
              <w:ind w:left="0"/>
              <w:rPr>
                <w:b/>
                <w:lang w:val="es-CO"/>
              </w:rPr>
            </w:pPr>
            <w:r>
              <w:rPr>
                <w:b/>
                <w:lang w:val="es-CO"/>
              </w:rPr>
              <w:t>%Error</w:t>
            </w:r>
          </w:p>
        </w:tc>
        <w:tc>
          <w:tcPr>
            <w:tcW w:w="1858" w:type="dxa"/>
          </w:tcPr>
          <w:p w14:paraId="5AE54606" w14:textId="489CB067" w:rsidR="00A90300" w:rsidRPr="00A90300" w:rsidRDefault="00A90300" w:rsidP="00A90300">
            <w:pPr>
              <w:pStyle w:val="ListParagraph"/>
              <w:ind w:left="0"/>
              <w:rPr>
                <w:b/>
                <w:lang w:val="es-CO"/>
              </w:rPr>
            </w:pPr>
            <w:r>
              <w:rPr>
                <w:b/>
                <w:lang w:val="es-CO"/>
              </w:rPr>
              <w:t>Valor</w:t>
            </w:r>
          </w:p>
        </w:tc>
        <w:tc>
          <w:tcPr>
            <w:tcW w:w="1858" w:type="dxa"/>
          </w:tcPr>
          <w:p w14:paraId="28BC2CAC" w14:textId="3E2843E6" w:rsidR="00A90300" w:rsidRDefault="00A90300" w:rsidP="00A90300">
            <w:pPr>
              <w:pStyle w:val="ListParagraph"/>
              <w:ind w:left="0"/>
              <w:jc w:val="both"/>
              <w:rPr>
                <w:lang w:val="es-CO"/>
              </w:rPr>
            </w:pPr>
            <w:r>
              <w:rPr>
                <w:b/>
                <w:lang w:val="es-CO"/>
              </w:rPr>
              <w:t>%Error</w:t>
            </w:r>
          </w:p>
        </w:tc>
      </w:tr>
      <w:tr w:rsidR="00A90300" w14:paraId="696FF9F0" w14:textId="77777777" w:rsidTr="00C51CB8">
        <w:tc>
          <w:tcPr>
            <w:tcW w:w="1858" w:type="dxa"/>
          </w:tcPr>
          <w:p w14:paraId="7F491938" w14:textId="3DF4F26E" w:rsidR="00A90300" w:rsidRPr="00A90300" w:rsidRDefault="00A90300" w:rsidP="00A90300">
            <w:pPr>
              <w:pStyle w:val="ListParagraph"/>
              <w:ind w:left="0"/>
              <w:jc w:val="both"/>
              <w:rPr>
                <w:b/>
                <w:lang w:val="es-CO"/>
              </w:rPr>
            </w:pPr>
            <w:r w:rsidRPr="00A90300">
              <w:rPr>
                <w:b/>
                <w:lang w:val="es-CO"/>
              </w:rPr>
              <w:t>R1</w:t>
            </w:r>
            <w:r>
              <w:rPr>
                <w:b/>
                <w:lang w:val="es-CO"/>
              </w:rPr>
              <w:t xml:space="preserve"> </w:t>
            </w:r>
            <w:r>
              <w:rPr>
                <w:b/>
                <w:lang w:val="es-CO"/>
              </w:rPr>
              <w:t>(</w:t>
            </w:r>
            <w:r>
              <w:rPr>
                <w:b/>
                <w:lang w:val="es-CO"/>
              </w:rPr>
              <w:t>ohm</w:t>
            </w:r>
            <w:r>
              <w:rPr>
                <w:b/>
                <w:lang w:val="es-CO"/>
              </w:rPr>
              <w:t>)</w:t>
            </w:r>
          </w:p>
        </w:tc>
        <w:tc>
          <w:tcPr>
            <w:tcW w:w="1857" w:type="dxa"/>
          </w:tcPr>
          <w:p w14:paraId="61CE15D5" w14:textId="3BF10582" w:rsidR="00A90300" w:rsidRDefault="00A90300" w:rsidP="00A90300">
            <w:pPr>
              <w:pStyle w:val="ListParagraph"/>
              <w:ind w:left="0"/>
              <w:jc w:val="both"/>
              <w:rPr>
                <w:lang w:val="es-CO"/>
              </w:rPr>
            </w:pPr>
            <w:r>
              <w:rPr>
                <w:lang w:val="es-CO"/>
              </w:rPr>
              <w:t>256</w:t>
            </w:r>
          </w:p>
        </w:tc>
        <w:tc>
          <w:tcPr>
            <w:tcW w:w="1919" w:type="dxa"/>
          </w:tcPr>
          <w:p w14:paraId="3A2877AD" w14:textId="51CD7E76" w:rsidR="00A90300" w:rsidRDefault="00A90300" w:rsidP="00A90300">
            <w:pPr>
              <w:pStyle w:val="ListParagraph"/>
              <w:ind w:left="0"/>
              <w:jc w:val="both"/>
              <w:rPr>
                <w:lang w:val="es-CO"/>
              </w:rPr>
            </w:pPr>
            <w:r>
              <w:rPr>
                <w:lang w:val="es-CO"/>
              </w:rPr>
              <w:t>10,9</w:t>
            </w:r>
          </w:p>
        </w:tc>
        <w:tc>
          <w:tcPr>
            <w:tcW w:w="1858" w:type="dxa"/>
          </w:tcPr>
          <w:p w14:paraId="3D8405E2" w14:textId="2B0BCAED" w:rsidR="00A90300" w:rsidRDefault="00A90300" w:rsidP="00A90300">
            <w:pPr>
              <w:pStyle w:val="ListParagraph"/>
              <w:ind w:left="0"/>
              <w:jc w:val="both"/>
              <w:rPr>
                <w:lang w:val="es-CO"/>
              </w:rPr>
            </w:pPr>
            <w:r>
              <w:rPr>
                <w:lang w:val="es-CO"/>
              </w:rPr>
              <w:t>61,3</w:t>
            </w:r>
          </w:p>
        </w:tc>
        <w:tc>
          <w:tcPr>
            <w:tcW w:w="1858" w:type="dxa"/>
          </w:tcPr>
          <w:p w14:paraId="0CE2875F" w14:textId="1DA0492C" w:rsidR="00A90300" w:rsidRDefault="00A90300" w:rsidP="00A90300">
            <w:pPr>
              <w:pStyle w:val="ListParagraph"/>
              <w:ind w:left="0"/>
              <w:jc w:val="both"/>
              <w:rPr>
                <w:lang w:val="es-CO"/>
              </w:rPr>
            </w:pPr>
            <w:r>
              <w:rPr>
                <w:lang w:val="es-CO"/>
              </w:rPr>
              <w:t>1,07</w:t>
            </w:r>
          </w:p>
        </w:tc>
      </w:tr>
      <w:tr w:rsidR="00A90300" w14:paraId="15BD345B" w14:textId="77777777" w:rsidTr="00C51CB8">
        <w:tc>
          <w:tcPr>
            <w:tcW w:w="1858" w:type="dxa"/>
          </w:tcPr>
          <w:p w14:paraId="2C6DCF0F" w14:textId="062D7A28" w:rsidR="00A90300" w:rsidRPr="00A90300" w:rsidRDefault="00A90300" w:rsidP="00A90300">
            <w:pPr>
              <w:pStyle w:val="ListParagraph"/>
              <w:ind w:left="0"/>
              <w:jc w:val="both"/>
              <w:rPr>
                <w:b/>
                <w:lang w:val="es-CO"/>
              </w:rPr>
            </w:pPr>
            <w:r w:rsidRPr="00A90300">
              <w:rPr>
                <w:b/>
                <w:lang w:val="es-CO"/>
              </w:rPr>
              <w:t>R2</w:t>
            </w:r>
            <w:r>
              <w:rPr>
                <w:b/>
                <w:lang w:val="es-CO"/>
              </w:rPr>
              <w:t xml:space="preserve"> (ohm)</w:t>
            </w:r>
          </w:p>
        </w:tc>
        <w:tc>
          <w:tcPr>
            <w:tcW w:w="1857" w:type="dxa"/>
          </w:tcPr>
          <w:p w14:paraId="07D44F65" w14:textId="38BAF28A" w:rsidR="00A90300" w:rsidRDefault="00A90300" w:rsidP="00A90300">
            <w:pPr>
              <w:pStyle w:val="ListParagraph"/>
              <w:ind w:left="0"/>
              <w:jc w:val="both"/>
              <w:rPr>
                <w:lang w:val="es-CO"/>
              </w:rPr>
            </w:pPr>
            <w:r>
              <w:rPr>
                <w:lang w:val="es-CO"/>
              </w:rPr>
              <w:t>2,90</w:t>
            </w:r>
            <w:r>
              <w:rPr>
                <w:rFonts w:cstheme="minorHAnsi"/>
                <w:lang w:val="es-CO"/>
              </w:rPr>
              <w:t>×</w:t>
            </w:r>
            <w:r>
              <w:rPr>
                <w:lang w:val="es-CO"/>
              </w:rPr>
              <w:t>10</w:t>
            </w:r>
            <w:r w:rsidRPr="00A90300">
              <w:rPr>
                <w:vertAlign w:val="superscript"/>
                <w:lang w:val="es-CO"/>
              </w:rPr>
              <w:t>6</w:t>
            </w:r>
          </w:p>
        </w:tc>
        <w:tc>
          <w:tcPr>
            <w:tcW w:w="1919" w:type="dxa"/>
          </w:tcPr>
          <w:p w14:paraId="76F69C0C" w14:textId="0B7BEBB9" w:rsidR="00A90300" w:rsidRDefault="00A90300" w:rsidP="00A90300">
            <w:pPr>
              <w:pStyle w:val="ListParagraph"/>
              <w:ind w:left="0"/>
              <w:jc w:val="both"/>
              <w:rPr>
                <w:lang w:val="es-CO"/>
              </w:rPr>
            </w:pPr>
            <w:r>
              <w:rPr>
                <w:lang w:val="es-CO"/>
              </w:rPr>
              <w:t>22,3</w:t>
            </w:r>
          </w:p>
        </w:tc>
        <w:tc>
          <w:tcPr>
            <w:tcW w:w="1858" w:type="dxa"/>
          </w:tcPr>
          <w:p w14:paraId="6DCD67B3" w14:textId="6D2933FF" w:rsidR="00A90300" w:rsidRDefault="00A90300" w:rsidP="00A90300">
            <w:pPr>
              <w:pStyle w:val="ListParagraph"/>
              <w:ind w:left="0"/>
              <w:jc w:val="both"/>
              <w:rPr>
                <w:lang w:val="es-CO"/>
              </w:rPr>
            </w:pPr>
            <w:r>
              <w:rPr>
                <w:lang w:val="es-CO"/>
              </w:rPr>
              <w:t>1,61</w:t>
            </w:r>
            <w:r>
              <w:rPr>
                <w:rFonts w:cstheme="minorHAnsi"/>
                <w:lang w:val="es-CO"/>
              </w:rPr>
              <w:t>×</w:t>
            </w:r>
            <w:r>
              <w:rPr>
                <w:lang w:val="es-CO"/>
              </w:rPr>
              <w:t>10</w:t>
            </w:r>
            <w:r w:rsidRPr="00A90300">
              <w:rPr>
                <w:vertAlign w:val="superscript"/>
                <w:lang w:val="es-CO"/>
              </w:rPr>
              <w:t>6</w:t>
            </w:r>
          </w:p>
        </w:tc>
        <w:tc>
          <w:tcPr>
            <w:tcW w:w="1858" w:type="dxa"/>
          </w:tcPr>
          <w:p w14:paraId="7C103B3B" w14:textId="2923ECEF" w:rsidR="00A90300" w:rsidRDefault="00A90300" w:rsidP="00A90300">
            <w:pPr>
              <w:pStyle w:val="ListParagraph"/>
              <w:ind w:left="0"/>
              <w:jc w:val="both"/>
              <w:rPr>
                <w:lang w:val="es-CO"/>
              </w:rPr>
            </w:pPr>
            <w:r>
              <w:rPr>
                <w:lang w:val="es-CO"/>
              </w:rPr>
              <w:t>28,7</w:t>
            </w:r>
          </w:p>
        </w:tc>
      </w:tr>
      <w:tr w:rsidR="00A90300" w14:paraId="686BFFF9" w14:textId="77777777" w:rsidTr="00C51CB8">
        <w:tc>
          <w:tcPr>
            <w:tcW w:w="1858" w:type="dxa"/>
          </w:tcPr>
          <w:p w14:paraId="0E8BD024" w14:textId="3CD78360" w:rsidR="00A90300" w:rsidRPr="00A90300" w:rsidRDefault="00A90300" w:rsidP="00A90300">
            <w:pPr>
              <w:pStyle w:val="ListParagraph"/>
              <w:ind w:left="0"/>
              <w:jc w:val="both"/>
              <w:rPr>
                <w:b/>
                <w:lang w:val="es-CO"/>
              </w:rPr>
            </w:pPr>
            <w:r w:rsidRPr="00A90300">
              <w:rPr>
                <w:b/>
                <w:lang w:val="es-CO"/>
              </w:rPr>
              <w:t>CPE</w:t>
            </w:r>
            <w:r>
              <w:rPr>
                <w:b/>
                <w:lang w:val="es-CO"/>
              </w:rPr>
              <w:t xml:space="preserve"> (F)</w:t>
            </w:r>
          </w:p>
        </w:tc>
        <w:tc>
          <w:tcPr>
            <w:tcW w:w="1857" w:type="dxa"/>
          </w:tcPr>
          <w:p w14:paraId="168E4C85" w14:textId="3AE3EE1E" w:rsidR="00A90300" w:rsidRDefault="00A90300" w:rsidP="00A90300">
            <w:pPr>
              <w:pStyle w:val="ListParagraph"/>
              <w:ind w:left="0"/>
              <w:jc w:val="both"/>
              <w:rPr>
                <w:lang w:val="es-CO"/>
              </w:rPr>
            </w:pPr>
            <w:r>
              <w:rPr>
                <w:lang w:val="es-CO"/>
              </w:rPr>
              <w:t>1,6</w:t>
            </w:r>
            <w:r>
              <w:rPr>
                <w:rFonts w:cstheme="minorHAnsi"/>
                <w:lang w:val="es-CO"/>
              </w:rPr>
              <w:t>×</w:t>
            </w:r>
            <w:r>
              <w:rPr>
                <w:lang w:val="es-CO"/>
              </w:rPr>
              <w:t>10</w:t>
            </w:r>
            <w:r w:rsidRPr="00A90300">
              <w:rPr>
                <w:vertAlign w:val="superscript"/>
                <w:lang w:val="es-CO"/>
              </w:rPr>
              <w:t>-6</w:t>
            </w:r>
          </w:p>
        </w:tc>
        <w:tc>
          <w:tcPr>
            <w:tcW w:w="1919" w:type="dxa"/>
          </w:tcPr>
          <w:p w14:paraId="6C1A4C67" w14:textId="2BF4DB62" w:rsidR="00A90300" w:rsidRDefault="00A90300" w:rsidP="00A90300">
            <w:pPr>
              <w:pStyle w:val="ListParagraph"/>
              <w:ind w:left="0"/>
              <w:jc w:val="both"/>
              <w:rPr>
                <w:lang w:val="es-CO"/>
              </w:rPr>
            </w:pPr>
            <w:r>
              <w:rPr>
                <w:lang w:val="es-CO"/>
              </w:rPr>
              <w:t>1,66</w:t>
            </w:r>
          </w:p>
        </w:tc>
        <w:tc>
          <w:tcPr>
            <w:tcW w:w="1858" w:type="dxa"/>
          </w:tcPr>
          <w:p w14:paraId="47F1ED33" w14:textId="4D8A7914" w:rsidR="00A90300" w:rsidRDefault="00A90300" w:rsidP="00A90300">
            <w:pPr>
              <w:pStyle w:val="ListParagraph"/>
              <w:ind w:left="0"/>
              <w:jc w:val="both"/>
              <w:rPr>
                <w:lang w:val="es-CO"/>
              </w:rPr>
            </w:pPr>
            <w:r>
              <w:rPr>
                <w:lang w:val="es-CO"/>
              </w:rPr>
              <w:t>2,3</w:t>
            </w:r>
            <w:r>
              <w:rPr>
                <w:rFonts w:cstheme="minorHAnsi"/>
                <w:lang w:val="es-CO"/>
              </w:rPr>
              <w:t>×</w:t>
            </w:r>
            <w:r>
              <w:rPr>
                <w:lang w:val="es-CO"/>
              </w:rPr>
              <w:t>10</w:t>
            </w:r>
            <w:r w:rsidRPr="00A90300">
              <w:rPr>
                <w:vertAlign w:val="superscript"/>
                <w:lang w:val="es-CO"/>
              </w:rPr>
              <w:t>-</w:t>
            </w:r>
            <w:r w:rsidRPr="00A90300">
              <w:rPr>
                <w:vertAlign w:val="superscript"/>
                <w:lang w:val="es-CO"/>
              </w:rPr>
              <w:t>6</w:t>
            </w:r>
          </w:p>
        </w:tc>
        <w:tc>
          <w:tcPr>
            <w:tcW w:w="1858" w:type="dxa"/>
          </w:tcPr>
          <w:p w14:paraId="27259904" w14:textId="62455F65" w:rsidR="00A90300" w:rsidRDefault="00A90300" w:rsidP="00A90300">
            <w:pPr>
              <w:pStyle w:val="ListParagraph"/>
              <w:ind w:left="0"/>
              <w:jc w:val="both"/>
              <w:rPr>
                <w:lang w:val="es-CO"/>
              </w:rPr>
            </w:pPr>
            <w:r>
              <w:rPr>
                <w:lang w:val="es-CO"/>
              </w:rPr>
              <w:t>3,7</w:t>
            </w:r>
          </w:p>
        </w:tc>
      </w:tr>
      <w:tr w:rsidR="00A90300" w14:paraId="051AFC37" w14:textId="77777777" w:rsidTr="00C51CB8">
        <w:tc>
          <w:tcPr>
            <w:tcW w:w="1858" w:type="dxa"/>
          </w:tcPr>
          <w:p w14:paraId="75B1F4B6" w14:textId="6A4893C3" w:rsidR="00A90300" w:rsidRPr="00A90300" w:rsidRDefault="00A90300" w:rsidP="00A90300">
            <w:pPr>
              <w:pStyle w:val="ListParagraph"/>
              <w:ind w:left="0"/>
              <w:jc w:val="both"/>
              <w:rPr>
                <w:b/>
                <w:lang w:val="es-CO"/>
              </w:rPr>
            </w:pPr>
            <w:r w:rsidRPr="00A90300">
              <w:rPr>
                <w:b/>
                <w:lang w:val="es-CO"/>
              </w:rPr>
              <w:t>n</w:t>
            </w:r>
          </w:p>
        </w:tc>
        <w:tc>
          <w:tcPr>
            <w:tcW w:w="1857" w:type="dxa"/>
          </w:tcPr>
          <w:p w14:paraId="7C1B5CD6" w14:textId="7B85E48C" w:rsidR="00A90300" w:rsidRDefault="00A90300" w:rsidP="00A90300">
            <w:pPr>
              <w:pStyle w:val="ListParagraph"/>
              <w:ind w:left="0"/>
              <w:jc w:val="both"/>
              <w:rPr>
                <w:lang w:val="es-CO"/>
              </w:rPr>
            </w:pPr>
            <w:r>
              <w:rPr>
                <w:lang w:val="es-CO"/>
              </w:rPr>
              <w:t>0,92</w:t>
            </w:r>
          </w:p>
        </w:tc>
        <w:tc>
          <w:tcPr>
            <w:tcW w:w="1919" w:type="dxa"/>
          </w:tcPr>
          <w:p w14:paraId="40C57866" w14:textId="262F9F26" w:rsidR="00A90300" w:rsidRDefault="00A90300" w:rsidP="00A90300">
            <w:pPr>
              <w:pStyle w:val="ListParagraph"/>
              <w:ind w:left="0"/>
              <w:jc w:val="both"/>
              <w:rPr>
                <w:lang w:val="es-CO"/>
              </w:rPr>
            </w:pPr>
            <w:r>
              <w:rPr>
                <w:lang w:val="es-CO"/>
              </w:rPr>
              <w:t>0,35</w:t>
            </w:r>
          </w:p>
        </w:tc>
        <w:tc>
          <w:tcPr>
            <w:tcW w:w="1858" w:type="dxa"/>
          </w:tcPr>
          <w:p w14:paraId="72A8C83A" w14:textId="72CFD983" w:rsidR="00A90300" w:rsidRDefault="00A90300" w:rsidP="00A90300">
            <w:pPr>
              <w:pStyle w:val="ListParagraph"/>
              <w:ind w:left="0"/>
              <w:jc w:val="both"/>
              <w:rPr>
                <w:lang w:val="es-CO"/>
              </w:rPr>
            </w:pPr>
            <w:r>
              <w:rPr>
                <w:lang w:val="es-CO"/>
              </w:rPr>
              <w:t>0,97</w:t>
            </w:r>
          </w:p>
        </w:tc>
        <w:tc>
          <w:tcPr>
            <w:tcW w:w="1858" w:type="dxa"/>
          </w:tcPr>
          <w:p w14:paraId="50165DD8" w14:textId="1A6985FA" w:rsidR="00A90300" w:rsidRDefault="00A90300" w:rsidP="00A90300">
            <w:pPr>
              <w:pStyle w:val="ListParagraph"/>
              <w:ind w:left="0"/>
              <w:jc w:val="both"/>
              <w:rPr>
                <w:lang w:val="es-CO"/>
              </w:rPr>
            </w:pPr>
            <w:r>
              <w:rPr>
                <w:lang w:val="es-CO"/>
              </w:rPr>
              <w:t>0,5</w:t>
            </w:r>
          </w:p>
        </w:tc>
      </w:tr>
    </w:tbl>
    <w:p w14:paraId="42820B54" w14:textId="484E2B5C" w:rsidR="00DC48B8" w:rsidRDefault="00DC48B8" w:rsidP="00DC48B8">
      <w:pPr>
        <w:pStyle w:val="ListParagraph"/>
        <w:spacing w:after="0"/>
        <w:ind w:left="0"/>
        <w:jc w:val="both"/>
        <w:rPr>
          <w:lang w:val="es-CO"/>
        </w:rPr>
      </w:pPr>
    </w:p>
    <w:p w14:paraId="15C44E96" w14:textId="1E8A63B0" w:rsidR="0060595B" w:rsidRDefault="0060595B" w:rsidP="0060595B">
      <w:pPr>
        <w:spacing w:after="0"/>
        <w:jc w:val="both"/>
        <w:rPr>
          <w:lang w:val="es-CO"/>
        </w:rPr>
      </w:pPr>
      <w:r w:rsidRPr="0060595B">
        <w:rPr>
          <w:b/>
          <w:lang w:val="es-CO"/>
        </w:rPr>
        <w:t xml:space="preserve">Tabla </w:t>
      </w:r>
      <w:r>
        <w:rPr>
          <w:b/>
          <w:lang w:val="es-CO"/>
        </w:rPr>
        <w:t>2</w:t>
      </w:r>
      <w:r w:rsidRPr="0060595B">
        <w:rPr>
          <w:b/>
          <w:lang w:val="es-CO"/>
        </w:rPr>
        <w:t>.</w:t>
      </w:r>
      <w:r>
        <w:rPr>
          <w:lang w:val="es-CO"/>
        </w:rPr>
        <w:t xml:space="preserve"> Valores de los elementos del circuito ajustado a los EIS a 0,0 V</w:t>
      </w:r>
    </w:p>
    <w:tbl>
      <w:tblPr>
        <w:tblStyle w:val="TableGrid"/>
        <w:tblW w:w="0" w:type="auto"/>
        <w:tblLook w:val="04A0" w:firstRow="1" w:lastRow="0" w:firstColumn="1" w:lastColumn="0" w:noHBand="0" w:noVBand="1"/>
      </w:tblPr>
      <w:tblGrid>
        <w:gridCol w:w="1858"/>
        <w:gridCol w:w="1857"/>
        <w:gridCol w:w="1919"/>
        <w:gridCol w:w="1858"/>
        <w:gridCol w:w="1858"/>
      </w:tblGrid>
      <w:tr w:rsidR="00E2015F" w14:paraId="52ADE7F6" w14:textId="77777777" w:rsidTr="00E52222">
        <w:tc>
          <w:tcPr>
            <w:tcW w:w="1858" w:type="dxa"/>
          </w:tcPr>
          <w:p w14:paraId="09B46356" w14:textId="77777777" w:rsidR="00E2015F" w:rsidRDefault="00E2015F" w:rsidP="00E52222">
            <w:pPr>
              <w:pStyle w:val="ListParagraph"/>
              <w:ind w:left="0"/>
              <w:jc w:val="both"/>
              <w:rPr>
                <w:lang w:val="es-CO"/>
              </w:rPr>
            </w:pPr>
          </w:p>
        </w:tc>
        <w:tc>
          <w:tcPr>
            <w:tcW w:w="3776" w:type="dxa"/>
            <w:gridSpan w:val="2"/>
          </w:tcPr>
          <w:p w14:paraId="68539E6D" w14:textId="77777777" w:rsidR="00E2015F" w:rsidRPr="00A90300" w:rsidRDefault="00E2015F" w:rsidP="00E52222">
            <w:pPr>
              <w:pStyle w:val="ListParagraph"/>
              <w:ind w:left="0"/>
              <w:jc w:val="both"/>
              <w:rPr>
                <w:b/>
                <w:lang w:val="es-CO"/>
              </w:rPr>
            </w:pPr>
            <w:r w:rsidRPr="00A90300">
              <w:rPr>
                <w:b/>
                <w:lang w:val="es-CO"/>
              </w:rPr>
              <w:t>0,1 M</w:t>
            </w:r>
          </w:p>
        </w:tc>
        <w:tc>
          <w:tcPr>
            <w:tcW w:w="3716" w:type="dxa"/>
            <w:gridSpan w:val="2"/>
          </w:tcPr>
          <w:p w14:paraId="6AF1A0AC" w14:textId="77777777" w:rsidR="00E2015F" w:rsidRDefault="00E2015F" w:rsidP="00E52222">
            <w:pPr>
              <w:pStyle w:val="ListParagraph"/>
              <w:ind w:left="0"/>
              <w:jc w:val="both"/>
              <w:rPr>
                <w:lang w:val="es-CO"/>
              </w:rPr>
            </w:pPr>
            <w:r w:rsidRPr="00A90300">
              <w:rPr>
                <w:b/>
                <w:lang w:val="es-CO"/>
              </w:rPr>
              <w:t>1,0 M</w:t>
            </w:r>
          </w:p>
        </w:tc>
      </w:tr>
      <w:tr w:rsidR="00E2015F" w14:paraId="56ACB234" w14:textId="77777777" w:rsidTr="00E52222">
        <w:tc>
          <w:tcPr>
            <w:tcW w:w="1858" w:type="dxa"/>
          </w:tcPr>
          <w:p w14:paraId="74A89D68" w14:textId="77777777" w:rsidR="00E2015F" w:rsidRDefault="00E2015F" w:rsidP="00E52222">
            <w:pPr>
              <w:pStyle w:val="ListParagraph"/>
              <w:ind w:left="0"/>
              <w:jc w:val="both"/>
              <w:rPr>
                <w:lang w:val="es-CO"/>
              </w:rPr>
            </w:pPr>
          </w:p>
        </w:tc>
        <w:tc>
          <w:tcPr>
            <w:tcW w:w="1857" w:type="dxa"/>
          </w:tcPr>
          <w:p w14:paraId="03ABA535" w14:textId="77777777" w:rsidR="00E2015F" w:rsidRPr="00A90300" w:rsidRDefault="00E2015F" w:rsidP="00E52222">
            <w:pPr>
              <w:pStyle w:val="ListParagraph"/>
              <w:ind w:left="0"/>
              <w:rPr>
                <w:b/>
                <w:lang w:val="es-CO"/>
              </w:rPr>
            </w:pPr>
            <w:r>
              <w:rPr>
                <w:b/>
                <w:lang w:val="es-CO"/>
              </w:rPr>
              <w:t>Valor</w:t>
            </w:r>
          </w:p>
        </w:tc>
        <w:tc>
          <w:tcPr>
            <w:tcW w:w="1919" w:type="dxa"/>
          </w:tcPr>
          <w:p w14:paraId="6AED90A2" w14:textId="77777777" w:rsidR="00E2015F" w:rsidRPr="00A90300" w:rsidRDefault="00E2015F" w:rsidP="00E52222">
            <w:pPr>
              <w:pStyle w:val="ListParagraph"/>
              <w:ind w:left="0"/>
              <w:rPr>
                <w:b/>
                <w:lang w:val="es-CO"/>
              </w:rPr>
            </w:pPr>
            <w:r>
              <w:rPr>
                <w:b/>
                <w:lang w:val="es-CO"/>
              </w:rPr>
              <w:t>%Error</w:t>
            </w:r>
          </w:p>
        </w:tc>
        <w:tc>
          <w:tcPr>
            <w:tcW w:w="1858" w:type="dxa"/>
          </w:tcPr>
          <w:p w14:paraId="36D28167" w14:textId="77777777" w:rsidR="00E2015F" w:rsidRPr="00A90300" w:rsidRDefault="00E2015F" w:rsidP="00E52222">
            <w:pPr>
              <w:pStyle w:val="ListParagraph"/>
              <w:ind w:left="0"/>
              <w:rPr>
                <w:b/>
                <w:lang w:val="es-CO"/>
              </w:rPr>
            </w:pPr>
            <w:r>
              <w:rPr>
                <w:b/>
                <w:lang w:val="es-CO"/>
              </w:rPr>
              <w:t>Valor</w:t>
            </w:r>
          </w:p>
        </w:tc>
        <w:tc>
          <w:tcPr>
            <w:tcW w:w="1858" w:type="dxa"/>
          </w:tcPr>
          <w:p w14:paraId="44BB0B48" w14:textId="77777777" w:rsidR="00E2015F" w:rsidRDefault="00E2015F" w:rsidP="00E52222">
            <w:pPr>
              <w:pStyle w:val="ListParagraph"/>
              <w:ind w:left="0"/>
              <w:jc w:val="both"/>
              <w:rPr>
                <w:lang w:val="es-CO"/>
              </w:rPr>
            </w:pPr>
            <w:r>
              <w:rPr>
                <w:b/>
                <w:lang w:val="es-CO"/>
              </w:rPr>
              <w:t>%Error</w:t>
            </w:r>
          </w:p>
        </w:tc>
      </w:tr>
      <w:tr w:rsidR="00E2015F" w14:paraId="630D8280" w14:textId="77777777" w:rsidTr="00E52222">
        <w:tc>
          <w:tcPr>
            <w:tcW w:w="1858" w:type="dxa"/>
          </w:tcPr>
          <w:p w14:paraId="3A3D680E" w14:textId="77777777" w:rsidR="00E2015F" w:rsidRPr="00A90300" w:rsidRDefault="00E2015F" w:rsidP="00E52222">
            <w:pPr>
              <w:pStyle w:val="ListParagraph"/>
              <w:ind w:left="0"/>
              <w:jc w:val="both"/>
              <w:rPr>
                <w:b/>
                <w:lang w:val="es-CO"/>
              </w:rPr>
            </w:pPr>
            <w:r w:rsidRPr="00A90300">
              <w:rPr>
                <w:b/>
                <w:lang w:val="es-CO"/>
              </w:rPr>
              <w:t>R1</w:t>
            </w:r>
            <w:r>
              <w:rPr>
                <w:b/>
                <w:lang w:val="es-CO"/>
              </w:rPr>
              <w:t xml:space="preserve"> (ohm)</w:t>
            </w:r>
          </w:p>
        </w:tc>
        <w:tc>
          <w:tcPr>
            <w:tcW w:w="1857" w:type="dxa"/>
          </w:tcPr>
          <w:p w14:paraId="60CDC1E4" w14:textId="60F26CC8" w:rsidR="00E2015F" w:rsidRDefault="00E2015F" w:rsidP="00E52222">
            <w:pPr>
              <w:pStyle w:val="ListParagraph"/>
              <w:ind w:left="0"/>
              <w:jc w:val="both"/>
              <w:rPr>
                <w:lang w:val="es-CO"/>
              </w:rPr>
            </w:pPr>
            <w:r>
              <w:rPr>
                <w:lang w:val="es-CO"/>
              </w:rPr>
              <w:t>25</w:t>
            </w:r>
            <w:r w:rsidR="00591FDC">
              <w:rPr>
                <w:lang w:val="es-CO"/>
              </w:rPr>
              <w:t>7</w:t>
            </w:r>
          </w:p>
        </w:tc>
        <w:tc>
          <w:tcPr>
            <w:tcW w:w="1919" w:type="dxa"/>
          </w:tcPr>
          <w:p w14:paraId="50943BBE" w14:textId="3AA6269C" w:rsidR="00E2015F" w:rsidRDefault="00591FDC" w:rsidP="00E52222">
            <w:pPr>
              <w:pStyle w:val="ListParagraph"/>
              <w:ind w:left="0"/>
              <w:jc w:val="both"/>
              <w:rPr>
                <w:lang w:val="es-CO"/>
              </w:rPr>
            </w:pPr>
            <w:r>
              <w:rPr>
                <w:lang w:val="es-CO"/>
              </w:rPr>
              <w:t>0,71</w:t>
            </w:r>
          </w:p>
        </w:tc>
        <w:tc>
          <w:tcPr>
            <w:tcW w:w="1858" w:type="dxa"/>
          </w:tcPr>
          <w:p w14:paraId="61C4C1C9" w14:textId="36C1C6B8" w:rsidR="00E2015F" w:rsidRDefault="00E2015F" w:rsidP="00E52222">
            <w:pPr>
              <w:pStyle w:val="ListParagraph"/>
              <w:ind w:left="0"/>
              <w:jc w:val="both"/>
              <w:rPr>
                <w:lang w:val="es-CO"/>
              </w:rPr>
            </w:pPr>
            <w:r>
              <w:rPr>
                <w:lang w:val="es-CO"/>
              </w:rPr>
              <w:t>61,</w:t>
            </w:r>
            <w:r w:rsidR="00591FDC">
              <w:rPr>
                <w:lang w:val="es-CO"/>
              </w:rPr>
              <w:t>9</w:t>
            </w:r>
          </w:p>
        </w:tc>
        <w:tc>
          <w:tcPr>
            <w:tcW w:w="1858" w:type="dxa"/>
          </w:tcPr>
          <w:p w14:paraId="544B2D16" w14:textId="296F49ED" w:rsidR="00E2015F" w:rsidRDefault="00591FDC" w:rsidP="00E52222">
            <w:pPr>
              <w:pStyle w:val="ListParagraph"/>
              <w:ind w:left="0"/>
              <w:jc w:val="both"/>
              <w:rPr>
                <w:lang w:val="es-CO"/>
              </w:rPr>
            </w:pPr>
            <w:r>
              <w:rPr>
                <w:lang w:val="es-CO"/>
              </w:rPr>
              <w:t>0,53</w:t>
            </w:r>
          </w:p>
        </w:tc>
      </w:tr>
      <w:tr w:rsidR="00E2015F" w14:paraId="6D1C8C73" w14:textId="77777777" w:rsidTr="00E52222">
        <w:tc>
          <w:tcPr>
            <w:tcW w:w="1858" w:type="dxa"/>
          </w:tcPr>
          <w:p w14:paraId="18545CB7" w14:textId="77777777" w:rsidR="00E2015F" w:rsidRPr="00A90300" w:rsidRDefault="00E2015F" w:rsidP="00E52222">
            <w:pPr>
              <w:pStyle w:val="ListParagraph"/>
              <w:ind w:left="0"/>
              <w:jc w:val="both"/>
              <w:rPr>
                <w:b/>
                <w:lang w:val="es-CO"/>
              </w:rPr>
            </w:pPr>
            <w:r w:rsidRPr="00A90300">
              <w:rPr>
                <w:b/>
                <w:lang w:val="es-CO"/>
              </w:rPr>
              <w:t>R2</w:t>
            </w:r>
            <w:r>
              <w:rPr>
                <w:b/>
                <w:lang w:val="es-CO"/>
              </w:rPr>
              <w:t xml:space="preserve"> (ohm)</w:t>
            </w:r>
          </w:p>
        </w:tc>
        <w:tc>
          <w:tcPr>
            <w:tcW w:w="1857" w:type="dxa"/>
          </w:tcPr>
          <w:p w14:paraId="7775A7C0" w14:textId="06FDE3CD" w:rsidR="00E2015F" w:rsidRDefault="00E2015F" w:rsidP="00E52222">
            <w:pPr>
              <w:pStyle w:val="ListParagraph"/>
              <w:ind w:left="0"/>
              <w:jc w:val="both"/>
              <w:rPr>
                <w:lang w:val="es-CO"/>
              </w:rPr>
            </w:pPr>
            <w:r>
              <w:rPr>
                <w:lang w:val="es-CO"/>
              </w:rPr>
              <w:t>2,</w:t>
            </w:r>
            <w:r w:rsidR="00591FDC">
              <w:rPr>
                <w:lang w:val="es-CO"/>
              </w:rPr>
              <w:t>67</w:t>
            </w:r>
            <w:r>
              <w:rPr>
                <w:rFonts w:cstheme="minorHAnsi"/>
                <w:lang w:val="es-CO"/>
              </w:rPr>
              <w:t>×</w:t>
            </w:r>
            <w:r>
              <w:rPr>
                <w:lang w:val="es-CO"/>
              </w:rPr>
              <w:t>10</w:t>
            </w:r>
            <w:r w:rsidRPr="00A90300">
              <w:rPr>
                <w:vertAlign w:val="superscript"/>
                <w:lang w:val="es-CO"/>
              </w:rPr>
              <w:t>6</w:t>
            </w:r>
          </w:p>
        </w:tc>
        <w:tc>
          <w:tcPr>
            <w:tcW w:w="1919" w:type="dxa"/>
          </w:tcPr>
          <w:p w14:paraId="77B177B1" w14:textId="306DA9AB" w:rsidR="00E2015F" w:rsidRDefault="00591FDC" w:rsidP="00E52222">
            <w:pPr>
              <w:pStyle w:val="ListParagraph"/>
              <w:ind w:left="0"/>
              <w:jc w:val="both"/>
              <w:rPr>
                <w:lang w:val="es-CO"/>
              </w:rPr>
            </w:pPr>
            <w:r>
              <w:rPr>
                <w:lang w:val="es-CO"/>
              </w:rPr>
              <w:t>16,03</w:t>
            </w:r>
          </w:p>
        </w:tc>
        <w:tc>
          <w:tcPr>
            <w:tcW w:w="1858" w:type="dxa"/>
          </w:tcPr>
          <w:p w14:paraId="6E49C6BF" w14:textId="148C61FF" w:rsidR="00E2015F" w:rsidRDefault="00591FDC" w:rsidP="00E52222">
            <w:pPr>
              <w:pStyle w:val="ListParagraph"/>
              <w:ind w:left="0"/>
              <w:jc w:val="both"/>
              <w:rPr>
                <w:lang w:val="es-CO"/>
              </w:rPr>
            </w:pPr>
            <w:r>
              <w:rPr>
                <w:lang w:val="es-CO"/>
              </w:rPr>
              <w:t>2,73</w:t>
            </w:r>
            <w:r w:rsidR="00E2015F">
              <w:rPr>
                <w:rFonts w:cstheme="minorHAnsi"/>
                <w:lang w:val="es-CO"/>
              </w:rPr>
              <w:t>×</w:t>
            </w:r>
            <w:r w:rsidR="00E2015F">
              <w:rPr>
                <w:lang w:val="es-CO"/>
              </w:rPr>
              <w:t>10</w:t>
            </w:r>
            <w:r w:rsidR="00E2015F" w:rsidRPr="00A90300">
              <w:rPr>
                <w:vertAlign w:val="superscript"/>
                <w:lang w:val="es-CO"/>
              </w:rPr>
              <w:t>6</w:t>
            </w:r>
          </w:p>
        </w:tc>
        <w:tc>
          <w:tcPr>
            <w:tcW w:w="1858" w:type="dxa"/>
          </w:tcPr>
          <w:p w14:paraId="1F5A7A8F" w14:textId="4915F4EA" w:rsidR="00E2015F" w:rsidRDefault="00591FDC" w:rsidP="00E52222">
            <w:pPr>
              <w:pStyle w:val="ListParagraph"/>
              <w:ind w:left="0"/>
              <w:jc w:val="both"/>
              <w:rPr>
                <w:lang w:val="es-CO"/>
              </w:rPr>
            </w:pPr>
            <w:r>
              <w:rPr>
                <w:lang w:val="es-CO"/>
              </w:rPr>
              <w:t>23,3</w:t>
            </w:r>
          </w:p>
        </w:tc>
      </w:tr>
      <w:tr w:rsidR="00E2015F" w14:paraId="5D62E1AE" w14:textId="77777777" w:rsidTr="00E52222">
        <w:tc>
          <w:tcPr>
            <w:tcW w:w="1858" w:type="dxa"/>
          </w:tcPr>
          <w:p w14:paraId="7B450312" w14:textId="77777777" w:rsidR="00E2015F" w:rsidRPr="00A90300" w:rsidRDefault="00E2015F" w:rsidP="00E52222">
            <w:pPr>
              <w:pStyle w:val="ListParagraph"/>
              <w:ind w:left="0"/>
              <w:jc w:val="both"/>
              <w:rPr>
                <w:b/>
                <w:lang w:val="es-CO"/>
              </w:rPr>
            </w:pPr>
            <w:r w:rsidRPr="00A90300">
              <w:rPr>
                <w:b/>
                <w:lang w:val="es-CO"/>
              </w:rPr>
              <w:t>CPE</w:t>
            </w:r>
            <w:r>
              <w:rPr>
                <w:b/>
                <w:lang w:val="es-CO"/>
              </w:rPr>
              <w:t xml:space="preserve"> (F)</w:t>
            </w:r>
          </w:p>
        </w:tc>
        <w:tc>
          <w:tcPr>
            <w:tcW w:w="1857" w:type="dxa"/>
          </w:tcPr>
          <w:p w14:paraId="2193CDF1" w14:textId="34A4768E" w:rsidR="00E2015F" w:rsidRDefault="00591FDC" w:rsidP="00E52222">
            <w:pPr>
              <w:pStyle w:val="ListParagraph"/>
              <w:ind w:left="0"/>
              <w:jc w:val="both"/>
              <w:rPr>
                <w:lang w:val="es-CO"/>
              </w:rPr>
            </w:pPr>
            <w:r>
              <w:rPr>
                <w:rFonts w:cstheme="minorHAnsi"/>
                <w:lang w:val="es-CO"/>
              </w:rPr>
              <w:t>2,06</w:t>
            </w:r>
            <w:r w:rsidR="00E2015F">
              <w:rPr>
                <w:rFonts w:cstheme="minorHAnsi"/>
                <w:lang w:val="es-CO"/>
              </w:rPr>
              <w:t>×</w:t>
            </w:r>
            <w:r w:rsidR="00E2015F">
              <w:rPr>
                <w:lang w:val="es-CO"/>
              </w:rPr>
              <w:t>10</w:t>
            </w:r>
            <w:r w:rsidR="00E2015F" w:rsidRPr="00A90300">
              <w:rPr>
                <w:vertAlign w:val="superscript"/>
                <w:lang w:val="es-CO"/>
              </w:rPr>
              <w:t>-6</w:t>
            </w:r>
          </w:p>
        </w:tc>
        <w:tc>
          <w:tcPr>
            <w:tcW w:w="1919" w:type="dxa"/>
          </w:tcPr>
          <w:p w14:paraId="3E504887" w14:textId="06425AE8" w:rsidR="00E2015F" w:rsidRDefault="00591FDC" w:rsidP="00E52222">
            <w:pPr>
              <w:pStyle w:val="ListParagraph"/>
              <w:ind w:left="0"/>
              <w:jc w:val="both"/>
              <w:rPr>
                <w:lang w:val="es-CO"/>
              </w:rPr>
            </w:pPr>
            <w:r>
              <w:rPr>
                <w:lang w:val="es-CO"/>
              </w:rPr>
              <w:t>0,53</w:t>
            </w:r>
          </w:p>
        </w:tc>
        <w:tc>
          <w:tcPr>
            <w:tcW w:w="1858" w:type="dxa"/>
          </w:tcPr>
          <w:p w14:paraId="28FB42CE" w14:textId="119C6123" w:rsidR="00E2015F" w:rsidRDefault="00E2015F" w:rsidP="00E52222">
            <w:pPr>
              <w:pStyle w:val="ListParagraph"/>
              <w:ind w:left="0"/>
              <w:jc w:val="both"/>
              <w:rPr>
                <w:lang w:val="es-CO"/>
              </w:rPr>
            </w:pPr>
            <w:r>
              <w:rPr>
                <w:lang w:val="es-CO"/>
              </w:rPr>
              <w:t>2,</w:t>
            </w:r>
            <w:r w:rsidR="00591FDC">
              <w:rPr>
                <w:lang w:val="es-CO"/>
              </w:rPr>
              <w:t>12</w:t>
            </w:r>
            <w:r>
              <w:rPr>
                <w:rFonts w:cstheme="minorHAnsi"/>
                <w:lang w:val="es-CO"/>
              </w:rPr>
              <w:t>×</w:t>
            </w:r>
            <w:r>
              <w:rPr>
                <w:lang w:val="es-CO"/>
              </w:rPr>
              <w:t>10</w:t>
            </w:r>
            <w:r w:rsidRPr="00A90300">
              <w:rPr>
                <w:vertAlign w:val="superscript"/>
                <w:lang w:val="es-CO"/>
              </w:rPr>
              <w:t>-6</w:t>
            </w:r>
          </w:p>
        </w:tc>
        <w:tc>
          <w:tcPr>
            <w:tcW w:w="1858" w:type="dxa"/>
          </w:tcPr>
          <w:p w14:paraId="4A3E918E" w14:textId="18D15E61" w:rsidR="00E2015F" w:rsidRDefault="00360967" w:rsidP="00E52222">
            <w:pPr>
              <w:pStyle w:val="ListParagraph"/>
              <w:ind w:left="0"/>
              <w:jc w:val="both"/>
              <w:rPr>
                <w:lang w:val="es-CO"/>
              </w:rPr>
            </w:pPr>
            <w:r>
              <w:rPr>
                <w:lang w:val="es-CO"/>
              </w:rPr>
              <w:t>1,16</w:t>
            </w:r>
          </w:p>
        </w:tc>
      </w:tr>
      <w:tr w:rsidR="00E2015F" w14:paraId="2AEE127B" w14:textId="77777777" w:rsidTr="00E52222">
        <w:tc>
          <w:tcPr>
            <w:tcW w:w="1858" w:type="dxa"/>
          </w:tcPr>
          <w:p w14:paraId="3578BC09" w14:textId="77777777" w:rsidR="00E2015F" w:rsidRPr="00A90300" w:rsidRDefault="00E2015F" w:rsidP="00E52222">
            <w:pPr>
              <w:pStyle w:val="ListParagraph"/>
              <w:ind w:left="0"/>
              <w:jc w:val="both"/>
              <w:rPr>
                <w:b/>
                <w:lang w:val="es-CO"/>
              </w:rPr>
            </w:pPr>
            <w:r w:rsidRPr="00A90300">
              <w:rPr>
                <w:b/>
                <w:lang w:val="es-CO"/>
              </w:rPr>
              <w:t>n</w:t>
            </w:r>
          </w:p>
        </w:tc>
        <w:tc>
          <w:tcPr>
            <w:tcW w:w="1857" w:type="dxa"/>
          </w:tcPr>
          <w:p w14:paraId="73D2675A" w14:textId="05F1D601" w:rsidR="00E2015F" w:rsidRDefault="00E2015F" w:rsidP="00E52222">
            <w:pPr>
              <w:pStyle w:val="ListParagraph"/>
              <w:ind w:left="0"/>
              <w:jc w:val="both"/>
              <w:rPr>
                <w:lang w:val="es-CO"/>
              </w:rPr>
            </w:pPr>
            <w:r>
              <w:rPr>
                <w:lang w:val="es-CO"/>
              </w:rPr>
              <w:t>0,9</w:t>
            </w:r>
            <w:r w:rsidR="00591FDC">
              <w:rPr>
                <w:lang w:val="es-CO"/>
              </w:rPr>
              <w:t>2</w:t>
            </w:r>
          </w:p>
        </w:tc>
        <w:tc>
          <w:tcPr>
            <w:tcW w:w="1919" w:type="dxa"/>
          </w:tcPr>
          <w:p w14:paraId="69D3EFD6" w14:textId="695030C9" w:rsidR="00E2015F" w:rsidRDefault="00591FDC" w:rsidP="00E52222">
            <w:pPr>
              <w:pStyle w:val="ListParagraph"/>
              <w:ind w:left="0"/>
              <w:jc w:val="both"/>
              <w:rPr>
                <w:lang w:val="es-CO"/>
              </w:rPr>
            </w:pPr>
            <w:r>
              <w:rPr>
                <w:lang w:val="es-CO"/>
              </w:rPr>
              <w:t>0,12</w:t>
            </w:r>
          </w:p>
        </w:tc>
        <w:tc>
          <w:tcPr>
            <w:tcW w:w="1858" w:type="dxa"/>
          </w:tcPr>
          <w:p w14:paraId="02A4E699" w14:textId="43AD5CA9" w:rsidR="00E2015F" w:rsidRDefault="00E2015F" w:rsidP="00E52222">
            <w:pPr>
              <w:pStyle w:val="ListParagraph"/>
              <w:ind w:left="0"/>
              <w:jc w:val="both"/>
              <w:rPr>
                <w:lang w:val="es-CO"/>
              </w:rPr>
            </w:pPr>
            <w:r>
              <w:rPr>
                <w:lang w:val="es-CO"/>
              </w:rPr>
              <w:t>0,9</w:t>
            </w:r>
            <w:r w:rsidR="00591FDC">
              <w:rPr>
                <w:lang w:val="es-CO"/>
              </w:rPr>
              <w:t>3</w:t>
            </w:r>
          </w:p>
        </w:tc>
        <w:tc>
          <w:tcPr>
            <w:tcW w:w="1858" w:type="dxa"/>
          </w:tcPr>
          <w:p w14:paraId="0B2F26BF" w14:textId="7BB08AB8" w:rsidR="00E2015F" w:rsidRDefault="00E2015F" w:rsidP="00E52222">
            <w:pPr>
              <w:pStyle w:val="ListParagraph"/>
              <w:ind w:left="0"/>
              <w:jc w:val="both"/>
              <w:rPr>
                <w:lang w:val="es-CO"/>
              </w:rPr>
            </w:pPr>
            <w:r>
              <w:rPr>
                <w:lang w:val="es-CO"/>
              </w:rPr>
              <w:t>0,</w:t>
            </w:r>
            <w:r w:rsidR="00360967">
              <w:rPr>
                <w:lang w:val="es-CO"/>
              </w:rPr>
              <w:t>24</w:t>
            </w:r>
          </w:p>
        </w:tc>
      </w:tr>
    </w:tbl>
    <w:p w14:paraId="542AD183" w14:textId="3E1F08C4" w:rsidR="00E2015F" w:rsidRDefault="00E2015F" w:rsidP="00DC48B8">
      <w:pPr>
        <w:pStyle w:val="ListParagraph"/>
        <w:spacing w:after="0"/>
        <w:ind w:left="0"/>
        <w:jc w:val="both"/>
        <w:rPr>
          <w:lang w:val="es-CO"/>
        </w:rPr>
      </w:pPr>
    </w:p>
    <w:p w14:paraId="47A01906" w14:textId="32F050A9" w:rsidR="0060595B" w:rsidRDefault="0060595B" w:rsidP="00DC48B8">
      <w:pPr>
        <w:pStyle w:val="ListParagraph"/>
        <w:spacing w:after="0"/>
        <w:ind w:left="0"/>
        <w:jc w:val="both"/>
        <w:rPr>
          <w:lang w:val="es-CO"/>
        </w:rPr>
      </w:pPr>
      <w:r>
        <w:rPr>
          <w:lang w:val="es-CO"/>
        </w:rPr>
        <w:t>En la figura 3 se observa el cambio de la impedancia en soluciones de la misma concentración a diferente voltaje. Es evidente que el voltaje aplicado cambia la capacitancia</w:t>
      </w:r>
      <w:r w:rsidR="00AF12D7">
        <w:rPr>
          <w:lang w:val="es-CO"/>
        </w:rPr>
        <w:t xml:space="preserve"> como se observa al comparar los valores de CPE a la misma concentración, pero a diferente voltaje en las tablas 1 y 2</w:t>
      </w:r>
      <w:r>
        <w:rPr>
          <w:lang w:val="es-CO"/>
        </w:rPr>
        <w:t xml:space="preserve">. </w:t>
      </w:r>
      <w:r w:rsidR="00AF12D7">
        <w:rPr>
          <w:lang w:val="es-CO"/>
        </w:rPr>
        <w:t xml:space="preserve">Esto es un aspecto que puede ser explicado con la teoría de </w:t>
      </w:r>
      <w:proofErr w:type="spellStart"/>
      <w:r w:rsidR="00AF12D7">
        <w:rPr>
          <w:lang w:val="es-CO"/>
        </w:rPr>
        <w:t>Gouy</w:t>
      </w:r>
      <w:proofErr w:type="spellEnd"/>
      <w:r w:rsidR="00AF12D7">
        <w:rPr>
          <w:lang w:val="es-CO"/>
        </w:rPr>
        <w:t xml:space="preserve">-Chapman-Stern, con esto se considera que hay una variación en la capacitancia cuando hay una diferencia de voltaje con respecto al potencial Z. Este efecto es más notorio es sistemas </w:t>
      </w:r>
      <w:r w:rsidR="00115530">
        <w:rPr>
          <w:lang w:val="es-CO"/>
        </w:rPr>
        <w:t xml:space="preserve">de baja concentración del electrolito [4]. </w:t>
      </w:r>
      <w:r w:rsidR="00AF12D7">
        <w:rPr>
          <w:lang w:val="es-CO"/>
        </w:rPr>
        <w:t xml:space="preserve"> </w:t>
      </w:r>
    </w:p>
    <w:p w14:paraId="17F008D2" w14:textId="39EFB471" w:rsidR="00A90300" w:rsidRDefault="00A90300" w:rsidP="00DC48B8">
      <w:pPr>
        <w:pStyle w:val="ListParagraph"/>
        <w:spacing w:after="0"/>
        <w:ind w:left="0"/>
        <w:jc w:val="both"/>
        <w:rPr>
          <w:lang w:val="es-CO"/>
        </w:rPr>
      </w:pPr>
      <w:r>
        <w:rPr>
          <w:noProof/>
        </w:rPr>
        <w:drawing>
          <wp:inline distT="0" distB="0" distL="0" distR="0" wp14:anchorId="3BEA17D6" wp14:editId="1EA13CD8">
            <wp:extent cx="1447800" cy="657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7800" cy="657225"/>
                    </a:xfrm>
                    <a:prstGeom prst="rect">
                      <a:avLst/>
                    </a:prstGeom>
                  </pic:spPr>
                </pic:pic>
              </a:graphicData>
            </a:graphic>
          </wp:inline>
        </w:drawing>
      </w:r>
    </w:p>
    <w:p w14:paraId="1EAF349C" w14:textId="77777777" w:rsidR="00DC48B8" w:rsidRPr="00DC48B8" w:rsidRDefault="00DC48B8" w:rsidP="00A13C09">
      <w:pPr>
        <w:spacing w:after="0"/>
        <w:jc w:val="both"/>
        <w:rPr>
          <w:lang w:val="es-CO"/>
        </w:rPr>
      </w:pPr>
    </w:p>
    <w:p w14:paraId="673B2B24" w14:textId="4CFCC453" w:rsidR="00CC3C9F" w:rsidRDefault="00CC3C9F" w:rsidP="00CC3C9F">
      <w:pPr>
        <w:pStyle w:val="ListParagraph"/>
        <w:spacing w:after="0"/>
        <w:ind w:left="0"/>
        <w:jc w:val="both"/>
        <w:rPr>
          <w:lang w:val="es-CO"/>
        </w:rPr>
      </w:pPr>
      <w:r>
        <w:rPr>
          <w:noProof/>
          <w:lang w:val="es-CO"/>
        </w:rPr>
        <w:lastRenderedPageBreak/>
        <w:drawing>
          <wp:inline distT="0" distB="0" distL="0" distR="0" wp14:anchorId="1F9D2714" wp14:editId="4A303754">
            <wp:extent cx="2538484" cy="16285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065" t="10595" r="8707"/>
                    <a:stretch/>
                  </pic:blipFill>
                  <pic:spPr bwMode="auto">
                    <a:xfrm>
                      <a:off x="0" y="0"/>
                      <a:ext cx="2561738" cy="1643439"/>
                    </a:xfrm>
                    <a:prstGeom prst="rect">
                      <a:avLst/>
                    </a:prstGeom>
                    <a:noFill/>
                    <a:ln>
                      <a:noFill/>
                    </a:ln>
                    <a:extLst>
                      <a:ext uri="{53640926-AAD7-44D8-BBD7-CCE9431645EC}">
                        <a14:shadowObscured xmlns:a14="http://schemas.microsoft.com/office/drawing/2010/main"/>
                      </a:ext>
                    </a:extLst>
                  </pic:spPr>
                </pic:pic>
              </a:graphicData>
            </a:graphic>
          </wp:inline>
        </w:drawing>
      </w:r>
    </w:p>
    <w:p w14:paraId="180479F3" w14:textId="26E631DE" w:rsidR="00144106" w:rsidRPr="00144106" w:rsidRDefault="00144106" w:rsidP="00CC3C9F">
      <w:pPr>
        <w:pStyle w:val="ListParagraph"/>
        <w:spacing w:after="0"/>
        <w:ind w:left="0"/>
        <w:jc w:val="both"/>
        <w:rPr>
          <w:lang w:val="es-CO"/>
        </w:rPr>
      </w:pPr>
      <w:r w:rsidRPr="00144106">
        <w:rPr>
          <w:b/>
          <w:lang w:val="es-CO"/>
        </w:rPr>
        <w:t xml:space="preserve">Figura </w:t>
      </w:r>
      <w:r w:rsidR="0060595B">
        <w:rPr>
          <w:b/>
          <w:lang w:val="es-CO"/>
        </w:rPr>
        <w:t>3</w:t>
      </w:r>
      <w:r w:rsidRPr="00144106">
        <w:rPr>
          <w:b/>
          <w:lang w:val="es-CO"/>
        </w:rPr>
        <w:t>.</w:t>
      </w:r>
      <w:r>
        <w:rPr>
          <w:lang w:val="es-CO"/>
        </w:rPr>
        <w:t xml:space="preserve"> Impedancia de LiClO</w:t>
      </w:r>
      <w:r w:rsidRPr="00144106">
        <w:rPr>
          <w:vertAlign w:val="subscript"/>
          <w:lang w:val="es-CO"/>
        </w:rPr>
        <w:t>4</w:t>
      </w:r>
      <w:r>
        <w:rPr>
          <w:lang w:val="es-CO"/>
        </w:rPr>
        <w:t xml:space="preserve"> en voltaje 0,0 V (línea gruesa) y 0,3 V (línea punteada)</w:t>
      </w:r>
    </w:p>
    <w:p w14:paraId="2FA2CA10" w14:textId="413D43F7" w:rsidR="00A13C09" w:rsidRDefault="00A13C09" w:rsidP="00CC3C9F">
      <w:pPr>
        <w:pStyle w:val="ListParagraph"/>
        <w:spacing w:after="0"/>
        <w:ind w:left="0"/>
        <w:jc w:val="both"/>
        <w:rPr>
          <w:lang w:val="es-CO"/>
        </w:rPr>
      </w:pPr>
    </w:p>
    <w:p w14:paraId="666536D1" w14:textId="4C9A6D51" w:rsidR="00144106" w:rsidRPr="00A67E69" w:rsidRDefault="00144106" w:rsidP="00CC3C9F">
      <w:pPr>
        <w:pStyle w:val="ListParagraph"/>
        <w:spacing w:after="0"/>
        <w:ind w:left="0"/>
        <w:jc w:val="both"/>
        <w:rPr>
          <w:lang w:val="es-CO"/>
        </w:rPr>
      </w:pPr>
      <w:r>
        <w:rPr>
          <w:lang w:val="es-CO"/>
        </w:rPr>
        <w:t xml:space="preserve">En la figura 5 se observa </w:t>
      </w:r>
      <w:r w:rsidR="00A67E69">
        <w:rPr>
          <w:lang w:val="es-CO"/>
        </w:rPr>
        <w:t>que a 0,0 V no hay una diferencia entre la impedancia entre el LiClO</w:t>
      </w:r>
      <w:r w:rsidR="00A67E69" w:rsidRPr="00A67E69">
        <w:rPr>
          <w:vertAlign w:val="subscript"/>
          <w:lang w:val="es-CO"/>
        </w:rPr>
        <w:t>4</w:t>
      </w:r>
      <w:r w:rsidR="00A67E69">
        <w:rPr>
          <w:lang w:val="es-CO"/>
        </w:rPr>
        <w:t xml:space="preserve"> y el Na</w:t>
      </w:r>
      <w:r w:rsidR="00A67E69" w:rsidRPr="00A67E69">
        <w:rPr>
          <w:vertAlign w:val="subscript"/>
          <w:lang w:val="es-CO"/>
        </w:rPr>
        <w:t>2</w:t>
      </w:r>
      <w:r w:rsidR="00A67E69">
        <w:rPr>
          <w:lang w:val="es-CO"/>
        </w:rPr>
        <w:t>SO</w:t>
      </w:r>
      <w:r w:rsidR="00A67E69" w:rsidRPr="00A67E69">
        <w:rPr>
          <w:vertAlign w:val="subscript"/>
          <w:lang w:val="es-CO"/>
        </w:rPr>
        <w:t>4</w:t>
      </w:r>
      <w:r w:rsidR="00A67E69">
        <w:rPr>
          <w:lang w:val="es-CO"/>
        </w:rPr>
        <w:t>, esto parece ser un efecto similar al que se observa en la figura 2, en la que el cambio de concentración no parece ser tan influyente a 0,0 V en la impedancia como lo es a 0,3 V. También se observa que la solución de LiClO</w:t>
      </w:r>
      <w:r w:rsidR="00A67E69" w:rsidRPr="00A67E69">
        <w:rPr>
          <w:vertAlign w:val="subscript"/>
          <w:lang w:val="es-CO"/>
        </w:rPr>
        <w:t>4</w:t>
      </w:r>
      <w:r w:rsidR="00A67E69">
        <w:rPr>
          <w:lang w:val="es-CO"/>
        </w:rPr>
        <w:t xml:space="preserve"> en acetonitrilo tiene un comportamiento muy distinto al del agua. Este efecto del solvente está dado porque la constante dieléctrica del acetonitrilo es menor, afectando su comportamiento electroquímico.</w:t>
      </w:r>
      <w:r w:rsidR="00115530">
        <w:rPr>
          <w:lang w:val="es-CO"/>
        </w:rPr>
        <w:t xml:space="preserve"> </w:t>
      </w:r>
      <w:r w:rsidR="00115530" w:rsidRPr="00115530">
        <w:rPr>
          <w:color w:val="FF0000"/>
          <w:lang w:val="es-CO"/>
        </w:rPr>
        <w:t>(aquí la parte del RC)</w:t>
      </w:r>
    </w:p>
    <w:p w14:paraId="72490639" w14:textId="77777777" w:rsidR="00144106" w:rsidRDefault="00144106" w:rsidP="00CC3C9F">
      <w:pPr>
        <w:pStyle w:val="ListParagraph"/>
        <w:spacing w:after="0"/>
        <w:ind w:left="0"/>
        <w:jc w:val="both"/>
        <w:rPr>
          <w:lang w:val="es-CO"/>
        </w:rPr>
      </w:pPr>
    </w:p>
    <w:p w14:paraId="79C87A0E" w14:textId="0354C65C" w:rsidR="00A122DF" w:rsidRDefault="00A122DF" w:rsidP="00CC3C9F">
      <w:pPr>
        <w:pStyle w:val="ListParagraph"/>
        <w:spacing w:after="0"/>
        <w:ind w:left="0"/>
        <w:jc w:val="both"/>
        <w:rPr>
          <w:lang w:val="es-CO"/>
        </w:rPr>
      </w:pPr>
      <w:r>
        <w:rPr>
          <w:noProof/>
          <w:lang w:val="es-CO"/>
        </w:rPr>
        <w:drawing>
          <wp:inline distT="0" distB="0" distL="0" distR="0" wp14:anchorId="664A7204" wp14:editId="197B3DA8">
            <wp:extent cx="3528060" cy="20995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735"/>
                    <a:stretch/>
                  </pic:blipFill>
                  <pic:spPr bwMode="auto">
                    <a:xfrm>
                      <a:off x="0" y="0"/>
                      <a:ext cx="3528060" cy="2099556"/>
                    </a:xfrm>
                    <a:prstGeom prst="rect">
                      <a:avLst/>
                    </a:prstGeom>
                    <a:noFill/>
                    <a:ln>
                      <a:noFill/>
                    </a:ln>
                    <a:extLst>
                      <a:ext uri="{53640926-AAD7-44D8-BBD7-CCE9431645EC}">
                        <a14:shadowObscured xmlns:a14="http://schemas.microsoft.com/office/drawing/2010/main"/>
                      </a:ext>
                    </a:extLst>
                  </pic:spPr>
                </pic:pic>
              </a:graphicData>
            </a:graphic>
          </wp:inline>
        </w:drawing>
      </w:r>
    </w:p>
    <w:p w14:paraId="15734CC4" w14:textId="72AF1172" w:rsidR="00A122DF" w:rsidRDefault="00A122DF" w:rsidP="00CC3C9F">
      <w:pPr>
        <w:pStyle w:val="ListParagraph"/>
        <w:spacing w:after="0"/>
        <w:ind w:left="0"/>
        <w:jc w:val="both"/>
        <w:rPr>
          <w:lang w:val="es-CO"/>
        </w:rPr>
      </w:pPr>
      <w:r w:rsidRPr="00144106">
        <w:rPr>
          <w:b/>
          <w:lang w:val="es-CO"/>
        </w:rPr>
        <w:t>Figura</w:t>
      </w:r>
      <w:r w:rsidR="00144106">
        <w:rPr>
          <w:b/>
          <w:lang w:val="es-CO"/>
        </w:rPr>
        <w:t xml:space="preserve"> 5</w:t>
      </w:r>
      <w:r w:rsidRPr="00144106">
        <w:rPr>
          <w:b/>
          <w:lang w:val="es-CO"/>
        </w:rPr>
        <w:t>.</w:t>
      </w:r>
      <w:r>
        <w:rPr>
          <w:lang w:val="es-CO"/>
        </w:rPr>
        <w:t xml:space="preserve"> Impedancia de Na</w:t>
      </w:r>
      <w:r w:rsidRPr="00A122DF">
        <w:rPr>
          <w:vertAlign w:val="subscript"/>
          <w:lang w:val="es-CO"/>
        </w:rPr>
        <w:t>2</w:t>
      </w:r>
      <w:r>
        <w:rPr>
          <w:lang w:val="es-CO"/>
        </w:rPr>
        <w:t>SO</w:t>
      </w:r>
      <w:r w:rsidRPr="00A122DF">
        <w:rPr>
          <w:vertAlign w:val="subscript"/>
          <w:lang w:val="es-CO"/>
        </w:rPr>
        <w:t>4</w:t>
      </w:r>
      <w:r>
        <w:rPr>
          <w:lang w:val="es-CO"/>
        </w:rPr>
        <w:t xml:space="preserve"> 0,1 M en agua (naranja), LiClO</w:t>
      </w:r>
      <w:r w:rsidRPr="00A122DF">
        <w:rPr>
          <w:vertAlign w:val="subscript"/>
          <w:lang w:val="es-CO"/>
        </w:rPr>
        <w:t>4</w:t>
      </w:r>
      <w:r>
        <w:rPr>
          <w:lang w:val="es-CO"/>
        </w:rPr>
        <w:t xml:space="preserve"> 0,1 M en agua (azul) y 0,1 M en acetonitrilo (verde).</w:t>
      </w:r>
    </w:p>
    <w:p w14:paraId="178CD64C" w14:textId="77777777" w:rsidR="00A122DF" w:rsidRPr="00A13C09" w:rsidRDefault="00A122DF" w:rsidP="00CC3C9F">
      <w:pPr>
        <w:pStyle w:val="ListParagraph"/>
        <w:spacing w:after="0"/>
        <w:ind w:left="0"/>
        <w:jc w:val="both"/>
        <w:rPr>
          <w:lang w:val="es-CO"/>
        </w:rPr>
      </w:pPr>
    </w:p>
    <w:p w14:paraId="3C3F98CF" w14:textId="16A02726" w:rsidR="003F74C7" w:rsidRDefault="00760037" w:rsidP="00760037">
      <w:pPr>
        <w:pStyle w:val="ListParagraph"/>
        <w:numPr>
          <w:ilvl w:val="0"/>
          <w:numId w:val="1"/>
        </w:numPr>
        <w:spacing w:after="0"/>
        <w:jc w:val="both"/>
        <w:rPr>
          <w:b/>
          <w:lang w:val="es-CO"/>
        </w:rPr>
      </w:pPr>
      <w:r w:rsidRPr="00760037">
        <w:rPr>
          <w:b/>
          <w:lang w:val="es-CO"/>
        </w:rPr>
        <w:t>Conclusiones</w:t>
      </w:r>
    </w:p>
    <w:p w14:paraId="190A9E4B" w14:textId="70A5FC28" w:rsidR="001F51C1" w:rsidRDefault="001F51C1" w:rsidP="001F51C1">
      <w:pPr>
        <w:spacing w:after="0"/>
        <w:jc w:val="both"/>
        <w:rPr>
          <w:b/>
          <w:lang w:val="es-CO"/>
        </w:rPr>
      </w:pPr>
    </w:p>
    <w:p w14:paraId="2AC78BEF" w14:textId="44501DF9" w:rsidR="001F51C1" w:rsidRDefault="001F51C1" w:rsidP="001F51C1">
      <w:pPr>
        <w:spacing w:after="0"/>
        <w:jc w:val="both"/>
        <w:rPr>
          <w:b/>
          <w:lang w:val="es-CO"/>
        </w:rPr>
      </w:pPr>
    </w:p>
    <w:p w14:paraId="509AC49B" w14:textId="77777777" w:rsidR="001F51C1" w:rsidRPr="001F51C1" w:rsidRDefault="001F51C1" w:rsidP="001F51C1">
      <w:pPr>
        <w:spacing w:after="0"/>
        <w:jc w:val="both"/>
        <w:rPr>
          <w:b/>
          <w:lang w:val="es-CO"/>
        </w:rPr>
      </w:pPr>
    </w:p>
    <w:p w14:paraId="57C0C832" w14:textId="4125478C" w:rsidR="00760037" w:rsidRPr="00760037" w:rsidRDefault="00760037" w:rsidP="00760037">
      <w:pPr>
        <w:pStyle w:val="ListParagraph"/>
        <w:numPr>
          <w:ilvl w:val="0"/>
          <w:numId w:val="1"/>
        </w:numPr>
        <w:spacing w:after="0"/>
        <w:jc w:val="both"/>
        <w:rPr>
          <w:b/>
          <w:lang w:val="es-CO"/>
        </w:rPr>
      </w:pPr>
      <w:r w:rsidRPr="00760037">
        <w:rPr>
          <w:b/>
          <w:lang w:val="es-CO"/>
        </w:rPr>
        <w:t>Referencias</w:t>
      </w:r>
    </w:p>
    <w:p w14:paraId="3CD180F4" w14:textId="77777777" w:rsidR="00A122DF" w:rsidRDefault="00A122DF" w:rsidP="0020540F">
      <w:pPr>
        <w:spacing w:after="0"/>
        <w:jc w:val="both"/>
      </w:pPr>
    </w:p>
    <w:p w14:paraId="505544BE" w14:textId="2A3E8DC5" w:rsidR="0020540F" w:rsidRDefault="002D417F" w:rsidP="0020540F">
      <w:pPr>
        <w:spacing w:after="0"/>
        <w:jc w:val="both"/>
      </w:pPr>
      <w:r>
        <w:t xml:space="preserve">[1] </w:t>
      </w:r>
      <w:proofErr w:type="spellStart"/>
      <w:r w:rsidR="0020540F" w:rsidRPr="0020540F">
        <w:t>Lvovich</w:t>
      </w:r>
      <w:proofErr w:type="spellEnd"/>
      <w:r w:rsidR="0020540F">
        <w:t>, V.</w:t>
      </w:r>
      <w:r w:rsidR="0020540F" w:rsidRPr="0020540F">
        <w:t xml:space="preserve"> </w:t>
      </w:r>
      <w:r w:rsidR="0020540F" w:rsidRPr="00115530">
        <w:rPr>
          <w:i/>
        </w:rPr>
        <w:t xml:space="preserve">Impedance Spectroscopy, </w:t>
      </w:r>
      <w:r w:rsidR="0020540F" w:rsidRPr="00115530">
        <w:rPr>
          <w:i/>
        </w:rPr>
        <w:t>Applications to Electrochemical and Dielectric Phenomena</w:t>
      </w:r>
      <w:r w:rsidR="0020540F">
        <w:t>. J</w:t>
      </w:r>
      <w:r w:rsidR="0020540F" w:rsidRPr="0020540F">
        <w:t>ohn Wiley &amp; Sons, Inc.</w:t>
      </w:r>
      <w:r w:rsidR="0020540F">
        <w:t xml:space="preserve"> 2012.</w:t>
      </w:r>
    </w:p>
    <w:p w14:paraId="429086BF" w14:textId="1B48FCC1" w:rsidR="0098194F" w:rsidRPr="0020540F" w:rsidRDefault="0098194F" w:rsidP="0020540F">
      <w:pPr>
        <w:spacing w:after="0"/>
        <w:jc w:val="both"/>
      </w:pPr>
    </w:p>
    <w:p w14:paraId="3FF8A5D6" w14:textId="7AC28BF9" w:rsidR="0020540F" w:rsidRDefault="002D417F" w:rsidP="0098194F">
      <w:pPr>
        <w:spacing w:after="0"/>
        <w:jc w:val="both"/>
      </w:pPr>
      <w:r>
        <w:t xml:space="preserve">[2] </w:t>
      </w:r>
      <w:proofErr w:type="spellStart"/>
      <w:r w:rsidR="0098194F">
        <w:t>Barsoukov</w:t>
      </w:r>
      <w:proofErr w:type="spellEnd"/>
      <w:r w:rsidR="0098194F">
        <w:t xml:space="preserve">, </w:t>
      </w:r>
      <w:r w:rsidR="0098194F">
        <w:t>J.</w:t>
      </w:r>
      <w:r w:rsidR="0098194F">
        <w:t xml:space="preserve"> </w:t>
      </w:r>
      <w:r w:rsidR="0098194F">
        <w:t>Macdonald</w:t>
      </w:r>
      <w:r w:rsidR="0098194F">
        <w:t xml:space="preserve">, J. </w:t>
      </w:r>
      <w:r w:rsidR="0098194F" w:rsidRPr="00115530">
        <w:rPr>
          <w:i/>
        </w:rPr>
        <w:t>Impedance Spectroscopy</w:t>
      </w:r>
      <w:r w:rsidR="0098194F" w:rsidRPr="00115530">
        <w:rPr>
          <w:i/>
        </w:rPr>
        <w:t xml:space="preserve"> </w:t>
      </w:r>
      <w:r w:rsidR="0098194F" w:rsidRPr="00115530">
        <w:rPr>
          <w:i/>
        </w:rPr>
        <w:t>Theory, Experiment, and</w:t>
      </w:r>
      <w:r w:rsidR="0098194F" w:rsidRPr="00115530">
        <w:rPr>
          <w:i/>
        </w:rPr>
        <w:t xml:space="preserve"> </w:t>
      </w:r>
      <w:r w:rsidR="0098194F" w:rsidRPr="00115530">
        <w:rPr>
          <w:i/>
        </w:rPr>
        <w:t>Applications</w:t>
      </w:r>
      <w:r w:rsidR="00115530">
        <w:rPr>
          <w:i/>
        </w:rPr>
        <w:t>.</w:t>
      </w:r>
      <w:r w:rsidR="0098194F" w:rsidRPr="0098194F">
        <w:t xml:space="preserve"> </w:t>
      </w:r>
      <w:r w:rsidR="0098194F" w:rsidRPr="0098194F">
        <w:t>John Wiley &amp; Sons, Inc.</w:t>
      </w:r>
      <w:r w:rsidR="0098194F">
        <w:t xml:space="preserve"> 2005</w:t>
      </w:r>
      <w:r w:rsidR="00115530">
        <w:t>, p. 9-12.</w:t>
      </w:r>
    </w:p>
    <w:p w14:paraId="7342A0EF" w14:textId="5E24D6BA" w:rsidR="00115530" w:rsidRDefault="00115530" w:rsidP="0098194F">
      <w:pPr>
        <w:spacing w:after="0"/>
        <w:jc w:val="both"/>
      </w:pPr>
    </w:p>
    <w:p w14:paraId="464E789C" w14:textId="77E9C2B8" w:rsidR="00115530" w:rsidRDefault="00115530" w:rsidP="0098194F">
      <w:pPr>
        <w:spacing w:after="0"/>
        <w:jc w:val="both"/>
        <w:rPr>
          <w:lang w:val="es-CO"/>
        </w:rPr>
      </w:pPr>
      <w:r w:rsidRPr="00115530">
        <w:rPr>
          <w:lang w:val="es-CO"/>
        </w:rPr>
        <w:lastRenderedPageBreak/>
        <w:t>[</w:t>
      </w:r>
      <w:r>
        <w:rPr>
          <w:lang w:val="es-CO"/>
        </w:rPr>
        <w:t>3</w:t>
      </w:r>
      <w:r w:rsidRPr="00115530">
        <w:rPr>
          <w:lang w:val="es-CO"/>
        </w:rPr>
        <w:t>] Suárez, M.</w:t>
      </w:r>
      <w:r>
        <w:rPr>
          <w:lang w:val="es-CO"/>
        </w:rPr>
        <w:t>F.</w:t>
      </w:r>
      <w:r w:rsidRPr="00115530">
        <w:rPr>
          <w:lang w:val="es-CO"/>
        </w:rPr>
        <w:t xml:space="preserve"> </w:t>
      </w:r>
      <w:r w:rsidRPr="00115530">
        <w:rPr>
          <w:i/>
          <w:lang w:val="es-CO"/>
        </w:rPr>
        <w:t>Electroquímica física e interfacial</w:t>
      </w:r>
      <w:r>
        <w:rPr>
          <w:lang w:val="es-CO"/>
        </w:rPr>
        <w:t>. Universidad Nacional de Colombia. 2011, p.112.</w:t>
      </w:r>
    </w:p>
    <w:p w14:paraId="5172F966" w14:textId="42D6974B" w:rsidR="00115530" w:rsidRDefault="00115530" w:rsidP="0098194F">
      <w:pPr>
        <w:spacing w:after="0"/>
        <w:jc w:val="both"/>
        <w:rPr>
          <w:lang w:val="es-CO"/>
        </w:rPr>
      </w:pPr>
    </w:p>
    <w:p w14:paraId="3D76FEE6" w14:textId="48EBD257" w:rsidR="00115530" w:rsidRPr="00115530" w:rsidRDefault="00115530" w:rsidP="0098194F">
      <w:pPr>
        <w:spacing w:after="0"/>
        <w:jc w:val="both"/>
      </w:pPr>
      <w:r w:rsidRPr="00115530">
        <w:t>[4] Bard, A.</w:t>
      </w:r>
      <w:r>
        <w:t>J.</w:t>
      </w:r>
      <w:r w:rsidRPr="00115530">
        <w:t xml:space="preserve"> Faulkner, L.R</w:t>
      </w:r>
      <w:r>
        <w:t xml:space="preserve">. </w:t>
      </w:r>
      <w:r w:rsidRPr="00115530">
        <w:rPr>
          <w:i/>
        </w:rPr>
        <w:t>Electrochemical Methods: Fundamentals and Applications</w:t>
      </w:r>
      <w:r>
        <w:t xml:space="preserve">. </w:t>
      </w:r>
      <w:r w:rsidRPr="0098194F">
        <w:t>John Wiley &amp; Sons, Inc</w:t>
      </w:r>
      <w:r>
        <w:t>. 2001, p. 553.</w:t>
      </w:r>
    </w:p>
    <w:p w14:paraId="14B7D27F" w14:textId="6B12FF2B" w:rsidR="00115530" w:rsidRPr="00115530" w:rsidRDefault="00115530" w:rsidP="0098194F">
      <w:pPr>
        <w:spacing w:after="0"/>
        <w:jc w:val="both"/>
      </w:pPr>
    </w:p>
    <w:p w14:paraId="52D3F4D4" w14:textId="77777777" w:rsidR="00115530" w:rsidRPr="00115530" w:rsidRDefault="00115530" w:rsidP="0098194F">
      <w:pPr>
        <w:spacing w:after="0"/>
        <w:jc w:val="both"/>
      </w:pPr>
    </w:p>
    <w:sectPr w:rsidR="00115530" w:rsidRPr="00115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0A4880"/>
    <w:multiLevelType w:val="multilevel"/>
    <w:tmpl w:val="B5CE26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32C"/>
    <w:rsid w:val="0005471D"/>
    <w:rsid w:val="00115530"/>
    <w:rsid w:val="00144106"/>
    <w:rsid w:val="001F51C1"/>
    <w:rsid w:val="00201E43"/>
    <w:rsid w:val="0020540F"/>
    <w:rsid w:val="0023225C"/>
    <w:rsid w:val="0029578D"/>
    <w:rsid w:val="002A5318"/>
    <w:rsid w:val="002D417F"/>
    <w:rsid w:val="002F132C"/>
    <w:rsid w:val="0034181C"/>
    <w:rsid w:val="003540F0"/>
    <w:rsid w:val="00360967"/>
    <w:rsid w:val="003D4E3A"/>
    <w:rsid w:val="003F74C7"/>
    <w:rsid w:val="0045682B"/>
    <w:rsid w:val="00574882"/>
    <w:rsid w:val="00591FDC"/>
    <w:rsid w:val="0060595B"/>
    <w:rsid w:val="0063270F"/>
    <w:rsid w:val="006677F3"/>
    <w:rsid w:val="006B6955"/>
    <w:rsid w:val="00752B7D"/>
    <w:rsid w:val="00760037"/>
    <w:rsid w:val="007A50E4"/>
    <w:rsid w:val="007A7816"/>
    <w:rsid w:val="007E6A6E"/>
    <w:rsid w:val="008C73ED"/>
    <w:rsid w:val="00902EBB"/>
    <w:rsid w:val="0098194F"/>
    <w:rsid w:val="009B01CC"/>
    <w:rsid w:val="00A122DF"/>
    <w:rsid w:val="00A13C09"/>
    <w:rsid w:val="00A67E69"/>
    <w:rsid w:val="00A90300"/>
    <w:rsid w:val="00AF12D7"/>
    <w:rsid w:val="00AF1735"/>
    <w:rsid w:val="00C51CB8"/>
    <w:rsid w:val="00CB457E"/>
    <w:rsid w:val="00CC3C9F"/>
    <w:rsid w:val="00CF1E14"/>
    <w:rsid w:val="00DC48B8"/>
    <w:rsid w:val="00DD736F"/>
    <w:rsid w:val="00DF4430"/>
    <w:rsid w:val="00E2015F"/>
    <w:rsid w:val="00EC616F"/>
    <w:rsid w:val="00EE7F9A"/>
    <w:rsid w:val="00F63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45D5"/>
  <w15:chartTrackingRefBased/>
  <w15:docId w15:val="{34E63ADF-0355-4DE2-85BB-EEF321C1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C09"/>
    <w:pPr>
      <w:ind w:left="720"/>
      <w:contextualSpacing/>
    </w:pPr>
  </w:style>
  <w:style w:type="table" w:styleId="TableGrid">
    <w:name w:val="Table Grid"/>
    <w:basedOn w:val="TableNormal"/>
    <w:uiPriority w:val="39"/>
    <w:rsid w:val="00054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1660</TotalTime>
  <Pages>5</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Adrián</dc:creator>
  <cp:keywords/>
  <dc:description/>
  <cp:lastModifiedBy>Mauro Adrián</cp:lastModifiedBy>
  <cp:revision>8</cp:revision>
  <dcterms:created xsi:type="dcterms:W3CDTF">2018-11-12T23:00:00Z</dcterms:created>
  <dcterms:modified xsi:type="dcterms:W3CDTF">2018-11-14T02:41:00Z</dcterms:modified>
</cp:coreProperties>
</file>