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6445" w14:textId="307C79D6" w:rsidR="00D95B6C" w:rsidRDefault="00A525EB" w:rsidP="004F2DF6">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Transamidación</w:t>
      </w:r>
      <w:r w:rsidR="00C91805">
        <w:rPr>
          <w:rFonts w:ascii="Times New Roman" w:hAnsi="Times New Roman" w:cs="Times New Roman"/>
          <w:b/>
          <w:sz w:val="28"/>
          <w:szCs w:val="28"/>
        </w:rPr>
        <w:t xml:space="preserve"> Catalizada por Hierro (III)</w:t>
      </w:r>
      <w:r w:rsidR="004F2DF6" w:rsidRPr="004F2DF6">
        <w:rPr>
          <w:rFonts w:ascii="Times New Roman" w:hAnsi="Times New Roman" w:cs="Times New Roman"/>
          <w:b/>
          <w:sz w:val="28"/>
          <w:szCs w:val="28"/>
        </w:rPr>
        <w:t xml:space="preserve"> </w:t>
      </w:r>
    </w:p>
    <w:p w14:paraId="044A8D27" w14:textId="45545901" w:rsidR="004F2DF6" w:rsidRPr="004F2DF6" w:rsidRDefault="00C91805" w:rsidP="004F2DF6">
      <w:pPr>
        <w:spacing w:after="120" w:line="276" w:lineRule="auto"/>
        <w:jc w:val="center"/>
        <w:rPr>
          <w:rFonts w:ascii="Times New Roman" w:hAnsi="Times New Roman" w:cs="Times New Roman"/>
          <w:b/>
        </w:rPr>
      </w:pPr>
      <w:r>
        <w:rPr>
          <w:rFonts w:ascii="Times New Roman" w:hAnsi="Times New Roman" w:cs="Times New Roman"/>
          <w:b/>
        </w:rPr>
        <w:t>Juan Barbosa, Andrés Martínez</w:t>
      </w:r>
    </w:p>
    <w:p w14:paraId="3B15BBBA" w14:textId="4C4951F6" w:rsidR="004F2DF6" w:rsidRPr="004F2DF6" w:rsidRDefault="004F2DF6" w:rsidP="004F2DF6">
      <w:pPr>
        <w:spacing w:after="120" w:line="276" w:lineRule="auto"/>
        <w:jc w:val="center"/>
        <w:rPr>
          <w:rFonts w:ascii="Times New Roman" w:hAnsi="Times New Roman" w:cs="Times New Roman"/>
        </w:rPr>
      </w:pPr>
      <w:r w:rsidRPr="004F2DF6">
        <w:rPr>
          <w:rFonts w:ascii="Times New Roman" w:hAnsi="Times New Roman" w:cs="Times New Roman"/>
          <w:i/>
        </w:rPr>
        <w:t>Universidad de los Andes, Departamento de Química – Facultad de Ciencias</w:t>
      </w:r>
    </w:p>
    <w:p w14:paraId="1468E6F2" w14:textId="748EA258" w:rsidR="00CF17B6" w:rsidRDefault="00CF17B6" w:rsidP="004F2DF6">
      <w:pPr>
        <w:spacing w:after="120" w:line="276" w:lineRule="auto"/>
        <w:jc w:val="both"/>
        <w:rPr>
          <w:rFonts w:ascii="Times New Roman" w:hAnsi="Times New Roman" w:cs="Times New Roman"/>
          <w:b/>
          <w:sz w:val="22"/>
          <w:szCs w:val="22"/>
        </w:rPr>
      </w:pPr>
    </w:p>
    <w:p w14:paraId="79798A6F" w14:textId="60758595" w:rsidR="004F2DF6" w:rsidRPr="00CF17B6" w:rsidRDefault="004F2DF6" w:rsidP="004F2DF6">
      <w:pPr>
        <w:spacing w:after="120" w:line="276" w:lineRule="auto"/>
        <w:jc w:val="both"/>
        <w:rPr>
          <w:rFonts w:ascii="Times New Roman" w:hAnsi="Times New Roman" w:cs="Times New Roman"/>
          <w:b/>
          <w:sz w:val="22"/>
          <w:szCs w:val="22"/>
        </w:rPr>
      </w:pPr>
      <w:r w:rsidRPr="00CF17B6">
        <w:rPr>
          <w:rFonts w:ascii="Times New Roman" w:hAnsi="Times New Roman" w:cs="Times New Roman"/>
          <w:b/>
          <w:sz w:val="22"/>
          <w:szCs w:val="22"/>
        </w:rPr>
        <w:t>Resumen</w:t>
      </w:r>
      <w:r w:rsidR="000B2FA3">
        <w:rPr>
          <w:rFonts w:ascii="Times New Roman" w:hAnsi="Times New Roman" w:cs="Times New Roman"/>
          <w:b/>
          <w:sz w:val="22"/>
          <w:szCs w:val="22"/>
        </w:rPr>
        <w:t xml:space="preserve"> </w:t>
      </w:r>
      <w:bookmarkStart w:id="0" w:name="_GoBack"/>
      <w:bookmarkEnd w:id="0"/>
    </w:p>
    <w:p w14:paraId="46C0B2B2" w14:textId="17929ED1" w:rsidR="00923592" w:rsidRPr="002B5F9A" w:rsidRDefault="002B5F9A" w:rsidP="004F2DF6">
      <w:pPr>
        <w:spacing w:after="120" w:line="276" w:lineRule="auto"/>
        <w:jc w:val="both"/>
        <w:rPr>
          <w:rFonts w:ascii="Times New Roman" w:hAnsi="Times New Roman" w:cs="Times New Roman"/>
          <w:sz w:val="22"/>
          <w:szCs w:val="22"/>
        </w:rPr>
      </w:pPr>
      <w:r>
        <w:rPr>
          <w:noProof/>
        </w:rPr>
        <w:drawing>
          <wp:anchor distT="0" distB="0" distL="114300" distR="114300" simplePos="0" relativeHeight="251658240" behindDoc="0" locked="0" layoutInCell="1" allowOverlap="1" wp14:anchorId="53D0E07B" wp14:editId="770A03C1">
            <wp:simplePos x="0" y="0"/>
            <wp:positionH relativeFrom="margin">
              <wp:posOffset>2406954</wp:posOffset>
            </wp:positionH>
            <wp:positionV relativeFrom="margin">
              <wp:posOffset>1477175</wp:posOffset>
            </wp:positionV>
            <wp:extent cx="3434715" cy="888365"/>
            <wp:effectExtent l="152400" t="114300" r="127635" b="1593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4715" cy="888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53CD4">
        <w:rPr>
          <w:rFonts w:ascii="Times New Roman" w:hAnsi="Times New Roman" w:cs="Times New Roman"/>
          <w:sz w:val="22"/>
          <w:szCs w:val="22"/>
        </w:rPr>
        <w:t xml:space="preserve">El objetivo de este trabajo consistió en llevar a cabo una reacción de transamidación catalizada por sales de hierro (III) hidratadas </w:t>
      </w:r>
      <w:r>
        <w:rPr>
          <w:rFonts w:ascii="Times New Roman" w:hAnsi="Times New Roman" w:cs="Times New Roman"/>
          <w:sz w:val="22"/>
          <w:szCs w:val="22"/>
        </w:rPr>
        <w:t xml:space="preserve">para la obtención de N-bencilformamida a partir de formamida y bencilamina. La reacción fue llevada a cabo con éxito y el producto se formó con un rendimiento del 97,35%. El producto fue analizado por RMN </w:t>
      </w:r>
      <w:r>
        <w:rPr>
          <w:rFonts w:ascii="Times New Roman" w:hAnsi="Times New Roman" w:cs="Times New Roman"/>
          <w:sz w:val="22"/>
          <w:szCs w:val="22"/>
          <w:vertAlign w:val="superscript"/>
        </w:rPr>
        <w:t>1</w:t>
      </w:r>
      <w:r>
        <w:rPr>
          <w:rFonts w:ascii="Times New Roman" w:hAnsi="Times New Roman" w:cs="Times New Roman"/>
          <w:sz w:val="22"/>
          <w:szCs w:val="22"/>
        </w:rPr>
        <w:t xml:space="preserve">H y </w:t>
      </w:r>
      <w:r>
        <w:rPr>
          <w:rFonts w:ascii="Times New Roman" w:hAnsi="Times New Roman" w:cs="Times New Roman"/>
          <w:sz w:val="22"/>
          <w:szCs w:val="22"/>
          <w:vertAlign w:val="superscript"/>
        </w:rPr>
        <w:t>13</w:t>
      </w:r>
      <w:r>
        <w:rPr>
          <w:rFonts w:ascii="Times New Roman" w:hAnsi="Times New Roman" w:cs="Times New Roman"/>
          <w:sz w:val="22"/>
          <w:szCs w:val="22"/>
        </w:rPr>
        <w:t xml:space="preserve">C </w:t>
      </w:r>
      <w:proofErr w:type="gramStart"/>
      <w:r>
        <w:rPr>
          <w:rFonts w:ascii="Times New Roman" w:hAnsi="Times New Roman" w:cs="Times New Roman"/>
          <w:sz w:val="22"/>
          <w:szCs w:val="22"/>
        </w:rPr>
        <w:t>DEPT ,</w:t>
      </w:r>
      <w:proofErr w:type="gramEnd"/>
      <w:r>
        <w:rPr>
          <w:rFonts w:ascii="Times New Roman" w:hAnsi="Times New Roman" w:cs="Times New Roman"/>
          <w:sz w:val="22"/>
          <w:szCs w:val="22"/>
        </w:rPr>
        <w:t xml:space="preserve"> se logró asignar las señales presentes en estos espectros a los átomos presentes en la muestra, confirmando la identidad de este.</w:t>
      </w:r>
    </w:p>
    <w:p w14:paraId="3B4485E6" w14:textId="0D7BD773" w:rsidR="006A767E" w:rsidRPr="00CF17B6" w:rsidRDefault="006A767E" w:rsidP="004F2DF6">
      <w:pPr>
        <w:spacing w:after="120" w:line="276" w:lineRule="auto"/>
        <w:jc w:val="both"/>
        <w:rPr>
          <w:rFonts w:ascii="Times New Roman" w:hAnsi="Times New Roman" w:cs="Times New Roman"/>
          <w:sz w:val="22"/>
          <w:szCs w:val="22"/>
        </w:rPr>
      </w:pPr>
      <w:r w:rsidRPr="00CF17B6">
        <w:rPr>
          <w:rFonts w:ascii="Times New Roman" w:hAnsi="Times New Roman" w:cs="Times New Roman"/>
          <w:noProof/>
          <w:sz w:val="22"/>
          <w:szCs w:val="22"/>
          <w:lang w:val="en-US" w:eastAsia="en-US"/>
        </w:rPr>
        <mc:AlternateContent>
          <mc:Choice Requires="wps">
            <w:drawing>
              <wp:anchor distT="0" distB="0" distL="114300" distR="114300" simplePos="0" relativeHeight="251659264" behindDoc="0" locked="0" layoutInCell="1" allowOverlap="1" wp14:anchorId="31627812" wp14:editId="58697512">
                <wp:simplePos x="0" y="0"/>
                <wp:positionH relativeFrom="column">
                  <wp:posOffset>0</wp:posOffset>
                </wp:positionH>
                <wp:positionV relativeFrom="paragraph">
                  <wp:posOffset>33020</wp:posOffset>
                </wp:positionV>
                <wp:extent cx="6057900" cy="0"/>
                <wp:effectExtent l="0" t="0" r="12700" b="25400"/>
                <wp:wrapNone/>
                <wp:docPr id="1" name="Conector recto 1"/>
                <wp:cNvGraphicFramePr/>
                <a:graphic xmlns:a="http://schemas.openxmlformats.org/drawingml/2006/main">
                  <a:graphicData uri="http://schemas.microsoft.com/office/word/2010/wordprocessingShape">
                    <wps:wsp>
                      <wps:cNvCnPr/>
                      <wps:spPr>
                        <a:xfrm>
                          <a:off x="0" y="0"/>
                          <a:ext cx="60579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5284978"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pt" to="47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" strokecolor="black [3213]"/>
            </w:pict>
          </mc:Fallback>
        </mc:AlternateContent>
      </w:r>
    </w:p>
    <w:p w14:paraId="1DB452BF" w14:textId="77777777" w:rsidR="00ED38E2" w:rsidRPr="00CF17B6" w:rsidRDefault="00ED38E2" w:rsidP="004F2DF6">
      <w:pPr>
        <w:spacing w:after="120" w:line="276" w:lineRule="auto"/>
        <w:jc w:val="both"/>
        <w:rPr>
          <w:rFonts w:ascii="Times New Roman" w:hAnsi="Times New Roman" w:cs="Times New Roman"/>
          <w:b/>
          <w:sz w:val="22"/>
          <w:szCs w:val="22"/>
        </w:rPr>
        <w:sectPr w:rsidR="00ED38E2" w:rsidRPr="00CF17B6" w:rsidSect="00DB2AFA">
          <w:pgSz w:w="12240" w:h="15840"/>
          <w:pgMar w:top="1417" w:right="1418" w:bottom="1417" w:left="1418" w:header="708" w:footer="708" w:gutter="0"/>
          <w:cols w:space="708"/>
          <w:docGrid w:linePitch="360"/>
        </w:sectPr>
      </w:pPr>
    </w:p>
    <w:p w14:paraId="5B3E8F23" w14:textId="43EA45E9" w:rsidR="006A767E" w:rsidRPr="00CF17B6" w:rsidRDefault="006A767E" w:rsidP="009F6F88">
      <w:pPr>
        <w:spacing w:after="120" w:line="276" w:lineRule="auto"/>
        <w:jc w:val="both"/>
        <w:rPr>
          <w:rFonts w:ascii="Times New Roman" w:hAnsi="Times New Roman" w:cs="Times New Roman"/>
          <w:b/>
          <w:sz w:val="22"/>
          <w:szCs w:val="22"/>
        </w:rPr>
      </w:pPr>
      <w:r w:rsidRPr="00CF17B6">
        <w:rPr>
          <w:rFonts w:ascii="Times New Roman" w:hAnsi="Times New Roman" w:cs="Times New Roman"/>
          <w:b/>
          <w:sz w:val="22"/>
          <w:szCs w:val="22"/>
        </w:rPr>
        <w:t>Introducción</w:t>
      </w:r>
      <w:r w:rsidR="004A11A5">
        <w:rPr>
          <w:rFonts w:ascii="Times New Roman" w:hAnsi="Times New Roman" w:cs="Times New Roman"/>
          <w:b/>
          <w:sz w:val="22"/>
          <w:szCs w:val="22"/>
        </w:rPr>
        <w:t xml:space="preserve"> </w:t>
      </w:r>
    </w:p>
    <w:p w14:paraId="76EF1429" w14:textId="019DE189" w:rsidR="007D7225" w:rsidRDefault="00C91805" w:rsidP="009F6F88">
      <w:pPr>
        <w:pStyle w:val="NormalWeb"/>
        <w:spacing w:before="0" w:beforeAutospacing="0" w:after="0" w:afterAutospacing="0" w:line="276" w:lineRule="auto"/>
        <w:jc w:val="both"/>
        <w:rPr>
          <w:color w:val="000000"/>
          <w:sz w:val="22"/>
          <w:szCs w:val="22"/>
        </w:rPr>
      </w:pPr>
      <w:r>
        <w:rPr>
          <w:color w:val="000000"/>
          <w:sz w:val="22"/>
          <w:szCs w:val="22"/>
        </w:rPr>
        <w:t xml:space="preserve"> </w:t>
      </w:r>
      <w:r w:rsidR="007D7225">
        <w:rPr>
          <w:color w:val="000000"/>
          <w:sz w:val="22"/>
          <w:szCs w:val="22"/>
        </w:rPr>
        <w:t>Los compuestos derivados de ácidos carboxílicos son ubicuos en la naturaleza y debido a la facilidad de funcionalizar sus derivados, son de gran utilidad de la síntesis orgánica. La reacción característica efectuada sobre los derivados de ácidos es la sustitución nucleofílica de acilo, que permite intercambiar la identidad del compuesto siguiendo un orden específico de reactividad</w:t>
      </w:r>
      <w:r w:rsidR="005958C6">
        <w:rPr>
          <w:color w:val="000000"/>
          <w:sz w:val="22"/>
          <w:szCs w:val="22"/>
        </w:rPr>
        <w:t xml:space="preserve"> (</w:t>
      </w:r>
      <w:r w:rsidR="005958C6">
        <w:rPr>
          <w:color w:val="000000"/>
          <w:sz w:val="22"/>
          <w:szCs w:val="22"/>
        </w:rPr>
        <w:fldChar w:fldCharType="begin"/>
      </w:r>
      <w:r w:rsidR="005958C6">
        <w:rPr>
          <w:color w:val="000000"/>
          <w:sz w:val="22"/>
          <w:szCs w:val="22"/>
        </w:rPr>
        <w:instrText xml:space="preserve"> REF _Ref495657018 \h </w:instrText>
      </w:r>
      <w:r w:rsidR="005958C6">
        <w:rPr>
          <w:color w:val="000000"/>
          <w:sz w:val="22"/>
          <w:szCs w:val="22"/>
        </w:rPr>
      </w:r>
      <w:r w:rsidR="009F6F88">
        <w:rPr>
          <w:color w:val="000000"/>
          <w:sz w:val="22"/>
          <w:szCs w:val="22"/>
        </w:rPr>
        <w:instrText xml:space="preserve"> \* MERGEFORMAT </w:instrText>
      </w:r>
      <w:r w:rsidR="005958C6">
        <w:rPr>
          <w:color w:val="000000"/>
          <w:sz w:val="22"/>
          <w:szCs w:val="22"/>
        </w:rPr>
        <w:fldChar w:fldCharType="separate"/>
      </w:r>
      <w:r w:rsidR="005958C6">
        <w:t xml:space="preserve">Esquema </w:t>
      </w:r>
      <w:r w:rsidR="005958C6">
        <w:rPr>
          <w:noProof/>
        </w:rPr>
        <w:t>1</w:t>
      </w:r>
      <w:r w:rsidR="005958C6">
        <w:rPr>
          <w:color w:val="000000"/>
          <w:sz w:val="22"/>
          <w:szCs w:val="22"/>
        </w:rPr>
        <w:fldChar w:fldCharType="end"/>
      </w:r>
      <w:r w:rsidR="005958C6">
        <w:rPr>
          <w:color w:val="000000"/>
          <w:sz w:val="22"/>
          <w:szCs w:val="22"/>
        </w:rPr>
        <w:t>)</w:t>
      </w:r>
      <w:r w:rsidR="00230933">
        <w:rPr>
          <w:color w:val="000000"/>
          <w:sz w:val="22"/>
          <w:szCs w:val="22"/>
        </w:rPr>
        <w:fldChar w:fldCharType="begin"/>
      </w:r>
      <w:r w:rsidR="00230933">
        <w:rPr>
          <w:color w:val="000000"/>
          <w:sz w:val="22"/>
          <w:szCs w:val="22"/>
        </w:rPr>
        <w:instrText xml:space="preserve"> ADDIN ZOTERO_ITEM CSL_CITATION {"citationID":"ahok0pdo99","properties":{"formattedCitation":"{\\rtf \\super 1\\nosupersub{}}","plainCitation":"1"},"citationItems":[{"id":348,"uris":["http://zotero.org/users/local/AmcIrhB5/items/8ZUKPJ4K"],"uri":["http://zotero.org/users/local/AmcIrhB5/items/8ZUKPJ4K"],"itemData":{"id":348,"type":"book","title":"Organic chemistry: international edition.","publisher":"Pearson Education (Us)","publisher-place":"Place of publication not identified","source":"Open WorldCat","event-place":"Place of publication not identified","ISBN":"978-0-321-81139-4","note":"OCLC: 775075493","shortTitle":"Organic chemistry","language":"English","author":[{"family":"Wade","given":"Leroy G"}],"issued":{"date-parts":[["2012"]]}}}],"schema":"https://github.com/citation-style-language/schema/raw/master/csl-citation.json"} </w:instrText>
      </w:r>
      <w:r w:rsidR="00230933">
        <w:rPr>
          <w:color w:val="000000"/>
          <w:sz w:val="22"/>
          <w:szCs w:val="22"/>
        </w:rPr>
        <w:fldChar w:fldCharType="separate"/>
      </w:r>
      <w:r w:rsidR="00230933" w:rsidRPr="00230933">
        <w:rPr>
          <w:sz w:val="22"/>
          <w:vertAlign w:val="superscript"/>
        </w:rPr>
        <w:t>1</w:t>
      </w:r>
      <w:r w:rsidR="00230933">
        <w:rPr>
          <w:color w:val="000000"/>
          <w:sz w:val="22"/>
          <w:szCs w:val="22"/>
        </w:rPr>
        <w:fldChar w:fldCharType="end"/>
      </w:r>
      <w:r w:rsidR="007D7225">
        <w:rPr>
          <w:color w:val="000000"/>
          <w:sz w:val="22"/>
          <w:szCs w:val="22"/>
        </w:rPr>
        <w:t>.</w:t>
      </w:r>
    </w:p>
    <w:p w14:paraId="1317A77C" w14:textId="77777777" w:rsidR="007D7225" w:rsidRDefault="007D7225" w:rsidP="007D7225">
      <w:pPr>
        <w:pStyle w:val="NormalWeb"/>
        <w:keepNext/>
        <w:spacing w:before="0" w:beforeAutospacing="0" w:after="0" w:afterAutospacing="0"/>
        <w:jc w:val="both"/>
      </w:pPr>
      <w:r>
        <w:rPr>
          <w:noProof/>
          <w:color w:val="000000"/>
          <w:sz w:val="22"/>
          <w:szCs w:val="22"/>
        </w:rPr>
        <w:drawing>
          <wp:inline distT="0" distB="0" distL="0" distR="0" wp14:anchorId="0CB970B4" wp14:editId="7B97E769">
            <wp:extent cx="2760980" cy="2795819"/>
            <wp:effectExtent l="0" t="0" r="1270" b="5080"/>
            <wp:docPr id="2" name="Picture 2" descr="https://lh3.googleusercontent.com/r4Qf0P0izG-yd0miWz_0dURUaQapa9i_2fKacGPcYErSxPxbDcL-aZg1ZbeHzjdH7mzzuCr02r0Ii1tnuWkod2q1XLpursg17dvdOA5mRDW0moVvSophoWkVahBe2CRinnc1V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4Qf0P0izG-yd0miWz_0dURUaQapa9i_2fKacGPcYErSxPxbDcL-aZg1ZbeHzjdH7mzzuCr02r0Ii1tnuWkod2q1XLpursg17dvdOA5mRDW0moVvSophoWkVahBe2CRinnc1V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980" cy="2795819"/>
                    </a:xfrm>
                    <a:prstGeom prst="rect">
                      <a:avLst/>
                    </a:prstGeom>
                    <a:noFill/>
                    <a:ln>
                      <a:noFill/>
                    </a:ln>
                  </pic:spPr>
                </pic:pic>
              </a:graphicData>
            </a:graphic>
          </wp:inline>
        </w:drawing>
      </w:r>
    </w:p>
    <w:p w14:paraId="14FE3849" w14:textId="661C0E68" w:rsidR="007D7225" w:rsidRDefault="007D7225" w:rsidP="007D7225">
      <w:pPr>
        <w:pStyle w:val="Caption"/>
        <w:jc w:val="both"/>
        <w:rPr>
          <w:color w:val="000000"/>
          <w:sz w:val="22"/>
          <w:szCs w:val="22"/>
        </w:rPr>
      </w:pPr>
      <w:bookmarkStart w:id="1" w:name="_Ref495657018"/>
      <w:r>
        <w:t xml:space="preserve">Esquema </w:t>
      </w:r>
      <w:fldSimple w:instr=" SEQ Esquema \* ARABIC ">
        <w:r w:rsidR="007E3928">
          <w:rPr>
            <w:noProof/>
          </w:rPr>
          <w:t>1</w:t>
        </w:r>
      </w:fldSimple>
      <w:bookmarkEnd w:id="1"/>
      <w:r>
        <w:t xml:space="preserve">. </w:t>
      </w:r>
      <w:proofErr w:type="spellStart"/>
      <w:r>
        <w:t>Interconversiones</w:t>
      </w:r>
      <w:proofErr w:type="spellEnd"/>
      <w:r>
        <w:t xml:space="preserve"> clásicas de derivados de ácido.</w:t>
      </w:r>
    </w:p>
    <w:p w14:paraId="7E7EF23D" w14:textId="6A84E093" w:rsidR="00C91805" w:rsidRDefault="007D7225" w:rsidP="009F6F88">
      <w:pPr>
        <w:pStyle w:val="NormalWeb"/>
        <w:spacing w:before="0" w:beforeAutospacing="0" w:after="0" w:afterAutospacing="0" w:line="276" w:lineRule="auto"/>
        <w:jc w:val="both"/>
        <w:rPr>
          <w:color w:val="000000"/>
          <w:sz w:val="22"/>
          <w:szCs w:val="22"/>
        </w:rPr>
      </w:pPr>
      <w:r>
        <w:rPr>
          <w:color w:val="000000"/>
          <w:sz w:val="22"/>
          <w:szCs w:val="22"/>
        </w:rPr>
        <w:t xml:space="preserve"> </w:t>
      </w:r>
      <w:r w:rsidR="00C91805">
        <w:rPr>
          <w:color w:val="000000"/>
          <w:sz w:val="22"/>
          <w:szCs w:val="22"/>
        </w:rPr>
        <w:t xml:space="preserve">La reactividad de estas especies </w:t>
      </w:r>
      <w:r w:rsidR="005958C6">
        <w:rPr>
          <w:color w:val="000000"/>
          <w:sz w:val="22"/>
          <w:szCs w:val="22"/>
        </w:rPr>
        <w:t xml:space="preserve">frente a la sustitución nucleofílica de acilo </w:t>
      </w:r>
      <w:r w:rsidR="00147506">
        <w:rPr>
          <w:color w:val="000000"/>
          <w:sz w:val="22"/>
          <w:szCs w:val="22"/>
        </w:rPr>
        <w:t>está determinada por la electrofilicidad</w:t>
      </w:r>
      <w:r w:rsidR="001A7914">
        <w:rPr>
          <w:color w:val="000000"/>
          <w:sz w:val="22"/>
          <w:szCs w:val="22"/>
        </w:rPr>
        <w:t xml:space="preserve"> del carbonilo</w:t>
      </w:r>
      <w:r w:rsidR="000B0AE8">
        <w:rPr>
          <w:color w:val="000000"/>
          <w:sz w:val="22"/>
          <w:szCs w:val="22"/>
        </w:rPr>
        <w:t xml:space="preserve">, factor que resulta proporcional a la estabilidad del grupo saliente. Se observa que las especies menos reactivas son aquellas que presentan el grupo saliente con carácter más básico </w:t>
      </w:r>
      <w:proofErr w:type="gramStart"/>
      <w:r w:rsidR="000B0AE8">
        <w:rPr>
          <w:color w:val="000000"/>
          <w:sz w:val="22"/>
          <w:szCs w:val="22"/>
        </w:rPr>
        <w:t>y</w:t>
      </w:r>
      <w:proofErr w:type="gramEnd"/>
      <w:r w:rsidR="005958C6">
        <w:rPr>
          <w:color w:val="000000"/>
          <w:sz w:val="22"/>
          <w:szCs w:val="22"/>
        </w:rPr>
        <w:t xml:space="preserve"> por consiguiente, </w:t>
      </w:r>
      <w:r w:rsidR="000B0AE8">
        <w:rPr>
          <w:color w:val="000000"/>
          <w:sz w:val="22"/>
          <w:szCs w:val="22"/>
        </w:rPr>
        <w:t>más inestable</w:t>
      </w:r>
      <w:r w:rsidR="005958C6">
        <w:rPr>
          <w:color w:val="000000"/>
          <w:sz w:val="22"/>
          <w:szCs w:val="22"/>
        </w:rPr>
        <w:t xml:space="preserve"> (</w:t>
      </w:r>
      <w:r w:rsidR="005958C6">
        <w:rPr>
          <w:color w:val="000000"/>
          <w:sz w:val="22"/>
          <w:szCs w:val="22"/>
        </w:rPr>
        <w:fldChar w:fldCharType="begin"/>
      </w:r>
      <w:r w:rsidR="005958C6">
        <w:rPr>
          <w:color w:val="000000"/>
          <w:sz w:val="22"/>
          <w:szCs w:val="22"/>
        </w:rPr>
        <w:instrText xml:space="preserve"> REF _Ref495657142 \h </w:instrText>
      </w:r>
      <w:r w:rsidR="005958C6">
        <w:rPr>
          <w:color w:val="000000"/>
          <w:sz w:val="22"/>
          <w:szCs w:val="22"/>
        </w:rPr>
      </w:r>
      <w:r w:rsidR="009F6F88">
        <w:rPr>
          <w:color w:val="000000"/>
          <w:sz w:val="22"/>
          <w:szCs w:val="22"/>
        </w:rPr>
        <w:instrText xml:space="preserve"> \* MERGEFORMAT </w:instrText>
      </w:r>
      <w:r w:rsidR="005958C6">
        <w:rPr>
          <w:color w:val="000000"/>
          <w:sz w:val="22"/>
          <w:szCs w:val="22"/>
        </w:rPr>
        <w:fldChar w:fldCharType="separate"/>
      </w:r>
      <w:r w:rsidR="005958C6">
        <w:t xml:space="preserve">Esquema </w:t>
      </w:r>
      <w:r w:rsidR="005958C6">
        <w:rPr>
          <w:noProof/>
        </w:rPr>
        <w:t>2</w:t>
      </w:r>
      <w:r w:rsidR="005958C6">
        <w:rPr>
          <w:color w:val="000000"/>
          <w:sz w:val="22"/>
          <w:szCs w:val="22"/>
        </w:rPr>
        <w:fldChar w:fldCharType="end"/>
      </w:r>
      <w:r w:rsidR="005958C6">
        <w:rPr>
          <w:color w:val="000000"/>
          <w:sz w:val="22"/>
          <w:szCs w:val="22"/>
        </w:rPr>
        <w:t>).</w:t>
      </w:r>
    </w:p>
    <w:p w14:paraId="769B64F6" w14:textId="77777777" w:rsidR="005958C6" w:rsidRDefault="005958C6" w:rsidP="009F6F88">
      <w:pPr>
        <w:pStyle w:val="NormalWeb"/>
        <w:keepNext/>
        <w:spacing w:before="0" w:beforeAutospacing="0" w:after="0" w:afterAutospacing="0" w:line="276" w:lineRule="auto"/>
        <w:jc w:val="both"/>
      </w:pPr>
      <w:r>
        <w:rPr>
          <w:noProof/>
          <w:color w:val="000000"/>
          <w:sz w:val="22"/>
          <w:szCs w:val="22"/>
        </w:rPr>
        <w:lastRenderedPageBreak/>
        <w:drawing>
          <wp:inline distT="0" distB="0" distL="0" distR="0" wp14:anchorId="00778A58" wp14:editId="732F1726">
            <wp:extent cx="2760980" cy="1495791"/>
            <wp:effectExtent l="0" t="0" r="1270" b="9525"/>
            <wp:docPr id="3" name="Picture 3" descr="https://lh5.googleusercontent.com/SGKor9uHGmXj_Jo4mSrK1dsOHP7oO-U21dRy9k0DYcW8E3kJtYmFMjaPVdHMS6k_fqxAc3anhnGiL68QdoOl7I2Vw22c2FU3MlEtZRnVKwaHeUIshLus_tvijnJUFKNsr3fc_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GKor9uHGmXj_Jo4mSrK1dsOHP7oO-U21dRy9k0DYcW8E3kJtYmFMjaPVdHMS6k_fqxAc3anhnGiL68QdoOl7I2Vw22c2FU3MlEtZRnVKwaHeUIshLus_tvijnJUFKNsr3fc_Y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980" cy="1495791"/>
                    </a:xfrm>
                    <a:prstGeom prst="rect">
                      <a:avLst/>
                    </a:prstGeom>
                    <a:noFill/>
                    <a:ln>
                      <a:noFill/>
                    </a:ln>
                  </pic:spPr>
                </pic:pic>
              </a:graphicData>
            </a:graphic>
          </wp:inline>
        </w:drawing>
      </w:r>
    </w:p>
    <w:p w14:paraId="101AC829" w14:textId="12D6D8B4" w:rsidR="005958C6" w:rsidRPr="007D7225" w:rsidRDefault="005958C6" w:rsidP="009F6F88">
      <w:pPr>
        <w:pStyle w:val="Caption"/>
        <w:spacing w:line="276" w:lineRule="auto"/>
        <w:jc w:val="both"/>
        <w:rPr>
          <w:color w:val="000000"/>
          <w:sz w:val="22"/>
          <w:szCs w:val="22"/>
        </w:rPr>
      </w:pPr>
      <w:bookmarkStart w:id="2" w:name="_Ref495657142"/>
      <w:r>
        <w:t xml:space="preserve">Esquema </w:t>
      </w:r>
      <w:fldSimple w:instr=" SEQ Esquema \* ARABIC ">
        <w:r w:rsidR="007E3928">
          <w:rPr>
            <w:noProof/>
          </w:rPr>
          <w:t>2</w:t>
        </w:r>
      </w:fldSimple>
      <w:bookmarkEnd w:id="2"/>
      <w:r>
        <w:t>. Reactividad de los derivados comunes</w:t>
      </w:r>
      <w:r>
        <w:rPr>
          <w:noProof/>
        </w:rPr>
        <w:t xml:space="preserve"> frente a la sustitución.</w:t>
      </w:r>
    </w:p>
    <w:p w14:paraId="1331618A" w14:textId="77777777" w:rsidR="001A7914" w:rsidRDefault="00147506" w:rsidP="009F6F88">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Reacciones como la transesterificación o el intercambio de anhídrido implican un cambio de los sustituyentes presentes en el carbonilo manteniendo la función presente en el precurs</w:t>
      </w:r>
      <w:r w:rsidR="000B0AE8">
        <w:rPr>
          <w:rFonts w:ascii="Times New Roman" w:hAnsi="Times New Roman" w:cs="Times New Roman"/>
          <w:sz w:val="22"/>
          <w:szCs w:val="22"/>
        </w:rPr>
        <w:t>or. Ya que el ion amiduro es presenta una mayor basicidad que los demás grupos salientes, la reacción de sustitución sobre una amida está termodinámicamente desfavorecida.</w:t>
      </w:r>
      <w:r>
        <w:rPr>
          <w:rFonts w:ascii="Times New Roman" w:hAnsi="Times New Roman" w:cs="Times New Roman"/>
          <w:sz w:val="22"/>
          <w:szCs w:val="22"/>
        </w:rPr>
        <w:t xml:space="preserve"> </w:t>
      </w:r>
    </w:p>
    <w:p w14:paraId="51B04576" w14:textId="4B3FF9E8" w:rsidR="001A7914" w:rsidRPr="000320C8" w:rsidRDefault="001A7914" w:rsidP="009F6F88">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 xml:space="preserve">El acercamiento más inmediato a la interconversión de una amida implicaría la hidrólisis ácida del grupo amida presente en el precursor, seguido de una conversión al cloruro de ácido para aumentar la electrofilicidad del sustrato y por último la reacción con amina deseada en el producto. Este método resulta impráctico debido a la cantidad de pasos </w:t>
      </w:r>
      <w:r w:rsidR="000320C8">
        <w:rPr>
          <w:rFonts w:ascii="Times New Roman" w:hAnsi="Times New Roman" w:cs="Times New Roman"/>
          <w:sz w:val="22"/>
          <w:szCs w:val="22"/>
        </w:rPr>
        <w:t>necesarios y</w:t>
      </w:r>
      <w:r>
        <w:rPr>
          <w:rFonts w:ascii="Times New Roman" w:hAnsi="Times New Roman" w:cs="Times New Roman"/>
          <w:sz w:val="22"/>
          <w:szCs w:val="22"/>
        </w:rPr>
        <w:t xml:space="preserve"> a que estos pueden interferir con ciertas funciones de la molécula</w:t>
      </w:r>
      <w:r w:rsidR="000320C8">
        <w:rPr>
          <w:rFonts w:ascii="Times New Roman" w:hAnsi="Times New Roman" w:cs="Times New Roman"/>
          <w:sz w:val="22"/>
          <w:szCs w:val="22"/>
        </w:rPr>
        <w:t>, por ejemplo, el SOCl</w:t>
      </w:r>
      <w:r w:rsidR="000320C8">
        <w:rPr>
          <w:rFonts w:ascii="Times New Roman" w:hAnsi="Times New Roman" w:cs="Times New Roman"/>
          <w:sz w:val="22"/>
          <w:szCs w:val="22"/>
        </w:rPr>
        <w:softHyphen/>
      </w:r>
      <w:r w:rsidR="000320C8">
        <w:rPr>
          <w:rFonts w:ascii="Times New Roman" w:hAnsi="Times New Roman" w:cs="Times New Roman"/>
          <w:sz w:val="22"/>
          <w:szCs w:val="22"/>
          <w:vertAlign w:val="subscript"/>
        </w:rPr>
        <w:t>2</w:t>
      </w:r>
      <w:r w:rsidR="000320C8">
        <w:rPr>
          <w:rFonts w:ascii="Times New Roman" w:hAnsi="Times New Roman" w:cs="Times New Roman"/>
          <w:sz w:val="22"/>
          <w:szCs w:val="22"/>
        </w:rPr>
        <w:t xml:space="preserve"> necesario para formar el cloruro de ácido puede reaccionar con grupos hidroxilo presentes en el precursor dando paso a </w:t>
      </w:r>
      <w:r w:rsidR="005F4F01">
        <w:rPr>
          <w:rFonts w:ascii="Times New Roman" w:hAnsi="Times New Roman" w:cs="Times New Roman"/>
          <w:sz w:val="22"/>
          <w:szCs w:val="22"/>
        </w:rPr>
        <w:t>cloruros</w:t>
      </w:r>
      <w:r w:rsidR="000320C8">
        <w:rPr>
          <w:rFonts w:ascii="Times New Roman" w:hAnsi="Times New Roman" w:cs="Times New Roman"/>
          <w:sz w:val="22"/>
          <w:szCs w:val="22"/>
        </w:rPr>
        <w:t xml:space="preserve"> indeseados</w:t>
      </w:r>
      <w:r w:rsidR="00DB776B">
        <w:rPr>
          <w:rFonts w:ascii="Times New Roman" w:hAnsi="Times New Roman" w:cs="Times New Roman"/>
          <w:sz w:val="22"/>
          <w:szCs w:val="22"/>
        </w:rPr>
        <w:fldChar w:fldCharType="begin"/>
      </w:r>
      <w:r w:rsidR="00DB776B">
        <w:rPr>
          <w:rFonts w:ascii="Times New Roman" w:hAnsi="Times New Roman" w:cs="Times New Roman"/>
          <w:sz w:val="22"/>
          <w:szCs w:val="22"/>
        </w:rPr>
        <w:instrText xml:space="preserve"> ADDIN ZOTERO_ITEM CSL_CITATION {"citationID":"a2ltcf1v5qv","properties":{"formattedCitation":"{\\rtf \\super 2\\nosupersub{}}","plainCitation":"2"},"citationItems":[{"id":239,"uris":["http://zotero.org/users/local/AmcIrhB5/items/T3A2492E"],"uri":["http://zotero.org/users/local/AmcIrhB5/items/T3A2492E"],"itemData":{"id":239,"type":"book","title":"Organic chemistry","publisher":"Oxford University Press","publisher-place":"Oxford ; New YorK","number-of-pages":"1234","edition":"2nd ed","source":"Library of Congress ISBN","event-place":"Oxford ; New YorK","ISBN":"978-0-19-927029-3","call-number":"QD251.3 .O64 2012","author":[{"family":"Clayden","given":"Jonathan"},{"family":"Greeves","given":"Nick"},{"family":"Warren","given":"Stuart G."}],"issued":{"date-parts":[["2012"]]}}}],"schema":"https://github.com/citation-style-language/schema/raw/master/csl-citation.json"} </w:instrText>
      </w:r>
      <w:r w:rsidR="00DB776B">
        <w:rPr>
          <w:rFonts w:ascii="Times New Roman" w:hAnsi="Times New Roman" w:cs="Times New Roman"/>
          <w:sz w:val="22"/>
          <w:szCs w:val="22"/>
        </w:rPr>
        <w:fldChar w:fldCharType="separate"/>
      </w:r>
      <w:r w:rsidR="00DB776B" w:rsidRPr="00DB776B">
        <w:rPr>
          <w:rFonts w:ascii="Times New Roman" w:hAnsi="Times New Roman" w:cs="Times New Roman"/>
          <w:sz w:val="22"/>
          <w:vertAlign w:val="superscript"/>
        </w:rPr>
        <w:t>2</w:t>
      </w:r>
      <w:r w:rsidR="00DB776B">
        <w:rPr>
          <w:rFonts w:ascii="Times New Roman" w:hAnsi="Times New Roman" w:cs="Times New Roman"/>
          <w:sz w:val="22"/>
          <w:szCs w:val="22"/>
        </w:rPr>
        <w:fldChar w:fldCharType="end"/>
      </w:r>
      <w:r w:rsidR="000320C8">
        <w:rPr>
          <w:rFonts w:ascii="Times New Roman" w:hAnsi="Times New Roman" w:cs="Times New Roman"/>
          <w:sz w:val="22"/>
          <w:szCs w:val="22"/>
        </w:rPr>
        <w:t xml:space="preserve">. </w:t>
      </w:r>
      <w:r w:rsidR="004A11A5">
        <w:rPr>
          <w:rFonts w:ascii="Times New Roman" w:hAnsi="Times New Roman" w:cs="Times New Roman"/>
          <w:sz w:val="22"/>
          <w:szCs w:val="22"/>
        </w:rPr>
        <w:t>La reacción de transamidación llevada a cabo en este estudio resulta de gran utilidad sintética debido a que consigue contender con este problema de manera efectiva en una sola etapa de síntesis.</w:t>
      </w:r>
      <w:r w:rsidR="002C6A54">
        <w:rPr>
          <w:rFonts w:ascii="Times New Roman" w:hAnsi="Times New Roman" w:cs="Times New Roman"/>
          <w:sz w:val="22"/>
          <w:szCs w:val="22"/>
        </w:rPr>
        <w:t xml:space="preserve"> Por otro lado, esta reacción funciona con una multitud de aminas primarias y secundarias y puede darse sobre otros compuestos nitrogenados con la funcionalidad amida, como ureas. </w:t>
      </w:r>
    </w:p>
    <w:p w14:paraId="17708E4F" w14:textId="4FF39B6C" w:rsidR="00CF17B6" w:rsidRDefault="000320C8" w:rsidP="009F6F88">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 xml:space="preserve">El objetivo de esta práctica consistió </w:t>
      </w:r>
      <w:r w:rsidR="005F4F01">
        <w:rPr>
          <w:rFonts w:ascii="Times New Roman" w:hAnsi="Times New Roman" w:cs="Times New Roman"/>
          <w:sz w:val="22"/>
          <w:szCs w:val="22"/>
        </w:rPr>
        <w:t xml:space="preserve">llevar a cabo la transamidación </w:t>
      </w:r>
      <w:r w:rsidR="004A11A5">
        <w:rPr>
          <w:rFonts w:ascii="Times New Roman" w:hAnsi="Times New Roman" w:cs="Times New Roman"/>
          <w:sz w:val="22"/>
          <w:szCs w:val="22"/>
        </w:rPr>
        <w:t>catalizada</w:t>
      </w:r>
      <w:r w:rsidR="005F4F01">
        <w:rPr>
          <w:rFonts w:ascii="Times New Roman" w:hAnsi="Times New Roman" w:cs="Times New Roman"/>
          <w:sz w:val="22"/>
          <w:szCs w:val="22"/>
        </w:rPr>
        <w:t xml:space="preserve"> por Fe(III) de la formamida con bencilamina </w:t>
      </w:r>
      <w:r>
        <w:rPr>
          <w:rFonts w:ascii="Times New Roman" w:hAnsi="Times New Roman" w:cs="Times New Roman"/>
          <w:sz w:val="22"/>
          <w:szCs w:val="22"/>
        </w:rPr>
        <w:t xml:space="preserve">para la obtención </w:t>
      </w:r>
      <w:r>
        <w:rPr>
          <w:rFonts w:ascii="Times New Roman" w:hAnsi="Times New Roman" w:cs="Times New Roman"/>
          <w:sz w:val="22"/>
          <w:szCs w:val="22"/>
        </w:rPr>
        <w:t>de N-bencilf</w:t>
      </w:r>
      <w:r w:rsidR="005F4F01">
        <w:rPr>
          <w:rFonts w:ascii="Times New Roman" w:hAnsi="Times New Roman" w:cs="Times New Roman"/>
          <w:sz w:val="22"/>
          <w:szCs w:val="22"/>
        </w:rPr>
        <w:t>ormamida</w:t>
      </w:r>
      <w:r>
        <w:rPr>
          <w:rFonts w:ascii="Times New Roman" w:hAnsi="Times New Roman" w:cs="Times New Roman"/>
          <w:sz w:val="22"/>
          <w:szCs w:val="22"/>
        </w:rPr>
        <w:t>.</w:t>
      </w:r>
      <w:r w:rsidR="005F4F01">
        <w:rPr>
          <w:rFonts w:ascii="Times New Roman" w:hAnsi="Times New Roman" w:cs="Times New Roman"/>
          <w:sz w:val="22"/>
          <w:szCs w:val="22"/>
        </w:rPr>
        <w:t xml:space="preserve"> Las cualidades de la formamida hacen que la reacción sea bastante favorecida y que se obtengan buenos rendimientos. En primera instancia, la formamida es la amida más electrofílica</w:t>
      </w:r>
      <w:r w:rsidR="00B11BFD">
        <w:rPr>
          <w:rFonts w:ascii="Times New Roman" w:hAnsi="Times New Roman" w:cs="Times New Roman"/>
          <w:sz w:val="22"/>
          <w:szCs w:val="22"/>
        </w:rPr>
        <w:t xml:space="preserve"> y menos impedida </w:t>
      </w:r>
      <w:r w:rsidR="004A11A5">
        <w:rPr>
          <w:rFonts w:ascii="Times New Roman" w:hAnsi="Times New Roman" w:cs="Times New Roman"/>
          <w:sz w:val="22"/>
          <w:szCs w:val="22"/>
        </w:rPr>
        <w:t>estéricamente</w:t>
      </w:r>
      <w:r w:rsidR="00B11BFD">
        <w:rPr>
          <w:rFonts w:ascii="Times New Roman" w:hAnsi="Times New Roman" w:cs="Times New Roman"/>
          <w:sz w:val="22"/>
          <w:szCs w:val="22"/>
        </w:rPr>
        <w:t xml:space="preserve">, razón por la cual la </w:t>
      </w:r>
      <w:r w:rsidR="004A11A5">
        <w:rPr>
          <w:rFonts w:ascii="Times New Roman" w:hAnsi="Times New Roman" w:cs="Times New Roman"/>
          <w:sz w:val="22"/>
          <w:szCs w:val="22"/>
        </w:rPr>
        <w:t>entrada</w:t>
      </w:r>
      <w:r w:rsidR="00B11BFD">
        <w:rPr>
          <w:rFonts w:ascii="Times New Roman" w:hAnsi="Times New Roman" w:cs="Times New Roman"/>
          <w:sz w:val="22"/>
          <w:szCs w:val="22"/>
        </w:rPr>
        <w:t xml:space="preserve"> del nucleófilo se da con facilidad.</w:t>
      </w:r>
      <w:r w:rsidR="005F4F01">
        <w:rPr>
          <w:rFonts w:ascii="Times New Roman" w:hAnsi="Times New Roman" w:cs="Times New Roman"/>
          <w:sz w:val="22"/>
          <w:szCs w:val="22"/>
        </w:rPr>
        <w:t xml:space="preserve"> </w:t>
      </w:r>
      <w:r w:rsidR="004A11A5">
        <w:rPr>
          <w:rFonts w:ascii="Times New Roman" w:hAnsi="Times New Roman" w:cs="Times New Roman"/>
          <w:sz w:val="22"/>
          <w:szCs w:val="22"/>
        </w:rPr>
        <w:t xml:space="preserve">En una segunda instancia, se notifica que </w:t>
      </w:r>
      <w:r w:rsidR="005F4F01">
        <w:rPr>
          <w:rFonts w:ascii="Times New Roman" w:hAnsi="Times New Roman" w:cs="Times New Roman"/>
          <w:sz w:val="22"/>
          <w:szCs w:val="22"/>
        </w:rPr>
        <w:t xml:space="preserve">el grupo saliente </w:t>
      </w:r>
      <w:r w:rsidR="004A11A5">
        <w:rPr>
          <w:rFonts w:ascii="Times New Roman" w:hAnsi="Times New Roman" w:cs="Times New Roman"/>
          <w:sz w:val="22"/>
          <w:szCs w:val="22"/>
        </w:rPr>
        <w:t>correspondiente era el amoniaco, molécula pequeña, estable y gaseosa. Estas características hacen del amoniaco un excelente grupo saliente que también desplaza el equilibrio hacia los productos, esto no se conseguiría con facilidad en el caso de que el grupo saliente correspondiese a una amina líquida, caso en el cual excesos de amina son necesarios.</w:t>
      </w:r>
    </w:p>
    <w:p w14:paraId="42FE44FC" w14:textId="0BB0A58B" w:rsidR="00CE6682" w:rsidRDefault="00CE6682" w:rsidP="009F6F88">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Una de las características más llamativas de esta reacción de transamidación es la posibilidad de llevarla a cabo en solventes húmedos, ya que la presencia de agua es indispensable para la reacción, esto se evidencia en el ciclo catalítico propuesto por los autores.</w:t>
      </w:r>
    </w:p>
    <w:p w14:paraId="1715F14F" w14:textId="77777777" w:rsidR="00CE6682" w:rsidRDefault="00CE6682" w:rsidP="009F6F88">
      <w:pPr>
        <w:keepNext/>
        <w:spacing w:after="120" w:line="276" w:lineRule="auto"/>
        <w:jc w:val="both"/>
      </w:pPr>
      <w:r>
        <w:rPr>
          <w:noProof/>
        </w:rPr>
        <w:drawing>
          <wp:inline distT="0" distB="0" distL="0" distR="0" wp14:anchorId="2DC3EB2B" wp14:editId="70D433B8">
            <wp:extent cx="2760980" cy="28727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0980" cy="2872740"/>
                    </a:xfrm>
                    <a:prstGeom prst="rect">
                      <a:avLst/>
                    </a:prstGeom>
                  </pic:spPr>
                </pic:pic>
              </a:graphicData>
            </a:graphic>
          </wp:inline>
        </w:drawing>
      </w:r>
    </w:p>
    <w:p w14:paraId="12CB8A35" w14:textId="6FB760D7" w:rsidR="00CE6682" w:rsidRDefault="00CE6682" w:rsidP="009F6F88">
      <w:pPr>
        <w:pStyle w:val="Caption"/>
        <w:spacing w:line="276" w:lineRule="auto"/>
        <w:jc w:val="both"/>
      </w:pPr>
      <w:bookmarkStart w:id="3" w:name="_Ref495730853"/>
      <w:r>
        <w:t xml:space="preserve">Esquema </w:t>
      </w:r>
      <w:fldSimple w:instr=" SEQ Esquema \* ARABIC ">
        <w:r w:rsidR="007E3928">
          <w:rPr>
            <w:noProof/>
          </w:rPr>
          <w:t>3</w:t>
        </w:r>
      </w:fldSimple>
      <w:bookmarkEnd w:id="3"/>
      <w:r>
        <w:t>.  Posible mecanismo de la reacción.</w:t>
      </w:r>
    </w:p>
    <w:p w14:paraId="39EA522A" w14:textId="5D9BB31F" w:rsidR="00CE6682" w:rsidRPr="009F6F88" w:rsidRDefault="00CE6682" w:rsidP="009F6F88">
      <w:pPr>
        <w:spacing w:line="276" w:lineRule="auto"/>
        <w:jc w:val="both"/>
        <w:rPr>
          <w:rFonts w:ascii="Times New Roman" w:hAnsi="Times New Roman" w:cs="Times New Roman"/>
          <w:sz w:val="22"/>
          <w:szCs w:val="22"/>
        </w:rPr>
      </w:pPr>
      <w:r w:rsidRPr="009F6F88">
        <w:rPr>
          <w:rFonts w:ascii="Times New Roman" w:hAnsi="Times New Roman" w:cs="Times New Roman"/>
          <w:sz w:val="22"/>
          <w:szCs w:val="22"/>
        </w:rPr>
        <w:t xml:space="preserve">Como se observa en el </w:t>
      </w:r>
      <w:r w:rsidRPr="009F6F88">
        <w:rPr>
          <w:rFonts w:ascii="Times New Roman" w:hAnsi="Times New Roman" w:cs="Times New Roman"/>
          <w:sz w:val="22"/>
          <w:szCs w:val="22"/>
        </w:rPr>
        <w:fldChar w:fldCharType="begin"/>
      </w:r>
      <w:r w:rsidRPr="009F6F88">
        <w:rPr>
          <w:rFonts w:ascii="Times New Roman" w:hAnsi="Times New Roman" w:cs="Times New Roman"/>
          <w:sz w:val="22"/>
          <w:szCs w:val="22"/>
        </w:rPr>
        <w:instrText xml:space="preserve"> REF _Ref495730853 \h </w:instrText>
      </w:r>
      <w:r w:rsidRPr="009F6F88">
        <w:rPr>
          <w:rFonts w:ascii="Times New Roman" w:hAnsi="Times New Roman" w:cs="Times New Roman"/>
          <w:sz w:val="22"/>
          <w:szCs w:val="22"/>
        </w:rPr>
      </w:r>
      <w:r w:rsidRPr="009F6F88">
        <w:rPr>
          <w:rFonts w:ascii="Times New Roman" w:hAnsi="Times New Roman" w:cs="Times New Roman"/>
          <w:sz w:val="22"/>
          <w:szCs w:val="22"/>
        </w:rPr>
        <w:instrText xml:space="preserve"> \* MERGEFORMAT </w:instrText>
      </w:r>
      <w:r w:rsidRPr="009F6F88">
        <w:rPr>
          <w:rFonts w:ascii="Times New Roman" w:hAnsi="Times New Roman" w:cs="Times New Roman"/>
          <w:sz w:val="22"/>
          <w:szCs w:val="22"/>
        </w:rPr>
        <w:fldChar w:fldCharType="separate"/>
      </w:r>
      <w:r w:rsidRPr="009F6F88">
        <w:rPr>
          <w:rFonts w:ascii="Times New Roman" w:hAnsi="Times New Roman" w:cs="Times New Roman"/>
          <w:sz w:val="22"/>
          <w:szCs w:val="22"/>
        </w:rPr>
        <w:t xml:space="preserve">Esquema </w:t>
      </w:r>
      <w:r w:rsidRPr="009F6F88">
        <w:rPr>
          <w:rFonts w:ascii="Times New Roman" w:hAnsi="Times New Roman" w:cs="Times New Roman"/>
          <w:noProof/>
          <w:sz w:val="22"/>
          <w:szCs w:val="22"/>
        </w:rPr>
        <w:t>3</w:t>
      </w:r>
      <w:r w:rsidRPr="009F6F88">
        <w:rPr>
          <w:rFonts w:ascii="Times New Roman" w:hAnsi="Times New Roman" w:cs="Times New Roman"/>
          <w:sz w:val="22"/>
          <w:szCs w:val="22"/>
        </w:rPr>
        <w:fldChar w:fldCharType="end"/>
      </w:r>
      <w:r w:rsidRPr="009F6F88">
        <w:rPr>
          <w:rFonts w:ascii="Times New Roman" w:hAnsi="Times New Roman" w:cs="Times New Roman"/>
          <w:sz w:val="22"/>
          <w:szCs w:val="22"/>
        </w:rPr>
        <w:t xml:space="preserve">, la molécula de agua se ve involucrada en el intercambio de ligandos necesario para la formación del complejo </w:t>
      </w:r>
      <w:r w:rsidRPr="009F6F88">
        <w:rPr>
          <w:rFonts w:ascii="Times New Roman" w:hAnsi="Times New Roman" w:cs="Times New Roman"/>
          <w:b/>
          <w:sz w:val="22"/>
          <w:szCs w:val="22"/>
        </w:rPr>
        <w:t xml:space="preserve">A. </w:t>
      </w:r>
      <w:r w:rsidRPr="009F6F88">
        <w:rPr>
          <w:rFonts w:ascii="Times New Roman" w:hAnsi="Times New Roman" w:cs="Times New Roman"/>
          <w:sz w:val="22"/>
          <w:szCs w:val="22"/>
        </w:rPr>
        <w:t xml:space="preserve">El agua presente el hexahidrato de </w:t>
      </w:r>
      <w:r w:rsidRPr="009F6F88">
        <w:rPr>
          <w:rFonts w:ascii="Times New Roman" w:hAnsi="Times New Roman" w:cs="Times New Roman"/>
          <w:sz w:val="22"/>
          <w:szCs w:val="22"/>
        </w:rPr>
        <w:lastRenderedPageBreak/>
        <w:t xml:space="preserve">hierro (II) desprotona a la amida formando un ligando bidentado y un protón ácido. El desplazamiento de los ligandos acuo por ligandos amidato se puede racionalizar debido al efecto quelante que estos últimos proveen. </w:t>
      </w:r>
      <w:r w:rsidR="00EE3EBF" w:rsidRPr="009F6F88">
        <w:rPr>
          <w:rFonts w:ascii="Times New Roman" w:hAnsi="Times New Roman" w:cs="Times New Roman"/>
          <w:sz w:val="22"/>
          <w:szCs w:val="22"/>
        </w:rPr>
        <w:t xml:space="preserve">La entrada de una molécula de amina sobre el complejo </w:t>
      </w:r>
      <w:r w:rsidR="00EE3EBF" w:rsidRPr="009F6F88">
        <w:rPr>
          <w:rFonts w:ascii="Times New Roman" w:hAnsi="Times New Roman" w:cs="Times New Roman"/>
          <w:b/>
          <w:sz w:val="22"/>
          <w:szCs w:val="22"/>
        </w:rPr>
        <w:t xml:space="preserve">A </w:t>
      </w:r>
      <w:r w:rsidR="00EE3EBF" w:rsidRPr="009F6F88">
        <w:rPr>
          <w:rFonts w:ascii="Times New Roman" w:hAnsi="Times New Roman" w:cs="Times New Roman"/>
          <w:sz w:val="22"/>
          <w:szCs w:val="22"/>
        </w:rPr>
        <w:t xml:space="preserve">forma un intermediario </w:t>
      </w:r>
      <w:r w:rsidR="00EE3EBF" w:rsidRPr="009F6F88">
        <w:rPr>
          <w:rFonts w:ascii="Times New Roman" w:hAnsi="Times New Roman" w:cs="Times New Roman"/>
          <w:b/>
          <w:sz w:val="22"/>
          <w:szCs w:val="22"/>
        </w:rPr>
        <w:t>B</w:t>
      </w:r>
      <w:r w:rsidR="00EE3EBF" w:rsidRPr="009F6F88">
        <w:rPr>
          <w:rFonts w:ascii="Times New Roman" w:hAnsi="Times New Roman" w:cs="Times New Roman"/>
          <w:sz w:val="22"/>
          <w:szCs w:val="22"/>
        </w:rPr>
        <w:t xml:space="preserve"> inestable que se </w:t>
      </w:r>
      <w:proofErr w:type="spellStart"/>
      <w:r w:rsidR="00EE3EBF" w:rsidRPr="009F6F88">
        <w:rPr>
          <w:rFonts w:ascii="Times New Roman" w:hAnsi="Times New Roman" w:cs="Times New Roman"/>
          <w:sz w:val="22"/>
          <w:szCs w:val="22"/>
        </w:rPr>
        <w:t>tautomeriza</w:t>
      </w:r>
      <w:proofErr w:type="spellEnd"/>
      <w:r w:rsidR="00EE3EBF" w:rsidRPr="009F6F88">
        <w:rPr>
          <w:rFonts w:ascii="Times New Roman" w:hAnsi="Times New Roman" w:cs="Times New Roman"/>
          <w:sz w:val="22"/>
          <w:szCs w:val="22"/>
        </w:rPr>
        <w:t xml:space="preserve"> a un intermediario </w:t>
      </w:r>
      <w:r w:rsidR="00EE3EBF" w:rsidRPr="009F6F88">
        <w:rPr>
          <w:rFonts w:ascii="Times New Roman" w:hAnsi="Times New Roman" w:cs="Times New Roman"/>
          <w:b/>
          <w:sz w:val="22"/>
          <w:szCs w:val="22"/>
        </w:rPr>
        <w:t xml:space="preserve">C </w:t>
      </w:r>
      <w:r w:rsidR="00EE3EBF" w:rsidRPr="009F6F88">
        <w:rPr>
          <w:rFonts w:ascii="Times New Roman" w:hAnsi="Times New Roman" w:cs="Times New Roman"/>
          <w:sz w:val="22"/>
          <w:szCs w:val="22"/>
        </w:rPr>
        <w:t xml:space="preserve">más estable. En el intermediario </w:t>
      </w:r>
      <w:r w:rsidR="00EE3EBF" w:rsidRPr="009F6F88">
        <w:rPr>
          <w:rFonts w:ascii="Times New Roman" w:hAnsi="Times New Roman" w:cs="Times New Roman"/>
          <w:b/>
          <w:sz w:val="22"/>
          <w:szCs w:val="22"/>
        </w:rPr>
        <w:t>C</w:t>
      </w:r>
      <w:r w:rsidR="00EE3EBF" w:rsidRPr="009F6F88">
        <w:rPr>
          <w:rFonts w:ascii="Times New Roman" w:hAnsi="Times New Roman" w:cs="Times New Roman"/>
          <w:sz w:val="22"/>
          <w:szCs w:val="22"/>
        </w:rPr>
        <w:t xml:space="preserve"> el átomo de hierro debe actuar como un ácido de Lewis, recibiendo densidad electrónica por parte del átomo de oxígeno de ligando y por ende aumentando la el carácter electrofílico del carbonilo. Esto permite que se dé una ciclación intramolecular de manera no regioselectiva, formando los intermediarios </w:t>
      </w:r>
      <w:r w:rsidR="00EE3EBF" w:rsidRPr="009F6F88">
        <w:rPr>
          <w:rFonts w:ascii="Times New Roman" w:hAnsi="Times New Roman" w:cs="Times New Roman"/>
          <w:b/>
          <w:sz w:val="22"/>
          <w:szCs w:val="22"/>
        </w:rPr>
        <w:t xml:space="preserve">D </w:t>
      </w:r>
      <w:r w:rsidR="00EE3EBF" w:rsidRPr="009F6F88">
        <w:rPr>
          <w:rFonts w:ascii="Times New Roman" w:hAnsi="Times New Roman" w:cs="Times New Roman"/>
          <w:sz w:val="22"/>
          <w:szCs w:val="22"/>
        </w:rPr>
        <w:t xml:space="preserve">y </w:t>
      </w:r>
      <w:r w:rsidR="00EE3EBF" w:rsidRPr="009F6F88">
        <w:rPr>
          <w:rFonts w:ascii="Times New Roman" w:hAnsi="Times New Roman" w:cs="Times New Roman"/>
          <w:b/>
          <w:sz w:val="22"/>
          <w:szCs w:val="22"/>
        </w:rPr>
        <w:t>E</w:t>
      </w:r>
      <w:r w:rsidR="002A25BA" w:rsidRPr="009F6F88">
        <w:rPr>
          <w:rFonts w:ascii="Times New Roman" w:hAnsi="Times New Roman" w:cs="Times New Roman"/>
          <w:b/>
          <w:sz w:val="22"/>
          <w:szCs w:val="22"/>
        </w:rPr>
        <w:t xml:space="preserve"> </w:t>
      </w:r>
      <w:r w:rsidR="002A25BA" w:rsidRPr="009F6F88">
        <w:rPr>
          <w:rFonts w:ascii="Times New Roman" w:hAnsi="Times New Roman" w:cs="Times New Roman"/>
          <w:sz w:val="22"/>
          <w:szCs w:val="22"/>
        </w:rPr>
        <w:t>que se encuentran en equilibrio</w:t>
      </w:r>
      <w:r w:rsidR="00EE3EBF" w:rsidRPr="009F6F88">
        <w:rPr>
          <w:rFonts w:ascii="Times New Roman" w:hAnsi="Times New Roman" w:cs="Times New Roman"/>
          <w:sz w:val="22"/>
          <w:szCs w:val="22"/>
        </w:rPr>
        <w:t>. La subsec</w:t>
      </w:r>
      <w:r w:rsidR="002A25BA" w:rsidRPr="009F6F88">
        <w:rPr>
          <w:rFonts w:ascii="Times New Roman" w:hAnsi="Times New Roman" w:cs="Times New Roman"/>
          <w:sz w:val="22"/>
          <w:szCs w:val="22"/>
        </w:rPr>
        <w:t xml:space="preserve">uente ruptura del ciclo forma el intermediario </w:t>
      </w:r>
      <w:r w:rsidR="002A25BA" w:rsidRPr="009F6F88">
        <w:rPr>
          <w:rFonts w:ascii="Times New Roman" w:hAnsi="Times New Roman" w:cs="Times New Roman"/>
          <w:b/>
          <w:sz w:val="22"/>
          <w:szCs w:val="22"/>
        </w:rPr>
        <w:t>F</w:t>
      </w:r>
      <w:r w:rsidR="002A25BA" w:rsidRPr="009F6F88">
        <w:rPr>
          <w:rFonts w:ascii="Times New Roman" w:hAnsi="Times New Roman" w:cs="Times New Roman"/>
          <w:sz w:val="22"/>
          <w:szCs w:val="22"/>
        </w:rPr>
        <w:t xml:space="preserve"> en donde ya se evidencia la sustitución del amoniaco por el grupo amino deseado en el producto. Es en esta etapa del ciclo catalítico donde se evidencia la importancia del protón ácido generado en la primera etapa de la reacción. La protonación del ligando NH</w:t>
      </w:r>
      <w:r w:rsidR="002A25BA" w:rsidRPr="009F6F88">
        <w:rPr>
          <w:rFonts w:ascii="Times New Roman" w:hAnsi="Times New Roman" w:cs="Times New Roman"/>
          <w:sz w:val="22"/>
          <w:szCs w:val="22"/>
          <w:vertAlign w:val="subscript"/>
        </w:rPr>
        <w:t xml:space="preserve">2 </w:t>
      </w:r>
      <w:r w:rsidR="002C6A54" w:rsidRPr="009F6F88">
        <w:rPr>
          <w:rFonts w:ascii="Times New Roman" w:hAnsi="Times New Roman" w:cs="Times New Roman"/>
          <w:sz w:val="22"/>
          <w:szCs w:val="22"/>
        </w:rPr>
        <w:t xml:space="preserve">unido permite que la amida precursora desplace al amoniaco de la esfera de coordinación del hierro. En este momento del ciclo, una molécula de agua desplaza al producto de la esfera de coordinación y genera el intermediario </w:t>
      </w:r>
      <w:r w:rsidR="002C6A54" w:rsidRPr="009F6F88">
        <w:rPr>
          <w:rFonts w:ascii="Times New Roman" w:hAnsi="Times New Roman" w:cs="Times New Roman"/>
          <w:b/>
          <w:sz w:val="22"/>
          <w:szCs w:val="22"/>
        </w:rPr>
        <w:t>A</w:t>
      </w:r>
      <w:r w:rsidR="002C6A54" w:rsidRPr="009F6F88">
        <w:rPr>
          <w:rFonts w:ascii="Times New Roman" w:hAnsi="Times New Roman" w:cs="Times New Roman"/>
          <w:sz w:val="22"/>
          <w:szCs w:val="22"/>
        </w:rPr>
        <w:t xml:space="preserve"> para que se repita el ciclo.</w:t>
      </w:r>
    </w:p>
    <w:p w14:paraId="215E270C" w14:textId="4FF29BA3" w:rsidR="00EE3EBF" w:rsidRDefault="009609ED" w:rsidP="009F6F88">
      <w:pPr>
        <w:spacing w:line="276" w:lineRule="auto"/>
        <w:jc w:val="both"/>
        <w:rPr>
          <w:rFonts w:ascii="Times New Roman" w:hAnsi="Times New Roman" w:cs="Times New Roman"/>
          <w:sz w:val="22"/>
          <w:szCs w:val="22"/>
        </w:rPr>
      </w:pPr>
      <w:r w:rsidRPr="009F6F88">
        <w:rPr>
          <w:rFonts w:ascii="Times New Roman" w:hAnsi="Times New Roman" w:cs="Times New Roman"/>
          <w:sz w:val="22"/>
          <w:szCs w:val="22"/>
        </w:rPr>
        <w:t>A pesar de que la reacción utilice u catalizador accesible y sea resistente al agua, esta requiere del uso de disolventes</w:t>
      </w:r>
      <w:r w:rsidR="009F6F88">
        <w:rPr>
          <w:rFonts w:ascii="Times New Roman" w:hAnsi="Times New Roman" w:cs="Times New Roman"/>
          <w:sz w:val="22"/>
          <w:szCs w:val="22"/>
        </w:rPr>
        <w:t xml:space="preserve"> tanto para la reacción como para la purificación</w:t>
      </w:r>
      <w:r w:rsidRPr="009F6F88">
        <w:rPr>
          <w:rFonts w:ascii="Times New Roman" w:hAnsi="Times New Roman" w:cs="Times New Roman"/>
          <w:sz w:val="22"/>
          <w:szCs w:val="22"/>
        </w:rPr>
        <w:t>, por lo cual no resulta del todo amigable con el medio ambiente.</w:t>
      </w:r>
    </w:p>
    <w:p w14:paraId="4E517D40" w14:textId="77777777" w:rsidR="009F6F88" w:rsidRPr="009F6F88" w:rsidRDefault="009F6F88" w:rsidP="009F6F88">
      <w:pPr>
        <w:spacing w:line="276" w:lineRule="auto"/>
        <w:jc w:val="both"/>
        <w:rPr>
          <w:rFonts w:ascii="Times New Roman" w:hAnsi="Times New Roman" w:cs="Times New Roman"/>
          <w:sz w:val="22"/>
          <w:szCs w:val="22"/>
        </w:rPr>
      </w:pPr>
    </w:p>
    <w:p w14:paraId="589E303F" w14:textId="7CB96A56" w:rsidR="00AF0FAC" w:rsidRPr="00CF17B6" w:rsidRDefault="00AF0FAC" w:rsidP="009F6F88">
      <w:pPr>
        <w:spacing w:after="120" w:line="276" w:lineRule="auto"/>
        <w:jc w:val="both"/>
        <w:rPr>
          <w:rFonts w:ascii="Times New Roman" w:hAnsi="Times New Roman" w:cs="Times New Roman"/>
          <w:b/>
          <w:sz w:val="22"/>
          <w:szCs w:val="22"/>
        </w:rPr>
      </w:pPr>
      <w:r w:rsidRPr="00CF17B6">
        <w:rPr>
          <w:rFonts w:ascii="Times New Roman" w:hAnsi="Times New Roman" w:cs="Times New Roman"/>
          <w:b/>
          <w:sz w:val="22"/>
          <w:szCs w:val="22"/>
        </w:rPr>
        <w:t>Resultados y Discusión</w:t>
      </w:r>
      <w:r w:rsidR="002C6A54">
        <w:rPr>
          <w:rFonts w:ascii="Times New Roman" w:hAnsi="Times New Roman" w:cs="Times New Roman"/>
          <w:b/>
          <w:sz w:val="22"/>
          <w:szCs w:val="22"/>
        </w:rPr>
        <w:t xml:space="preserve"> </w:t>
      </w:r>
    </w:p>
    <w:p w14:paraId="54102F9C" w14:textId="138AAA53" w:rsidR="00CF17B6" w:rsidRDefault="00392FF7" w:rsidP="00DB776B">
      <w:pPr>
        <w:spacing w:line="276" w:lineRule="auto"/>
        <w:jc w:val="both"/>
        <w:rPr>
          <w:rFonts w:ascii="Times New Roman" w:hAnsi="Times New Roman" w:cs="Times New Roman"/>
          <w:sz w:val="22"/>
          <w:szCs w:val="22"/>
        </w:rPr>
      </w:pPr>
      <w:r>
        <w:rPr>
          <w:rFonts w:ascii="Times New Roman" w:hAnsi="Times New Roman" w:cs="Times New Roman"/>
          <w:sz w:val="22"/>
          <w:szCs w:val="22"/>
        </w:rPr>
        <w:t>La N-bencilformamida fue sintetizada exitosamente, obteniéndose un rendimiento del 97,35% tras una etapa de purificación por cromatografía de columna.</w:t>
      </w:r>
      <w:r w:rsidR="00DB776B">
        <w:rPr>
          <w:rFonts w:ascii="Times New Roman" w:hAnsi="Times New Roman" w:cs="Times New Roman"/>
          <w:sz w:val="22"/>
          <w:szCs w:val="22"/>
        </w:rPr>
        <w:t xml:space="preserve"> </w:t>
      </w:r>
      <w:r>
        <w:rPr>
          <w:rFonts w:ascii="Times New Roman" w:hAnsi="Times New Roman" w:cs="Times New Roman"/>
          <w:sz w:val="22"/>
          <w:szCs w:val="22"/>
        </w:rPr>
        <w:t xml:space="preserve">Este hecho fue comprobado en un principio por la medición del punto de fusión, 60-61 ̊ C, este valor se encontraba en concordancia con aquel reportado en la literatura. La prueba formal de la identidad </w:t>
      </w:r>
      <w:r>
        <w:rPr>
          <w:rFonts w:ascii="Times New Roman" w:hAnsi="Times New Roman" w:cs="Times New Roman"/>
          <w:sz w:val="22"/>
          <w:szCs w:val="22"/>
        </w:rPr>
        <w:t xml:space="preserve">del producto se encuentra en los espectros de RMN </w:t>
      </w:r>
      <w:r>
        <w:rPr>
          <w:rFonts w:ascii="Times New Roman" w:hAnsi="Times New Roman" w:cs="Times New Roman"/>
          <w:sz w:val="22"/>
          <w:szCs w:val="22"/>
          <w:vertAlign w:val="superscript"/>
        </w:rPr>
        <w:t>1</w:t>
      </w:r>
      <w:r>
        <w:rPr>
          <w:rFonts w:ascii="Times New Roman" w:hAnsi="Times New Roman" w:cs="Times New Roman"/>
          <w:sz w:val="22"/>
          <w:szCs w:val="22"/>
        </w:rPr>
        <w:t xml:space="preserve">H y </w:t>
      </w:r>
      <w:r>
        <w:rPr>
          <w:rFonts w:ascii="Times New Roman" w:hAnsi="Times New Roman" w:cs="Times New Roman"/>
          <w:sz w:val="22"/>
          <w:szCs w:val="22"/>
          <w:vertAlign w:val="superscript"/>
        </w:rPr>
        <w:t>13</w:t>
      </w:r>
      <w:r>
        <w:rPr>
          <w:rFonts w:ascii="Times New Roman" w:hAnsi="Times New Roman" w:cs="Times New Roman"/>
          <w:sz w:val="22"/>
          <w:szCs w:val="22"/>
        </w:rPr>
        <w:t>C DEPT, que permiten evidenciar las señales correspondientes al producto.</w:t>
      </w:r>
      <w:r w:rsidR="006243F5">
        <w:rPr>
          <w:rFonts w:ascii="Times New Roman" w:hAnsi="Times New Roman" w:cs="Times New Roman"/>
          <w:sz w:val="22"/>
          <w:szCs w:val="22"/>
        </w:rPr>
        <w:t xml:space="preserve"> </w:t>
      </w:r>
    </w:p>
    <w:p w14:paraId="794DA3A6" w14:textId="6EA97526" w:rsidR="006243F5" w:rsidRDefault="007902E9" w:rsidP="00DB776B">
      <w:pPr>
        <w:keepNext/>
        <w:spacing w:after="120" w:line="276" w:lineRule="auto"/>
        <w:jc w:val="both"/>
      </w:pPr>
      <w:r>
        <w:rPr>
          <w:noProof/>
        </w:rPr>
        <w:drawing>
          <wp:inline distT="0" distB="0" distL="0" distR="0" wp14:anchorId="760018EE" wp14:editId="00ACDF57">
            <wp:extent cx="2146853" cy="14728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3871" cy="1518854"/>
                    </a:xfrm>
                    <a:prstGeom prst="rect">
                      <a:avLst/>
                    </a:prstGeom>
                  </pic:spPr>
                </pic:pic>
              </a:graphicData>
            </a:graphic>
          </wp:inline>
        </w:drawing>
      </w:r>
    </w:p>
    <w:p w14:paraId="46E5FDCB" w14:textId="08018154" w:rsidR="006243F5" w:rsidRDefault="006243F5" w:rsidP="009F6F88">
      <w:pPr>
        <w:pStyle w:val="Caption"/>
        <w:spacing w:line="276" w:lineRule="auto"/>
        <w:jc w:val="both"/>
        <w:rPr>
          <w:i w:val="0"/>
        </w:rPr>
      </w:pPr>
      <w:r>
        <w:t xml:space="preserve">Ilustración </w:t>
      </w:r>
      <w:fldSimple w:instr=" SEQ Ilustración \* ARABIC ">
        <w:r w:rsidR="009609ED">
          <w:rPr>
            <w:noProof/>
          </w:rPr>
          <w:t>1</w:t>
        </w:r>
      </w:fldSimple>
      <w:r>
        <w:t xml:space="preserve">. </w:t>
      </w:r>
      <w:r>
        <w:rPr>
          <w:i w:val="0"/>
        </w:rPr>
        <w:t>Señales asignadas a los protones.</w:t>
      </w:r>
    </w:p>
    <w:p w14:paraId="5589B538" w14:textId="38BD089F" w:rsidR="006243F5" w:rsidRPr="007902E9" w:rsidRDefault="006243F5" w:rsidP="009F6F88">
      <w:pPr>
        <w:spacing w:line="276" w:lineRule="auto"/>
        <w:jc w:val="both"/>
        <w:rPr>
          <w:rFonts w:ascii="Times New Roman" w:hAnsi="Times New Roman" w:cs="Times New Roman"/>
          <w:sz w:val="22"/>
          <w:szCs w:val="22"/>
        </w:rPr>
      </w:pPr>
      <w:r w:rsidRPr="007902E9">
        <w:rPr>
          <w:rFonts w:ascii="Times New Roman" w:hAnsi="Times New Roman" w:cs="Times New Roman"/>
          <w:sz w:val="22"/>
          <w:szCs w:val="22"/>
        </w:rPr>
        <w:t xml:space="preserve">Las señales designadas como A, C y D son se distinguen claramente en el espectro y pueden ser analizadas a fondo, sin embargo, en la zona aromática se observan señales muy solapadas, imposibilitando una asignación específica a los tres tipos de protones aromáticos presentes en la molécula. </w:t>
      </w:r>
      <w:r w:rsidR="007902E9" w:rsidRPr="007902E9">
        <w:rPr>
          <w:rFonts w:ascii="Times New Roman" w:hAnsi="Times New Roman" w:cs="Times New Roman"/>
          <w:sz w:val="22"/>
          <w:szCs w:val="22"/>
        </w:rPr>
        <w:t>Aun</w:t>
      </w:r>
      <w:r w:rsidRPr="007902E9">
        <w:rPr>
          <w:rFonts w:ascii="Times New Roman" w:hAnsi="Times New Roman" w:cs="Times New Roman"/>
          <w:sz w:val="22"/>
          <w:szCs w:val="22"/>
        </w:rPr>
        <w:t xml:space="preserve"> así, la integración de este multiplete </w:t>
      </w:r>
      <w:r w:rsidR="007902E9" w:rsidRPr="007902E9">
        <w:rPr>
          <w:rFonts w:ascii="Times New Roman" w:hAnsi="Times New Roman" w:cs="Times New Roman"/>
          <w:sz w:val="22"/>
          <w:szCs w:val="22"/>
        </w:rPr>
        <w:t xml:space="preserve">indica la presencia de 5 protones en la zona aromática, hecho que soporta la asignación general de estos protones como una sola señal B. </w:t>
      </w:r>
    </w:p>
    <w:p w14:paraId="103C6103" w14:textId="5F2B359A" w:rsidR="007902E9" w:rsidRDefault="007902E9" w:rsidP="009F6F88">
      <w:pPr>
        <w:spacing w:line="276" w:lineRule="auto"/>
        <w:jc w:val="both"/>
        <w:rPr>
          <w:rFonts w:ascii="Times New Roman" w:hAnsi="Times New Roman" w:cs="Times New Roman"/>
          <w:sz w:val="22"/>
          <w:szCs w:val="22"/>
        </w:rPr>
      </w:pPr>
      <w:r w:rsidRPr="007902E9">
        <w:rPr>
          <w:rFonts w:ascii="Times New Roman" w:hAnsi="Times New Roman" w:cs="Times New Roman"/>
          <w:sz w:val="22"/>
          <w:szCs w:val="22"/>
        </w:rPr>
        <w:t xml:space="preserve">Se observan fenómenos interesantes en la forma de </w:t>
      </w:r>
      <w:r w:rsidR="007E3928">
        <w:rPr>
          <w:rFonts w:ascii="Times New Roman" w:hAnsi="Times New Roman" w:cs="Times New Roman"/>
          <w:sz w:val="22"/>
          <w:szCs w:val="22"/>
        </w:rPr>
        <w:t>las señales A, C y D. La señal C</w:t>
      </w:r>
      <w:r w:rsidRPr="007902E9">
        <w:rPr>
          <w:rFonts w:ascii="Times New Roman" w:hAnsi="Times New Roman" w:cs="Times New Roman"/>
          <w:sz w:val="22"/>
          <w:szCs w:val="22"/>
        </w:rPr>
        <w:t xml:space="preserve"> correspondiente al átomo de hidrogeno unido al nitrógeno presenta un ensanchamiento característico de los protones en grupos amida, estos son intercambiables al igual que aquellos en aminas, sin embargo, el intercambio es más lento. Esto hace que el protón se encuentre parcialmente desacoplado y ensanche la señal.</w:t>
      </w:r>
      <w:r>
        <w:rPr>
          <w:rFonts w:ascii="Times New Roman" w:hAnsi="Times New Roman" w:cs="Times New Roman"/>
          <w:sz w:val="22"/>
          <w:szCs w:val="22"/>
        </w:rPr>
        <w:t xml:space="preserve"> Por otro lado, las señales </w:t>
      </w:r>
      <w:r w:rsidR="007E3928">
        <w:rPr>
          <w:rFonts w:ascii="Times New Roman" w:hAnsi="Times New Roman" w:cs="Times New Roman"/>
          <w:sz w:val="22"/>
          <w:szCs w:val="22"/>
        </w:rPr>
        <w:t>A y D</w:t>
      </w:r>
      <w:r>
        <w:rPr>
          <w:rFonts w:ascii="Times New Roman" w:hAnsi="Times New Roman" w:cs="Times New Roman"/>
          <w:sz w:val="22"/>
          <w:szCs w:val="22"/>
        </w:rPr>
        <w:t xml:space="preserve"> presentan pequeñas señales aledañas con multiplicidad doblete, esto es atribuido a la tautomerización de compuesto </w:t>
      </w:r>
      <w:r w:rsidR="007E3928">
        <w:rPr>
          <w:rFonts w:ascii="Times New Roman" w:hAnsi="Times New Roman" w:cs="Times New Roman"/>
          <w:sz w:val="22"/>
          <w:szCs w:val="22"/>
        </w:rPr>
        <w:t xml:space="preserve">como se muestra en el </w:t>
      </w:r>
      <w:r w:rsidR="007E3928" w:rsidRPr="007E3928">
        <w:rPr>
          <w:rFonts w:ascii="Times New Roman" w:hAnsi="Times New Roman" w:cs="Times New Roman"/>
          <w:sz w:val="22"/>
          <w:szCs w:val="22"/>
        </w:rPr>
        <w:fldChar w:fldCharType="begin"/>
      </w:r>
      <w:r w:rsidR="007E3928" w:rsidRPr="007E3928">
        <w:rPr>
          <w:rFonts w:ascii="Times New Roman" w:hAnsi="Times New Roman" w:cs="Times New Roman"/>
          <w:sz w:val="22"/>
          <w:szCs w:val="22"/>
        </w:rPr>
        <w:instrText xml:space="preserve"> REF _Ref495735487 \h </w:instrText>
      </w:r>
      <w:r w:rsidR="007E3928" w:rsidRPr="007E3928">
        <w:rPr>
          <w:rFonts w:ascii="Times New Roman" w:hAnsi="Times New Roman" w:cs="Times New Roman"/>
          <w:sz w:val="22"/>
          <w:szCs w:val="22"/>
        </w:rPr>
      </w:r>
      <w:r w:rsidR="007E3928" w:rsidRPr="007E3928">
        <w:rPr>
          <w:rFonts w:ascii="Times New Roman" w:hAnsi="Times New Roman" w:cs="Times New Roman"/>
          <w:sz w:val="22"/>
          <w:szCs w:val="22"/>
        </w:rPr>
        <w:instrText xml:space="preserve"> \* MERGEFORMAT </w:instrText>
      </w:r>
      <w:r w:rsidR="007E3928" w:rsidRPr="007E3928">
        <w:rPr>
          <w:rFonts w:ascii="Times New Roman" w:hAnsi="Times New Roman" w:cs="Times New Roman"/>
          <w:sz w:val="22"/>
          <w:szCs w:val="22"/>
        </w:rPr>
        <w:fldChar w:fldCharType="separate"/>
      </w:r>
      <w:r w:rsidR="007E3928" w:rsidRPr="007E3928">
        <w:rPr>
          <w:rFonts w:ascii="Times New Roman" w:hAnsi="Times New Roman" w:cs="Times New Roman"/>
          <w:sz w:val="22"/>
          <w:szCs w:val="22"/>
        </w:rPr>
        <w:t xml:space="preserve">Esquema </w:t>
      </w:r>
      <w:r w:rsidR="007E3928" w:rsidRPr="007E3928">
        <w:rPr>
          <w:rFonts w:ascii="Times New Roman" w:hAnsi="Times New Roman" w:cs="Times New Roman"/>
          <w:noProof/>
          <w:sz w:val="22"/>
          <w:szCs w:val="22"/>
        </w:rPr>
        <w:t>4</w:t>
      </w:r>
      <w:r w:rsidR="007E3928" w:rsidRPr="007E3928">
        <w:rPr>
          <w:rFonts w:ascii="Times New Roman" w:hAnsi="Times New Roman" w:cs="Times New Roman"/>
          <w:sz w:val="22"/>
          <w:szCs w:val="22"/>
        </w:rPr>
        <w:fldChar w:fldCharType="end"/>
      </w:r>
      <w:r w:rsidR="007E3928">
        <w:rPr>
          <w:rFonts w:ascii="Times New Roman" w:hAnsi="Times New Roman" w:cs="Times New Roman"/>
          <w:sz w:val="22"/>
          <w:szCs w:val="22"/>
        </w:rPr>
        <w:t>.</w:t>
      </w:r>
    </w:p>
    <w:p w14:paraId="54D82D49" w14:textId="77777777" w:rsidR="007E3928" w:rsidRDefault="007E3928" w:rsidP="009F6F88">
      <w:pPr>
        <w:keepNext/>
        <w:spacing w:line="276" w:lineRule="auto"/>
        <w:jc w:val="both"/>
      </w:pPr>
      <w:r>
        <w:rPr>
          <w:noProof/>
        </w:rPr>
        <w:drawing>
          <wp:inline distT="0" distB="0" distL="0" distR="0" wp14:anchorId="38342D16" wp14:editId="3214B618">
            <wp:extent cx="2760980" cy="7835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0980" cy="783590"/>
                    </a:xfrm>
                    <a:prstGeom prst="rect">
                      <a:avLst/>
                    </a:prstGeom>
                  </pic:spPr>
                </pic:pic>
              </a:graphicData>
            </a:graphic>
          </wp:inline>
        </w:drawing>
      </w:r>
    </w:p>
    <w:p w14:paraId="192C5C75" w14:textId="03E731EC" w:rsidR="007E3928" w:rsidRPr="007902E9" w:rsidRDefault="007E3928" w:rsidP="009F6F88">
      <w:pPr>
        <w:pStyle w:val="Caption"/>
        <w:spacing w:line="276" w:lineRule="auto"/>
        <w:jc w:val="both"/>
        <w:rPr>
          <w:rFonts w:ascii="Times New Roman" w:hAnsi="Times New Roman" w:cs="Times New Roman"/>
          <w:sz w:val="22"/>
          <w:szCs w:val="22"/>
        </w:rPr>
      </w:pPr>
      <w:bookmarkStart w:id="4" w:name="_Ref495735487"/>
      <w:r>
        <w:t xml:space="preserve">Esquema </w:t>
      </w:r>
      <w:fldSimple w:instr=" SEQ Esquema \* ARABIC ">
        <w:r>
          <w:rPr>
            <w:noProof/>
          </w:rPr>
          <w:t>4</w:t>
        </w:r>
      </w:fldSimple>
      <w:bookmarkEnd w:id="4"/>
      <w:r>
        <w:t xml:space="preserve">. </w:t>
      </w:r>
      <w:r>
        <w:rPr>
          <w:i w:val="0"/>
        </w:rPr>
        <w:t>Explicación de las señales A y C.</w:t>
      </w:r>
    </w:p>
    <w:p w14:paraId="6B07875B" w14:textId="135B30B9" w:rsidR="007902E9" w:rsidRDefault="007E3928" w:rsidP="009F6F88">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La pequeña señal doblete presente en δ 8.2 corresponde a la forma </w:t>
      </w:r>
      <w:proofErr w:type="spellStart"/>
      <w:r>
        <w:rPr>
          <w:rFonts w:ascii="Times New Roman" w:hAnsi="Times New Roman" w:cs="Times New Roman"/>
          <w:sz w:val="22"/>
          <w:szCs w:val="22"/>
        </w:rPr>
        <w:t>enólica</w:t>
      </w:r>
      <w:proofErr w:type="spellEnd"/>
      <w:r>
        <w:rPr>
          <w:rFonts w:ascii="Times New Roman" w:hAnsi="Times New Roman" w:cs="Times New Roman"/>
          <w:sz w:val="22"/>
          <w:szCs w:val="22"/>
        </w:rPr>
        <w:t xml:space="preserve"> de la molécula, </w:t>
      </w:r>
      <w:r>
        <w:rPr>
          <w:rFonts w:ascii="Times New Roman" w:hAnsi="Times New Roman" w:cs="Times New Roman"/>
          <w:sz w:val="22"/>
          <w:szCs w:val="22"/>
        </w:rPr>
        <w:lastRenderedPageBreak/>
        <w:t xml:space="preserve">donde el protón A se encuentra desdoblado debido al protón del grupo hidroxilo. Lo mismo sucede con la señal C, en la forma </w:t>
      </w:r>
      <w:proofErr w:type="spellStart"/>
      <w:r>
        <w:rPr>
          <w:rFonts w:ascii="Times New Roman" w:hAnsi="Times New Roman" w:cs="Times New Roman"/>
          <w:sz w:val="22"/>
          <w:szCs w:val="22"/>
        </w:rPr>
        <w:t>enólica</w:t>
      </w:r>
      <w:proofErr w:type="spellEnd"/>
      <w:r>
        <w:rPr>
          <w:rFonts w:ascii="Times New Roman" w:hAnsi="Times New Roman" w:cs="Times New Roman"/>
          <w:sz w:val="22"/>
          <w:szCs w:val="22"/>
        </w:rPr>
        <w:t xml:space="preserve"> el protón A se acopla C a larga distancia por medio del doble enlace N=C. El tamaño de estas señales es un indicador de que el equilibrio se encuentra desplazado hacia la forma estándar de la amida.</w:t>
      </w:r>
    </w:p>
    <w:p w14:paraId="2C68DBEF" w14:textId="1667A40F" w:rsidR="006B1F0B" w:rsidRDefault="006B1F0B" w:rsidP="009F6F88">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El espectro </w:t>
      </w:r>
      <w:r>
        <w:rPr>
          <w:rFonts w:ascii="Times New Roman" w:hAnsi="Times New Roman" w:cs="Times New Roman"/>
          <w:sz w:val="22"/>
          <w:szCs w:val="22"/>
          <w:vertAlign w:val="superscript"/>
        </w:rPr>
        <w:t>13</w:t>
      </w:r>
      <w:r>
        <w:rPr>
          <w:rFonts w:ascii="Times New Roman" w:hAnsi="Times New Roman" w:cs="Times New Roman"/>
          <w:sz w:val="22"/>
          <w:szCs w:val="22"/>
        </w:rPr>
        <w:t>C DEPT permite identificar las señales del carbono bencílico a δ 40.08, se observa que al igual que las señales del espectro de protón, existe un pequeño pico vecino que se puede argumentar por las mismas vías.</w:t>
      </w:r>
      <w:r w:rsidR="009F6F88">
        <w:rPr>
          <w:rFonts w:ascii="Times New Roman" w:hAnsi="Times New Roman" w:cs="Times New Roman"/>
          <w:sz w:val="22"/>
          <w:szCs w:val="22"/>
        </w:rPr>
        <w:t xml:space="preserve"> Estas señales se encuentran invertidas debido a que corresponden a un carbono secundario.</w:t>
      </w:r>
      <w:r>
        <w:rPr>
          <w:rFonts w:ascii="Times New Roman" w:hAnsi="Times New Roman" w:cs="Times New Roman"/>
          <w:sz w:val="22"/>
          <w:szCs w:val="22"/>
        </w:rPr>
        <w:t xml:space="preserve"> Por otro</w:t>
      </w:r>
      <w:r w:rsidR="009609ED">
        <w:rPr>
          <w:rFonts w:ascii="Times New Roman" w:hAnsi="Times New Roman" w:cs="Times New Roman"/>
          <w:sz w:val="22"/>
          <w:szCs w:val="22"/>
        </w:rPr>
        <w:t xml:space="preserve"> parte, se evidencian señales D, C y B, correspondientes a los carbonos en posiciones orto, meta y para respetivamente. El carbono carbonílico se reporta más allá de δ 160 y no se muestra en el espectro tomado.</w:t>
      </w:r>
      <w:r w:rsidR="009F6F88">
        <w:rPr>
          <w:rFonts w:ascii="Times New Roman" w:hAnsi="Times New Roman" w:cs="Times New Roman"/>
          <w:sz w:val="22"/>
          <w:szCs w:val="22"/>
        </w:rPr>
        <w:t xml:space="preserve"> </w:t>
      </w:r>
    </w:p>
    <w:p w14:paraId="5C5EE528" w14:textId="77777777" w:rsidR="009609ED" w:rsidRDefault="009609ED" w:rsidP="009609ED">
      <w:pPr>
        <w:keepNext/>
        <w:jc w:val="both"/>
      </w:pPr>
      <w:r>
        <w:rPr>
          <w:noProof/>
        </w:rPr>
        <w:drawing>
          <wp:inline distT="0" distB="0" distL="0" distR="0" wp14:anchorId="73A751CF" wp14:editId="5577ECD1">
            <wp:extent cx="2034223" cy="131991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0713" cy="1337104"/>
                    </a:xfrm>
                    <a:prstGeom prst="rect">
                      <a:avLst/>
                    </a:prstGeom>
                  </pic:spPr>
                </pic:pic>
              </a:graphicData>
            </a:graphic>
          </wp:inline>
        </w:drawing>
      </w:r>
    </w:p>
    <w:p w14:paraId="67A0D0E7" w14:textId="49B4F12B" w:rsidR="009609ED" w:rsidRDefault="009609ED" w:rsidP="009609ED">
      <w:pPr>
        <w:pStyle w:val="Caption"/>
        <w:jc w:val="both"/>
        <w:rPr>
          <w:i w:val="0"/>
        </w:rPr>
      </w:pPr>
      <w:r>
        <w:t xml:space="preserve">Ilustración </w:t>
      </w:r>
      <w:fldSimple w:instr=" SEQ Ilustración \* ARABIC ">
        <w:r>
          <w:rPr>
            <w:noProof/>
          </w:rPr>
          <w:t>2</w:t>
        </w:r>
      </w:fldSimple>
      <w:r>
        <w:t xml:space="preserve">. </w:t>
      </w:r>
      <w:r>
        <w:rPr>
          <w:i w:val="0"/>
        </w:rPr>
        <w:t>Asignación de señales de carbono.</w:t>
      </w:r>
    </w:p>
    <w:p w14:paraId="3D94CF3F" w14:textId="6E4E9B80" w:rsidR="00DB776B" w:rsidRDefault="00DB776B" w:rsidP="00DB776B">
      <w:pPr>
        <w:spacing w:line="276" w:lineRule="auto"/>
        <w:jc w:val="both"/>
        <w:rPr>
          <w:rFonts w:ascii="Times New Roman" w:hAnsi="Times New Roman" w:cs="Times New Roman"/>
          <w:sz w:val="22"/>
          <w:szCs w:val="22"/>
        </w:rPr>
      </w:pPr>
      <w:r>
        <w:rPr>
          <w:rFonts w:ascii="Times New Roman" w:hAnsi="Times New Roman" w:cs="Times New Roman"/>
          <w:sz w:val="22"/>
          <w:szCs w:val="22"/>
        </w:rPr>
        <w:t>La separación del producto de la mezcla de reacción fue sencilla debido a la minimización de productos secundarios presentes en el crudo.</w:t>
      </w:r>
      <w:r>
        <w:rPr>
          <w:rFonts w:ascii="Times New Roman" w:hAnsi="Times New Roman" w:cs="Times New Roman"/>
          <w:sz w:val="22"/>
          <w:szCs w:val="22"/>
        </w:rPr>
        <w:t xml:space="preserve"> El amoniaco proveniente de la formamida escapa de la mezcla de reacción y por ende no se encuentra dentro del crudo, la formamida (reactivo en exceso) es bastante más polar que la N-bencilformamida y por ende su separación por columna es trivial. </w:t>
      </w:r>
    </w:p>
    <w:p w14:paraId="2EC91CF7" w14:textId="77777777" w:rsidR="00DB776B" w:rsidRPr="00DB776B" w:rsidRDefault="00DB776B" w:rsidP="00DB776B"/>
    <w:p w14:paraId="3104A8A7" w14:textId="2949A81D" w:rsidR="00B62DF8" w:rsidRPr="007902E9" w:rsidRDefault="00B62DF8" w:rsidP="008C77C9">
      <w:pPr>
        <w:spacing w:after="120" w:line="276" w:lineRule="auto"/>
        <w:jc w:val="both"/>
        <w:rPr>
          <w:rFonts w:ascii="Times New Roman" w:hAnsi="Times New Roman" w:cs="Times New Roman"/>
          <w:b/>
          <w:sz w:val="22"/>
          <w:szCs w:val="22"/>
        </w:rPr>
      </w:pPr>
      <w:r w:rsidRPr="007902E9">
        <w:rPr>
          <w:rFonts w:ascii="Times New Roman" w:hAnsi="Times New Roman" w:cs="Times New Roman"/>
          <w:b/>
          <w:sz w:val="22"/>
          <w:szCs w:val="22"/>
        </w:rPr>
        <w:t>Conclusiones</w:t>
      </w:r>
      <w:r w:rsidR="000B2FA3" w:rsidRPr="007902E9">
        <w:rPr>
          <w:rFonts w:ascii="Times New Roman" w:hAnsi="Times New Roman" w:cs="Times New Roman"/>
          <w:b/>
          <w:sz w:val="22"/>
          <w:szCs w:val="22"/>
        </w:rPr>
        <w:t xml:space="preserve"> </w:t>
      </w:r>
    </w:p>
    <w:p w14:paraId="199E5C76" w14:textId="2748E5F4" w:rsidR="00CF17B6" w:rsidRPr="009F6F88" w:rsidRDefault="009F6F88" w:rsidP="004F2DF6">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 xml:space="preserve">Se consiguió sintetizar la N-bencilformamida por medio de una reacción de transamidación catalizada por hierro (III), esto fue confirmado tanto por medición de punto de fusión como por </w:t>
      </w:r>
      <w:r>
        <w:rPr>
          <w:rFonts w:ascii="Times New Roman" w:hAnsi="Times New Roman" w:cs="Times New Roman"/>
          <w:sz w:val="22"/>
          <w:szCs w:val="22"/>
        </w:rPr>
        <w:t xml:space="preserve">espectroscopia de RMN de </w:t>
      </w:r>
      <w:r>
        <w:rPr>
          <w:rFonts w:ascii="Times New Roman" w:hAnsi="Times New Roman" w:cs="Times New Roman"/>
          <w:sz w:val="22"/>
          <w:szCs w:val="22"/>
          <w:vertAlign w:val="superscript"/>
        </w:rPr>
        <w:t>1</w:t>
      </w:r>
      <w:r>
        <w:rPr>
          <w:rFonts w:ascii="Times New Roman" w:hAnsi="Times New Roman" w:cs="Times New Roman"/>
          <w:sz w:val="22"/>
          <w:szCs w:val="22"/>
        </w:rPr>
        <w:t xml:space="preserve">H y </w:t>
      </w:r>
      <w:r>
        <w:rPr>
          <w:rFonts w:ascii="Times New Roman" w:hAnsi="Times New Roman" w:cs="Times New Roman"/>
          <w:sz w:val="22"/>
          <w:szCs w:val="22"/>
          <w:vertAlign w:val="superscript"/>
        </w:rPr>
        <w:t>13</w:t>
      </w:r>
      <w:r>
        <w:rPr>
          <w:rFonts w:ascii="Times New Roman" w:hAnsi="Times New Roman" w:cs="Times New Roman"/>
          <w:sz w:val="22"/>
          <w:szCs w:val="22"/>
        </w:rPr>
        <w:t xml:space="preserve">C. El método usado resulto bastante conveniente, la reacción fue rápida y </w:t>
      </w:r>
      <w:r w:rsidR="00DB776B">
        <w:rPr>
          <w:rFonts w:ascii="Times New Roman" w:hAnsi="Times New Roman" w:cs="Times New Roman"/>
          <w:sz w:val="22"/>
          <w:szCs w:val="22"/>
        </w:rPr>
        <w:t xml:space="preserve">se obtuvo un alto rendimiento, del 97, 35%. </w:t>
      </w:r>
    </w:p>
    <w:p w14:paraId="624E3353" w14:textId="77777777" w:rsidR="000B2FA3" w:rsidRPr="007902E9" w:rsidRDefault="000B2FA3" w:rsidP="004F2DF6">
      <w:pPr>
        <w:spacing w:after="120" w:line="276" w:lineRule="auto"/>
        <w:jc w:val="both"/>
        <w:rPr>
          <w:rFonts w:ascii="Times New Roman" w:hAnsi="Times New Roman" w:cs="Times New Roman"/>
          <w:sz w:val="22"/>
          <w:szCs w:val="22"/>
        </w:rPr>
      </w:pPr>
    </w:p>
    <w:p w14:paraId="24BAE314" w14:textId="49BEF23C" w:rsidR="00CF17B6" w:rsidRPr="00CF17B6" w:rsidRDefault="00CF17B6" w:rsidP="00CF17B6">
      <w:pPr>
        <w:spacing w:after="120" w:line="276" w:lineRule="auto"/>
        <w:jc w:val="both"/>
        <w:rPr>
          <w:rFonts w:ascii="Times New Roman" w:hAnsi="Times New Roman" w:cs="Times New Roman"/>
          <w:b/>
          <w:sz w:val="22"/>
          <w:szCs w:val="22"/>
        </w:rPr>
      </w:pPr>
      <w:r w:rsidRPr="00CF17B6">
        <w:rPr>
          <w:rFonts w:ascii="Times New Roman" w:hAnsi="Times New Roman" w:cs="Times New Roman"/>
          <w:b/>
          <w:sz w:val="22"/>
          <w:szCs w:val="22"/>
        </w:rPr>
        <w:t xml:space="preserve">Parte experimental </w:t>
      </w:r>
    </w:p>
    <w:p w14:paraId="6B4DDA41" w14:textId="4D85AAF8" w:rsidR="00CF17B6" w:rsidRPr="00E53CD4" w:rsidRDefault="00E53CD4" w:rsidP="004F2DF6">
      <w:pPr>
        <w:spacing w:after="120" w:line="276" w:lineRule="auto"/>
        <w:jc w:val="both"/>
        <w:rPr>
          <w:rFonts w:ascii="Times New Roman" w:hAnsi="Times New Roman" w:cs="Times New Roman"/>
          <w:sz w:val="22"/>
          <w:szCs w:val="22"/>
        </w:rPr>
      </w:pPr>
      <w:r>
        <w:rPr>
          <w:rFonts w:ascii="Times New Roman" w:hAnsi="Times New Roman" w:cs="Times New Roman"/>
          <w:sz w:val="22"/>
          <w:szCs w:val="22"/>
        </w:rPr>
        <w:t xml:space="preserve">En un balón de fondo </w:t>
      </w:r>
      <w:proofErr w:type="spellStart"/>
      <w:r>
        <w:rPr>
          <w:rFonts w:ascii="Times New Roman" w:hAnsi="Times New Roman" w:cs="Times New Roman"/>
          <w:sz w:val="22"/>
          <w:szCs w:val="22"/>
        </w:rPr>
        <w:t>redonde</w:t>
      </w:r>
      <w:proofErr w:type="spellEnd"/>
      <w:r>
        <w:rPr>
          <w:rFonts w:ascii="Times New Roman" w:hAnsi="Times New Roman" w:cs="Times New Roman"/>
          <w:sz w:val="22"/>
          <w:szCs w:val="22"/>
        </w:rPr>
        <w:t xml:space="preserve"> de 25 ml se mezclaron 0,437 g de bencilamina (4,07 mmol), 0,310 g de formamida (6,883 mmol) y 0,06 g de sulfato de hierro (III) (0,15 mmol) anhidro. Debido a que no se contaba con una sal de hierro (III) hidratada, fue necesario la adición de 3 gotas de agua a la mezcla de reacción. Esta fue llevada a reflujo durante 2 h y se siguió por CCD hasta que desapareció por completo el punto correspondiente a la bencilamina (reactivo limite). Se prosiguió a filtrar la mezcla en caliente sobre zeolita para remover el catalizador de hierro de la mezcla, el balón de reacción se lavó con AcOEt y tolueno para transferir cuantitativamente el producto. Posteriormente, se purificó el producto por cromatografía de columna usando aproximadamente 20 gramos de sílica gel y una fase móvil </w:t>
      </w:r>
      <w:proofErr w:type="spellStart"/>
      <w:proofErr w:type="gramStart"/>
      <w:r>
        <w:rPr>
          <w:rFonts w:ascii="Times New Roman" w:hAnsi="Times New Roman" w:cs="Times New Roman"/>
          <w:sz w:val="22"/>
          <w:szCs w:val="22"/>
        </w:rPr>
        <w:t>DCM:AcOEt</w:t>
      </w:r>
      <w:proofErr w:type="spellEnd"/>
      <w:proofErr w:type="gramEnd"/>
      <w:r>
        <w:rPr>
          <w:rFonts w:ascii="Times New Roman" w:hAnsi="Times New Roman" w:cs="Times New Roman"/>
          <w:sz w:val="22"/>
          <w:szCs w:val="22"/>
        </w:rPr>
        <w:t xml:space="preserve"> (7:3). Una vez obtenido el sólido, se tomó punto de fusión y se verificó que este concordaba con el reportado. Por </w:t>
      </w:r>
      <w:proofErr w:type="gramStart"/>
      <w:r>
        <w:rPr>
          <w:rFonts w:ascii="Times New Roman" w:hAnsi="Times New Roman" w:cs="Times New Roman"/>
          <w:sz w:val="22"/>
          <w:szCs w:val="22"/>
        </w:rPr>
        <w:t>último</w:t>
      </w:r>
      <w:proofErr w:type="gramEnd"/>
      <w:r>
        <w:rPr>
          <w:rFonts w:ascii="Times New Roman" w:hAnsi="Times New Roman" w:cs="Times New Roman"/>
          <w:sz w:val="22"/>
          <w:szCs w:val="22"/>
        </w:rPr>
        <w:t xml:space="preserve"> se retiró el disolvente a presión reducida y se preparó una muestra en CDCl</w:t>
      </w:r>
      <w:r>
        <w:rPr>
          <w:rFonts w:ascii="Times New Roman" w:hAnsi="Times New Roman" w:cs="Times New Roman"/>
          <w:sz w:val="22"/>
          <w:szCs w:val="22"/>
          <w:vertAlign w:val="subscript"/>
        </w:rPr>
        <w:t>3</w:t>
      </w:r>
      <w:r>
        <w:rPr>
          <w:rFonts w:ascii="Times New Roman" w:hAnsi="Times New Roman" w:cs="Times New Roman"/>
          <w:sz w:val="22"/>
          <w:szCs w:val="22"/>
        </w:rPr>
        <w:t xml:space="preserve"> para su análisis por RMN.</w:t>
      </w:r>
    </w:p>
    <w:p w14:paraId="5722F6AE" w14:textId="3D5FB7E5" w:rsidR="00B3385E" w:rsidRPr="00CF17B6" w:rsidRDefault="00B3385E" w:rsidP="008C77C9">
      <w:pPr>
        <w:spacing w:after="120" w:line="276" w:lineRule="auto"/>
        <w:jc w:val="both"/>
        <w:rPr>
          <w:rFonts w:ascii="Times New Roman" w:hAnsi="Times New Roman" w:cs="Times New Roman"/>
          <w:b/>
          <w:sz w:val="22"/>
          <w:szCs w:val="22"/>
        </w:rPr>
      </w:pPr>
      <w:r w:rsidRPr="00CF17B6">
        <w:rPr>
          <w:rFonts w:ascii="Times New Roman" w:hAnsi="Times New Roman" w:cs="Times New Roman"/>
          <w:b/>
          <w:sz w:val="22"/>
          <w:szCs w:val="22"/>
        </w:rPr>
        <w:t>Referencias</w:t>
      </w:r>
      <w:r w:rsidR="000B2FA3">
        <w:rPr>
          <w:rFonts w:ascii="Times New Roman" w:hAnsi="Times New Roman" w:cs="Times New Roman"/>
          <w:b/>
          <w:sz w:val="22"/>
          <w:szCs w:val="22"/>
        </w:rPr>
        <w:t xml:space="preserve"> </w:t>
      </w:r>
    </w:p>
    <w:p w14:paraId="4DAFF878" w14:textId="77777777" w:rsidR="00230933" w:rsidRDefault="00230933">
      <w:pPr>
        <w:rPr>
          <w:rFonts w:ascii="Times New Roman" w:hAnsi="Times New Roman" w:cs="Times New Roman"/>
          <w:sz w:val="22"/>
          <w:szCs w:val="22"/>
        </w:rPr>
      </w:pPr>
    </w:p>
    <w:p w14:paraId="3E6F2E29" w14:textId="77777777" w:rsidR="00DB776B" w:rsidRPr="00DB776B" w:rsidRDefault="00230933" w:rsidP="00DB776B">
      <w:pPr>
        <w:pStyle w:val="Bibliography"/>
        <w:rPr>
          <w:rFonts w:ascii="Times New Roman" w:hAnsi="Times New Roman" w:cs="Times New Roman"/>
          <w:sz w:val="22"/>
          <w:szCs w:val="22"/>
        </w:rPr>
      </w:pPr>
      <w:r>
        <w:rPr>
          <w:b/>
          <w:lang w:val="en-US"/>
        </w:rPr>
        <w:fldChar w:fldCharType="begin"/>
      </w:r>
      <w:r w:rsidR="009609ED">
        <w:rPr>
          <w:b/>
          <w:lang w:val="en-US"/>
        </w:rPr>
        <w:instrText xml:space="preserve"> ADDIN ZOTERO_BIBL {"custom":[]} CSL_BIBLIOGRAPHY </w:instrText>
      </w:r>
      <w:r>
        <w:rPr>
          <w:b/>
          <w:lang w:val="en-US"/>
        </w:rPr>
        <w:fldChar w:fldCharType="separate"/>
      </w:r>
      <w:r w:rsidR="00DB776B" w:rsidRPr="00DB776B">
        <w:rPr>
          <w:rFonts w:ascii="Times New Roman" w:hAnsi="Times New Roman" w:cs="Times New Roman"/>
          <w:sz w:val="22"/>
          <w:szCs w:val="22"/>
        </w:rPr>
        <w:t xml:space="preserve">(1) </w:t>
      </w:r>
      <w:r w:rsidR="00DB776B" w:rsidRPr="00DB776B">
        <w:rPr>
          <w:rFonts w:ascii="Times New Roman" w:hAnsi="Times New Roman" w:cs="Times New Roman"/>
          <w:sz w:val="22"/>
          <w:szCs w:val="22"/>
        </w:rPr>
        <w:tab/>
        <w:t xml:space="preserve">Wade, L. G. </w:t>
      </w:r>
      <w:proofErr w:type="spellStart"/>
      <w:r w:rsidR="00DB776B" w:rsidRPr="00DB776B">
        <w:rPr>
          <w:rFonts w:ascii="Times New Roman" w:hAnsi="Times New Roman" w:cs="Times New Roman"/>
          <w:i/>
          <w:iCs/>
          <w:sz w:val="22"/>
          <w:szCs w:val="22"/>
        </w:rPr>
        <w:t>Organic</w:t>
      </w:r>
      <w:proofErr w:type="spellEnd"/>
      <w:r w:rsidR="00DB776B" w:rsidRPr="00DB776B">
        <w:rPr>
          <w:rFonts w:ascii="Times New Roman" w:hAnsi="Times New Roman" w:cs="Times New Roman"/>
          <w:i/>
          <w:iCs/>
          <w:sz w:val="22"/>
          <w:szCs w:val="22"/>
        </w:rPr>
        <w:t xml:space="preserve"> </w:t>
      </w:r>
      <w:proofErr w:type="spellStart"/>
      <w:r w:rsidR="00DB776B" w:rsidRPr="00DB776B">
        <w:rPr>
          <w:rFonts w:ascii="Times New Roman" w:hAnsi="Times New Roman" w:cs="Times New Roman"/>
          <w:i/>
          <w:iCs/>
          <w:sz w:val="22"/>
          <w:szCs w:val="22"/>
        </w:rPr>
        <w:t>chemistry</w:t>
      </w:r>
      <w:proofErr w:type="spellEnd"/>
      <w:r w:rsidR="00DB776B" w:rsidRPr="00DB776B">
        <w:rPr>
          <w:rFonts w:ascii="Times New Roman" w:hAnsi="Times New Roman" w:cs="Times New Roman"/>
          <w:i/>
          <w:iCs/>
          <w:sz w:val="22"/>
          <w:szCs w:val="22"/>
        </w:rPr>
        <w:t xml:space="preserve">: </w:t>
      </w:r>
      <w:proofErr w:type="spellStart"/>
      <w:r w:rsidR="00DB776B" w:rsidRPr="00DB776B">
        <w:rPr>
          <w:rFonts w:ascii="Times New Roman" w:hAnsi="Times New Roman" w:cs="Times New Roman"/>
          <w:i/>
          <w:iCs/>
          <w:sz w:val="22"/>
          <w:szCs w:val="22"/>
        </w:rPr>
        <w:t>international</w:t>
      </w:r>
      <w:proofErr w:type="spellEnd"/>
      <w:r w:rsidR="00DB776B" w:rsidRPr="00DB776B">
        <w:rPr>
          <w:rFonts w:ascii="Times New Roman" w:hAnsi="Times New Roman" w:cs="Times New Roman"/>
          <w:i/>
          <w:iCs/>
          <w:sz w:val="22"/>
          <w:szCs w:val="22"/>
        </w:rPr>
        <w:t xml:space="preserve"> </w:t>
      </w:r>
      <w:proofErr w:type="spellStart"/>
      <w:r w:rsidR="00DB776B" w:rsidRPr="00DB776B">
        <w:rPr>
          <w:rFonts w:ascii="Times New Roman" w:hAnsi="Times New Roman" w:cs="Times New Roman"/>
          <w:i/>
          <w:iCs/>
          <w:sz w:val="22"/>
          <w:szCs w:val="22"/>
        </w:rPr>
        <w:t>edition</w:t>
      </w:r>
      <w:proofErr w:type="spellEnd"/>
      <w:r w:rsidR="00DB776B" w:rsidRPr="00DB776B">
        <w:rPr>
          <w:rFonts w:ascii="Times New Roman" w:hAnsi="Times New Roman" w:cs="Times New Roman"/>
          <w:i/>
          <w:iCs/>
          <w:sz w:val="22"/>
          <w:szCs w:val="22"/>
        </w:rPr>
        <w:t>.</w:t>
      </w:r>
      <w:r w:rsidR="00DB776B" w:rsidRPr="00DB776B">
        <w:rPr>
          <w:rFonts w:ascii="Times New Roman" w:hAnsi="Times New Roman" w:cs="Times New Roman"/>
          <w:sz w:val="22"/>
          <w:szCs w:val="22"/>
        </w:rPr>
        <w:t xml:space="preserve">; Pearson </w:t>
      </w:r>
      <w:proofErr w:type="spellStart"/>
      <w:r w:rsidR="00DB776B" w:rsidRPr="00DB776B">
        <w:rPr>
          <w:rFonts w:ascii="Times New Roman" w:hAnsi="Times New Roman" w:cs="Times New Roman"/>
          <w:sz w:val="22"/>
          <w:szCs w:val="22"/>
        </w:rPr>
        <w:t>Education</w:t>
      </w:r>
      <w:proofErr w:type="spellEnd"/>
      <w:r w:rsidR="00DB776B" w:rsidRPr="00DB776B">
        <w:rPr>
          <w:rFonts w:ascii="Times New Roman" w:hAnsi="Times New Roman" w:cs="Times New Roman"/>
          <w:sz w:val="22"/>
          <w:szCs w:val="22"/>
        </w:rPr>
        <w:t xml:space="preserve"> (</w:t>
      </w:r>
      <w:proofErr w:type="spellStart"/>
      <w:r w:rsidR="00DB776B" w:rsidRPr="00DB776B">
        <w:rPr>
          <w:rFonts w:ascii="Times New Roman" w:hAnsi="Times New Roman" w:cs="Times New Roman"/>
          <w:sz w:val="22"/>
          <w:szCs w:val="22"/>
        </w:rPr>
        <w:t>Us</w:t>
      </w:r>
      <w:proofErr w:type="spellEnd"/>
      <w:r w:rsidR="00DB776B" w:rsidRPr="00DB776B">
        <w:rPr>
          <w:rFonts w:ascii="Times New Roman" w:hAnsi="Times New Roman" w:cs="Times New Roman"/>
          <w:sz w:val="22"/>
          <w:szCs w:val="22"/>
        </w:rPr>
        <w:t xml:space="preserve">): Place </w:t>
      </w:r>
      <w:proofErr w:type="spellStart"/>
      <w:r w:rsidR="00DB776B" w:rsidRPr="00DB776B">
        <w:rPr>
          <w:rFonts w:ascii="Times New Roman" w:hAnsi="Times New Roman" w:cs="Times New Roman"/>
          <w:sz w:val="22"/>
          <w:szCs w:val="22"/>
        </w:rPr>
        <w:t>of</w:t>
      </w:r>
      <w:proofErr w:type="spellEnd"/>
      <w:r w:rsidR="00DB776B" w:rsidRPr="00DB776B">
        <w:rPr>
          <w:rFonts w:ascii="Times New Roman" w:hAnsi="Times New Roman" w:cs="Times New Roman"/>
          <w:sz w:val="22"/>
          <w:szCs w:val="22"/>
        </w:rPr>
        <w:t xml:space="preserve"> </w:t>
      </w:r>
      <w:proofErr w:type="spellStart"/>
      <w:r w:rsidR="00DB776B" w:rsidRPr="00DB776B">
        <w:rPr>
          <w:rFonts w:ascii="Times New Roman" w:hAnsi="Times New Roman" w:cs="Times New Roman"/>
          <w:sz w:val="22"/>
          <w:szCs w:val="22"/>
        </w:rPr>
        <w:t>publication</w:t>
      </w:r>
      <w:proofErr w:type="spellEnd"/>
      <w:r w:rsidR="00DB776B" w:rsidRPr="00DB776B">
        <w:rPr>
          <w:rFonts w:ascii="Times New Roman" w:hAnsi="Times New Roman" w:cs="Times New Roman"/>
          <w:sz w:val="22"/>
          <w:szCs w:val="22"/>
        </w:rPr>
        <w:t xml:space="preserve"> </w:t>
      </w:r>
      <w:proofErr w:type="spellStart"/>
      <w:r w:rsidR="00DB776B" w:rsidRPr="00DB776B">
        <w:rPr>
          <w:rFonts w:ascii="Times New Roman" w:hAnsi="Times New Roman" w:cs="Times New Roman"/>
          <w:sz w:val="22"/>
          <w:szCs w:val="22"/>
        </w:rPr>
        <w:t>not</w:t>
      </w:r>
      <w:proofErr w:type="spellEnd"/>
      <w:r w:rsidR="00DB776B" w:rsidRPr="00DB776B">
        <w:rPr>
          <w:rFonts w:ascii="Times New Roman" w:hAnsi="Times New Roman" w:cs="Times New Roman"/>
          <w:sz w:val="22"/>
          <w:szCs w:val="22"/>
        </w:rPr>
        <w:t xml:space="preserve"> </w:t>
      </w:r>
      <w:proofErr w:type="spellStart"/>
      <w:r w:rsidR="00DB776B" w:rsidRPr="00DB776B">
        <w:rPr>
          <w:rFonts w:ascii="Times New Roman" w:hAnsi="Times New Roman" w:cs="Times New Roman"/>
          <w:sz w:val="22"/>
          <w:szCs w:val="22"/>
        </w:rPr>
        <w:t>identified</w:t>
      </w:r>
      <w:proofErr w:type="spellEnd"/>
      <w:r w:rsidR="00DB776B" w:rsidRPr="00DB776B">
        <w:rPr>
          <w:rFonts w:ascii="Times New Roman" w:hAnsi="Times New Roman" w:cs="Times New Roman"/>
          <w:sz w:val="22"/>
          <w:szCs w:val="22"/>
        </w:rPr>
        <w:t>, 2012.</w:t>
      </w:r>
    </w:p>
    <w:p w14:paraId="4A4A9DBB" w14:textId="6C47A732" w:rsidR="00DB776B" w:rsidRPr="00DB776B" w:rsidRDefault="00DB776B" w:rsidP="00DB776B">
      <w:pPr>
        <w:pStyle w:val="Bibliography"/>
        <w:rPr>
          <w:rFonts w:ascii="Times New Roman" w:hAnsi="Times New Roman" w:cs="Times New Roman"/>
          <w:sz w:val="22"/>
          <w:szCs w:val="22"/>
        </w:rPr>
      </w:pPr>
      <w:r w:rsidRPr="00DB776B">
        <w:rPr>
          <w:rFonts w:ascii="Times New Roman" w:hAnsi="Times New Roman" w:cs="Times New Roman"/>
          <w:sz w:val="22"/>
          <w:szCs w:val="22"/>
        </w:rPr>
        <w:t xml:space="preserve">(2) </w:t>
      </w:r>
      <w:r w:rsidRPr="00DB776B">
        <w:rPr>
          <w:rFonts w:ascii="Times New Roman" w:hAnsi="Times New Roman" w:cs="Times New Roman"/>
          <w:sz w:val="22"/>
          <w:szCs w:val="22"/>
        </w:rPr>
        <w:tab/>
      </w:r>
      <w:proofErr w:type="spellStart"/>
      <w:r w:rsidRPr="00DB776B">
        <w:rPr>
          <w:rFonts w:ascii="Times New Roman" w:hAnsi="Times New Roman" w:cs="Times New Roman"/>
          <w:sz w:val="22"/>
          <w:szCs w:val="22"/>
        </w:rPr>
        <w:t>Clayden</w:t>
      </w:r>
      <w:proofErr w:type="spellEnd"/>
      <w:r w:rsidRPr="00DB776B">
        <w:rPr>
          <w:rFonts w:ascii="Times New Roman" w:hAnsi="Times New Roman" w:cs="Times New Roman"/>
          <w:sz w:val="22"/>
          <w:szCs w:val="22"/>
        </w:rPr>
        <w:t xml:space="preserve">, J.; </w:t>
      </w:r>
      <w:proofErr w:type="spellStart"/>
      <w:r w:rsidRPr="00DB776B">
        <w:rPr>
          <w:rFonts w:ascii="Times New Roman" w:hAnsi="Times New Roman" w:cs="Times New Roman"/>
          <w:sz w:val="22"/>
          <w:szCs w:val="22"/>
        </w:rPr>
        <w:t>Greeves</w:t>
      </w:r>
      <w:proofErr w:type="spellEnd"/>
      <w:r w:rsidRPr="00DB776B">
        <w:rPr>
          <w:rFonts w:ascii="Times New Roman" w:hAnsi="Times New Roman" w:cs="Times New Roman"/>
          <w:sz w:val="22"/>
          <w:szCs w:val="22"/>
        </w:rPr>
        <w:t xml:space="preserve">, N.; Warren, S. G. </w:t>
      </w:r>
      <w:proofErr w:type="spellStart"/>
      <w:r w:rsidRPr="00DB776B">
        <w:rPr>
          <w:rFonts w:ascii="Times New Roman" w:hAnsi="Times New Roman" w:cs="Times New Roman"/>
          <w:i/>
          <w:iCs/>
          <w:sz w:val="22"/>
          <w:szCs w:val="22"/>
        </w:rPr>
        <w:t>Organic</w:t>
      </w:r>
      <w:proofErr w:type="spellEnd"/>
      <w:r w:rsidRPr="00DB776B">
        <w:rPr>
          <w:rFonts w:ascii="Times New Roman" w:hAnsi="Times New Roman" w:cs="Times New Roman"/>
          <w:i/>
          <w:iCs/>
          <w:sz w:val="22"/>
          <w:szCs w:val="22"/>
        </w:rPr>
        <w:t xml:space="preserve"> </w:t>
      </w:r>
      <w:proofErr w:type="spellStart"/>
      <w:r w:rsidRPr="00DB776B">
        <w:rPr>
          <w:rFonts w:ascii="Times New Roman" w:hAnsi="Times New Roman" w:cs="Times New Roman"/>
          <w:i/>
          <w:iCs/>
          <w:sz w:val="22"/>
          <w:szCs w:val="22"/>
        </w:rPr>
        <w:t>chemistry</w:t>
      </w:r>
      <w:proofErr w:type="spellEnd"/>
      <w:r w:rsidRPr="00DB776B">
        <w:rPr>
          <w:rFonts w:ascii="Times New Roman" w:hAnsi="Times New Roman" w:cs="Times New Roman"/>
          <w:sz w:val="22"/>
          <w:szCs w:val="22"/>
        </w:rPr>
        <w:t xml:space="preserve">, 2nd ed.; Oxford </w:t>
      </w:r>
      <w:proofErr w:type="spellStart"/>
      <w:r w:rsidRPr="00DB776B">
        <w:rPr>
          <w:rFonts w:ascii="Times New Roman" w:hAnsi="Times New Roman" w:cs="Times New Roman"/>
          <w:sz w:val="22"/>
          <w:szCs w:val="22"/>
        </w:rPr>
        <w:t>University</w:t>
      </w:r>
      <w:proofErr w:type="spellEnd"/>
      <w:r w:rsidRPr="00DB776B">
        <w:rPr>
          <w:rFonts w:ascii="Times New Roman" w:hAnsi="Times New Roman" w:cs="Times New Roman"/>
          <w:sz w:val="22"/>
          <w:szCs w:val="22"/>
        </w:rPr>
        <w:t xml:space="preserve"> </w:t>
      </w:r>
      <w:proofErr w:type="spellStart"/>
      <w:r w:rsidRPr="00DB776B">
        <w:rPr>
          <w:rFonts w:ascii="Times New Roman" w:hAnsi="Times New Roman" w:cs="Times New Roman"/>
          <w:sz w:val="22"/>
          <w:szCs w:val="22"/>
        </w:rPr>
        <w:t>Press</w:t>
      </w:r>
      <w:proofErr w:type="spellEnd"/>
      <w:r w:rsidRPr="00DB776B">
        <w:rPr>
          <w:rFonts w:ascii="Times New Roman" w:hAnsi="Times New Roman" w:cs="Times New Roman"/>
          <w:sz w:val="22"/>
          <w:szCs w:val="22"/>
        </w:rPr>
        <w:t xml:space="preserve">: </w:t>
      </w:r>
      <w:proofErr w:type="gramStart"/>
      <w:r w:rsidRPr="00DB776B">
        <w:rPr>
          <w:rFonts w:ascii="Times New Roman" w:hAnsi="Times New Roman" w:cs="Times New Roman"/>
          <w:sz w:val="22"/>
          <w:szCs w:val="22"/>
        </w:rPr>
        <w:t>Oxford ;</w:t>
      </w:r>
      <w:proofErr w:type="gramEnd"/>
      <w:r w:rsidRPr="00DB776B">
        <w:rPr>
          <w:rFonts w:ascii="Times New Roman" w:hAnsi="Times New Roman" w:cs="Times New Roman"/>
          <w:sz w:val="22"/>
          <w:szCs w:val="22"/>
        </w:rPr>
        <w:t xml:space="preserve"> New </w:t>
      </w:r>
      <w:proofErr w:type="spellStart"/>
      <w:r w:rsidRPr="00DB776B">
        <w:rPr>
          <w:rFonts w:ascii="Times New Roman" w:hAnsi="Times New Roman" w:cs="Times New Roman"/>
          <w:sz w:val="22"/>
          <w:szCs w:val="22"/>
        </w:rPr>
        <w:t>YorK</w:t>
      </w:r>
      <w:proofErr w:type="spellEnd"/>
      <w:r w:rsidRPr="00DB776B">
        <w:rPr>
          <w:rFonts w:ascii="Times New Roman" w:hAnsi="Times New Roman" w:cs="Times New Roman"/>
          <w:sz w:val="22"/>
          <w:szCs w:val="22"/>
        </w:rPr>
        <w:t>, 2012.</w:t>
      </w:r>
    </w:p>
    <w:p w14:paraId="1A63F614" w14:textId="40B7740A" w:rsidR="00DB776B" w:rsidRPr="00DB776B" w:rsidRDefault="00DB776B" w:rsidP="00DB776B">
      <w:pPr>
        <w:spacing w:after="180"/>
        <w:ind w:left="450" w:hanging="450"/>
        <w:rPr>
          <w:rFonts w:ascii="Times New Roman" w:eastAsia="Times New Roman" w:hAnsi="Times New Roman" w:cs="Times New Roman"/>
          <w:color w:val="000000"/>
          <w:sz w:val="22"/>
          <w:szCs w:val="22"/>
          <w:lang w:val="es-CO" w:eastAsia="es-CO"/>
        </w:rPr>
      </w:pPr>
      <w:r w:rsidRPr="00DB776B">
        <w:rPr>
          <w:rFonts w:ascii="Times New Roman" w:eastAsia="Times New Roman" w:hAnsi="Times New Roman" w:cs="Times New Roman"/>
          <w:color w:val="000000"/>
          <w:sz w:val="27"/>
          <w:szCs w:val="27"/>
          <w:lang w:val="es-CO" w:eastAsia="es-CO"/>
        </w:rPr>
        <w:t xml:space="preserve"> </w:t>
      </w:r>
      <w:r w:rsidRPr="00DB776B">
        <w:rPr>
          <w:rFonts w:ascii="Times New Roman" w:eastAsia="Times New Roman" w:hAnsi="Times New Roman" w:cs="Times New Roman"/>
          <w:color w:val="000000"/>
          <w:sz w:val="22"/>
          <w:szCs w:val="22"/>
          <w:lang w:val="es-CO" w:eastAsia="es-CO"/>
        </w:rPr>
        <w:t xml:space="preserve">(3) </w:t>
      </w:r>
      <w:proofErr w:type="spellStart"/>
      <w:r w:rsidRPr="00DB776B">
        <w:rPr>
          <w:rFonts w:ascii="Times New Roman" w:eastAsia="Times New Roman" w:hAnsi="Times New Roman" w:cs="Times New Roman"/>
          <w:color w:val="000000"/>
          <w:sz w:val="22"/>
          <w:szCs w:val="22"/>
          <w:lang w:val="es-CO" w:eastAsia="es-CO"/>
        </w:rPr>
        <w:t>Silverstein</w:t>
      </w:r>
      <w:proofErr w:type="spellEnd"/>
      <w:r w:rsidRPr="00DB776B">
        <w:rPr>
          <w:rFonts w:ascii="Times New Roman" w:eastAsia="Times New Roman" w:hAnsi="Times New Roman" w:cs="Times New Roman"/>
          <w:color w:val="000000"/>
          <w:sz w:val="22"/>
          <w:szCs w:val="22"/>
          <w:lang w:val="es-CO" w:eastAsia="es-CO"/>
        </w:rPr>
        <w:t xml:space="preserve">, R.; Webster, F.; </w:t>
      </w:r>
      <w:proofErr w:type="spellStart"/>
      <w:r w:rsidRPr="00DB776B">
        <w:rPr>
          <w:rFonts w:ascii="Times New Roman" w:eastAsia="Times New Roman" w:hAnsi="Times New Roman" w:cs="Times New Roman"/>
          <w:color w:val="000000"/>
          <w:sz w:val="22"/>
          <w:szCs w:val="22"/>
          <w:lang w:val="es-CO" w:eastAsia="es-CO"/>
        </w:rPr>
        <w:t>Kiemle</w:t>
      </w:r>
      <w:proofErr w:type="spellEnd"/>
      <w:r w:rsidRPr="00DB776B">
        <w:rPr>
          <w:rFonts w:ascii="Times New Roman" w:eastAsia="Times New Roman" w:hAnsi="Times New Roman" w:cs="Times New Roman"/>
          <w:color w:val="000000"/>
          <w:sz w:val="22"/>
          <w:szCs w:val="22"/>
          <w:lang w:val="es-CO" w:eastAsia="es-CO"/>
        </w:rPr>
        <w:t>, D.; Bryce, D. </w:t>
      </w:r>
      <w:proofErr w:type="spellStart"/>
      <w:r w:rsidRPr="00DB776B">
        <w:rPr>
          <w:rFonts w:ascii="Times New Roman" w:eastAsia="Times New Roman" w:hAnsi="Times New Roman" w:cs="Times New Roman"/>
          <w:i/>
          <w:iCs/>
          <w:color w:val="000000"/>
          <w:sz w:val="22"/>
          <w:szCs w:val="22"/>
          <w:lang w:val="es-CO" w:eastAsia="es-CO"/>
        </w:rPr>
        <w:t>Spectrometric</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identification</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of</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organic</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compounds</w:t>
      </w:r>
      <w:proofErr w:type="spellEnd"/>
      <w:r w:rsidRPr="00DB776B">
        <w:rPr>
          <w:rFonts w:ascii="Times New Roman" w:eastAsia="Times New Roman" w:hAnsi="Times New Roman" w:cs="Times New Roman"/>
          <w:color w:val="000000"/>
          <w:sz w:val="22"/>
          <w:szCs w:val="22"/>
          <w:lang w:val="es-CO" w:eastAsia="es-CO"/>
        </w:rPr>
        <w:t>.</w:t>
      </w:r>
    </w:p>
    <w:p w14:paraId="07E4129E" w14:textId="02581213" w:rsidR="00DB776B" w:rsidRPr="00DB776B" w:rsidRDefault="00DB776B" w:rsidP="00DB776B">
      <w:pPr>
        <w:spacing w:after="180"/>
        <w:ind w:left="450" w:hanging="450"/>
        <w:rPr>
          <w:rFonts w:ascii="Times New Roman" w:eastAsia="Times New Roman" w:hAnsi="Times New Roman" w:cs="Times New Roman"/>
          <w:color w:val="000000"/>
          <w:sz w:val="22"/>
          <w:szCs w:val="22"/>
          <w:lang w:val="es-CO" w:eastAsia="es-CO"/>
        </w:rPr>
      </w:pPr>
      <w:r w:rsidRPr="00DB776B">
        <w:rPr>
          <w:rFonts w:ascii="Times New Roman" w:eastAsia="Times New Roman" w:hAnsi="Times New Roman" w:cs="Times New Roman"/>
          <w:color w:val="000000"/>
          <w:sz w:val="22"/>
          <w:szCs w:val="22"/>
          <w:lang w:val="es-CO" w:eastAsia="es-CO"/>
        </w:rPr>
        <w:lastRenderedPageBreak/>
        <w:t>(4) Warren, S. </w:t>
      </w:r>
      <w:proofErr w:type="spellStart"/>
      <w:r w:rsidRPr="00DB776B">
        <w:rPr>
          <w:rFonts w:ascii="Times New Roman" w:eastAsia="Times New Roman" w:hAnsi="Times New Roman" w:cs="Times New Roman"/>
          <w:i/>
          <w:iCs/>
          <w:color w:val="000000"/>
          <w:sz w:val="22"/>
          <w:szCs w:val="22"/>
          <w:lang w:val="es-CO" w:eastAsia="es-CO"/>
        </w:rPr>
        <w:t>Organic</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synthesis</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the</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disconnection</w:t>
      </w:r>
      <w:proofErr w:type="spellEnd"/>
      <w:r w:rsidRPr="00DB776B">
        <w:rPr>
          <w:rFonts w:ascii="Times New Roman" w:eastAsia="Times New Roman" w:hAnsi="Times New Roman" w:cs="Times New Roman"/>
          <w:i/>
          <w:iCs/>
          <w:color w:val="000000"/>
          <w:sz w:val="22"/>
          <w:szCs w:val="22"/>
          <w:lang w:val="es-CO" w:eastAsia="es-CO"/>
        </w:rPr>
        <w:t xml:space="preserve"> </w:t>
      </w:r>
      <w:proofErr w:type="spellStart"/>
      <w:r w:rsidRPr="00DB776B">
        <w:rPr>
          <w:rFonts w:ascii="Times New Roman" w:eastAsia="Times New Roman" w:hAnsi="Times New Roman" w:cs="Times New Roman"/>
          <w:i/>
          <w:iCs/>
          <w:color w:val="000000"/>
          <w:sz w:val="22"/>
          <w:szCs w:val="22"/>
          <w:lang w:val="es-CO" w:eastAsia="es-CO"/>
        </w:rPr>
        <w:t>approach</w:t>
      </w:r>
      <w:proofErr w:type="spellEnd"/>
      <w:r w:rsidRPr="00DB776B">
        <w:rPr>
          <w:rFonts w:ascii="Times New Roman" w:eastAsia="Times New Roman" w:hAnsi="Times New Roman" w:cs="Times New Roman"/>
          <w:color w:val="000000"/>
          <w:sz w:val="22"/>
          <w:szCs w:val="22"/>
          <w:lang w:val="es-CO" w:eastAsia="es-CO"/>
        </w:rPr>
        <w:t xml:space="preserve">; Wiley: </w:t>
      </w:r>
      <w:proofErr w:type="spellStart"/>
      <w:r w:rsidRPr="00DB776B">
        <w:rPr>
          <w:rFonts w:ascii="Times New Roman" w:eastAsia="Times New Roman" w:hAnsi="Times New Roman" w:cs="Times New Roman"/>
          <w:color w:val="000000"/>
          <w:sz w:val="22"/>
          <w:szCs w:val="22"/>
          <w:lang w:val="es-CO" w:eastAsia="es-CO"/>
        </w:rPr>
        <w:t>Chichester</w:t>
      </w:r>
      <w:proofErr w:type="spellEnd"/>
      <w:r w:rsidRPr="00DB776B">
        <w:rPr>
          <w:rFonts w:ascii="Times New Roman" w:eastAsia="Times New Roman" w:hAnsi="Times New Roman" w:cs="Times New Roman"/>
          <w:color w:val="000000"/>
          <w:sz w:val="22"/>
          <w:szCs w:val="22"/>
          <w:lang w:val="es-CO" w:eastAsia="es-CO"/>
        </w:rPr>
        <w:t>, 1982.</w:t>
      </w:r>
    </w:p>
    <w:p w14:paraId="13E6282C" w14:textId="77777777" w:rsidR="00DB776B" w:rsidRPr="00DB776B" w:rsidRDefault="00DB776B" w:rsidP="00DB776B">
      <w:pPr>
        <w:rPr>
          <w:sz w:val="22"/>
          <w:szCs w:val="22"/>
        </w:rPr>
      </w:pPr>
    </w:p>
    <w:p w14:paraId="3E6B7B48" w14:textId="2B91E9AC" w:rsidR="00B61B8D" w:rsidRPr="00832F3D" w:rsidRDefault="00230933">
      <w:pPr>
        <w:rPr>
          <w:rFonts w:ascii="Times New Roman" w:hAnsi="Times New Roman" w:cs="Times New Roman"/>
          <w:b/>
          <w:lang w:val="en-US"/>
        </w:rPr>
      </w:pPr>
      <w:r>
        <w:rPr>
          <w:rFonts w:ascii="Times New Roman" w:hAnsi="Times New Roman" w:cs="Times New Roman"/>
          <w:b/>
          <w:lang w:val="en-US"/>
        </w:rPr>
        <w:fldChar w:fldCharType="end"/>
      </w:r>
      <w:r w:rsidR="00B61B8D" w:rsidRPr="00832F3D">
        <w:rPr>
          <w:rFonts w:ascii="Times New Roman" w:hAnsi="Times New Roman" w:cs="Times New Roman"/>
          <w:b/>
          <w:lang w:val="en-US"/>
        </w:rPr>
        <w:br w:type="page"/>
      </w:r>
    </w:p>
    <w:p w14:paraId="562750F4" w14:textId="77777777" w:rsidR="00B61B8D" w:rsidRPr="00832F3D" w:rsidRDefault="00B61B8D" w:rsidP="004F2DF6">
      <w:pPr>
        <w:spacing w:after="120" w:line="276" w:lineRule="auto"/>
        <w:jc w:val="center"/>
        <w:rPr>
          <w:rFonts w:ascii="Times New Roman" w:hAnsi="Times New Roman" w:cs="Times New Roman"/>
          <w:b/>
          <w:lang w:val="en-US"/>
        </w:rPr>
        <w:sectPr w:rsidR="00B61B8D" w:rsidRPr="00832F3D" w:rsidSect="00ED38E2">
          <w:type w:val="continuous"/>
          <w:pgSz w:w="12240" w:h="15840"/>
          <w:pgMar w:top="1417" w:right="1418" w:bottom="1417" w:left="1418" w:header="708" w:footer="708" w:gutter="0"/>
          <w:cols w:num="2" w:space="708"/>
          <w:docGrid w:linePitch="360"/>
        </w:sectPr>
      </w:pPr>
    </w:p>
    <w:p w14:paraId="69941F91" w14:textId="2BF28EC0" w:rsidR="004F2DF6" w:rsidRPr="006B1F0B" w:rsidRDefault="00B61B8D" w:rsidP="006B1F0B">
      <w:pPr>
        <w:spacing w:after="120" w:line="276" w:lineRule="auto"/>
        <w:jc w:val="center"/>
        <w:rPr>
          <w:rFonts w:ascii="Times New Roman" w:hAnsi="Times New Roman" w:cs="Times New Roman"/>
        </w:rPr>
      </w:pPr>
      <w:r>
        <w:rPr>
          <w:rFonts w:ascii="Times New Roman" w:hAnsi="Times New Roman" w:cs="Times New Roman"/>
          <w:b/>
        </w:rPr>
        <w:lastRenderedPageBreak/>
        <w:t>Información suplementaria</w:t>
      </w:r>
      <w:r w:rsidR="002A25BA">
        <w:rPr>
          <w:noProof/>
        </w:rPr>
        <w:drawing>
          <wp:inline distT="0" distB="0" distL="0" distR="0" wp14:anchorId="3A485891" wp14:editId="047A76CA">
            <wp:extent cx="8062987" cy="56931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76043" cy="5702353"/>
                    </a:xfrm>
                    <a:prstGeom prst="rect">
                      <a:avLst/>
                    </a:prstGeom>
                  </pic:spPr>
                </pic:pic>
              </a:graphicData>
            </a:graphic>
          </wp:inline>
        </w:drawing>
      </w:r>
    </w:p>
    <w:p w14:paraId="4AAC8FDE" w14:textId="6B2EFF1D" w:rsidR="004A11A5" w:rsidRPr="004F2DF6" w:rsidRDefault="006B1F0B" w:rsidP="004F2DF6">
      <w:pPr>
        <w:spacing w:after="120" w:line="276" w:lineRule="auto"/>
        <w:jc w:val="center"/>
        <w:rPr>
          <w:rFonts w:ascii="Times New Roman" w:hAnsi="Times New Roman" w:cs="Times New Roman"/>
          <w:b/>
          <w:sz w:val="28"/>
          <w:szCs w:val="28"/>
        </w:rPr>
      </w:pPr>
      <w:r>
        <w:rPr>
          <w:noProof/>
        </w:rPr>
        <w:lastRenderedPageBreak/>
        <w:drawing>
          <wp:inline distT="0" distB="0" distL="0" distR="0" wp14:anchorId="04FDF79F" wp14:editId="058999B5">
            <wp:extent cx="8258810" cy="57981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58810" cy="5798185"/>
                    </a:xfrm>
                    <a:prstGeom prst="rect">
                      <a:avLst/>
                    </a:prstGeom>
                  </pic:spPr>
                </pic:pic>
              </a:graphicData>
            </a:graphic>
          </wp:inline>
        </w:drawing>
      </w:r>
    </w:p>
    <w:sectPr w:rsidR="004A11A5" w:rsidRPr="004F2DF6" w:rsidSect="002A25BA">
      <w:pgSz w:w="15840" w:h="12240" w:orient="landscape"/>
      <w:pgMar w:top="1418"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2CC6"/>
    <w:multiLevelType w:val="hybridMultilevel"/>
    <w:tmpl w:val="065C3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F6"/>
    <w:rsid w:val="000320C8"/>
    <w:rsid w:val="000B0AE8"/>
    <w:rsid w:val="000B2FA3"/>
    <w:rsid w:val="00147506"/>
    <w:rsid w:val="0017616E"/>
    <w:rsid w:val="00195B77"/>
    <w:rsid w:val="001A7914"/>
    <w:rsid w:val="001E07B2"/>
    <w:rsid w:val="00230933"/>
    <w:rsid w:val="002A25BA"/>
    <w:rsid w:val="002B5F9A"/>
    <w:rsid w:val="002C6A54"/>
    <w:rsid w:val="003105F3"/>
    <w:rsid w:val="00392FF7"/>
    <w:rsid w:val="003A364E"/>
    <w:rsid w:val="003A3D23"/>
    <w:rsid w:val="004A11A5"/>
    <w:rsid w:val="004F2DF6"/>
    <w:rsid w:val="005958C6"/>
    <w:rsid w:val="005F4F01"/>
    <w:rsid w:val="006243F5"/>
    <w:rsid w:val="006503B3"/>
    <w:rsid w:val="006714BF"/>
    <w:rsid w:val="006A767E"/>
    <w:rsid w:val="006B1F0B"/>
    <w:rsid w:val="00770A12"/>
    <w:rsid w:val="007902E9"/>
    <w:rsid w:val="007D7225"/>
    <w:rsid w:val="007E3928"/>
    <w:rsid w:val="00832F3D"/>
    <w:rsid w:val="008530E2"/>
    <w:rsid w:val="008748ED"/>
    <w:rsid w:val="008C77C9"/>
    <w:rsid w:val="00923592"/>
    <w:rsid w:val="009609ED"/>
    <w:rsid w:val="009C6051"/>
    <w:rsid w:val="009F6F88"/>
    <w:rsid w:val="00A01487"/>
    <w:rsid w:val="00A525EB"/>
    <w:rsid w:val="00A96932"/>
    <w:rsid w:val="00AF0FAC"/>
    <w:rsid w:val="00B11BFD"/>
    <w:rsid w:val="00B3385E"/>
    <w:rsid w:val="00B61B8D"/>
    <w:rsid w:val="00B62DF8"/>
    <w:rsid w:val="00BC53C4"/>
    <w:rsid w:val="00C91805"/>
    <w:rsid w:val="00CC0311"/>
    <w:rsid w:val="00CE6682"/>
    <w:rsid w:val="00CF17B6"/>
    <w:rsid w:val="00D95B6C"/>
    <w:rsid w:val="00DB2AFA"/>
    <w:rsid w:val="00DB776B"/>
    <w:rsid w:val="00E53CD4"/>
    <w:rsid w:val="00ED38E2"/>
    <w:rsid w:val="00EE3EB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1363DE"/>
  <w14:defaultImageDpi w14:val="300"/>
  <w15:docId w15:val="{3F20CCD7-CEBB-4D7A-8FBD-EAE2EA52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776B"/>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9"/>
    <w:pPr>
      <w:ind w:left="720"/>
      <w:contextualSpacing/>
    </w:pPr>
  </w:style>
  <w:style w:type="paragraph" w:styleId="NormalWeb">
    <w:name w:val="Normal (Web)"/>
    <w:basedOn w:val="Normal"/>
    <w:uiPriority w:val="99"/>
    <w:semiHidden/>
    <w:unhideWhenUsed/>
    <w:rsid w:val="00C91805"/>
    <w:pPr>
      <w:spacing w:before="100" w:beforeAutospacing="1" w:after="100" w:afterAutospacing="1"/>
    </w:pPr>
    <w:rPr>
      <w:rFonts w:ascii="Times New Roman" w:eastAsia="Times New Roman" w:hAnsi="Times New Roman" w:cs="Times New Roman"/>
      <w:lang w:val="es-CO" w:eastAsia="es-CO"/>
    </w:rPr>
  </w:style>
  <w:style w:type="paragraph" w:styleId="Caption">
    <w:name w:val="caption"/>
    <w:basedOn w:val="Normal"/>
    <w:next w:val="Normal"/>
    <w:uiPriority w:val="35"/>
    <w:unhideWhenUsed/>
    <w:qFormat/>
    <w:rsid w:val="007D7225"/>
    <w:pPr>
      <w:spacing w:after="200"/>
    </w:pPr>
    <w:rPr>
      <w:i/>
      <w:iCs/>
      <w:color w:val="1F497D" w:themeColor="text2"/>
      <w:sz w:val="18"/>
      <w:szCs w:val="18"/>
    </w:rPr>
  </w:style>
  <w:style w:type="paragraph" w:styleId="Bibliography">
    <w:name w:val="Bibliography"/>
    <w:basedOn w:val="Normal"/>
    <w:next w:val="Normal"/>
    <w:uiPriority w:val="37"/>
    <w:unhideWhenUsed/>
    <w:rsid w:val="00230933"/>
    <w:pPr>
      <w:tabs>
        <w:tab w:val="left" w:pos="504"/>
      </w:tabs>
      <w:ind w:left="504" w:hanging="504"/>
    </w:pPr>
  </w:style>
  <w:style w:type="character" w:customStyle="1" w:styleId="Heading2Char">
    <w:name w:val="Heading 2 Char"/>
    <w:basedOn w:val="DefaultParagraphFont"/>
    <w:link w:val="Heading2"/>
    <w:uiPriority w:val="9"/>
    <w:rsid w:val="00DB776B"/>
    <w:rPr>
      <w:rFonts w:ascii="Times New Roman" w:eastAsia="Times New Roman" w:hAnsi="Times New Roman" w:cs="Times New Roman"/>
      <w:b/>
      <w:bCs/>
      <w:sz w:val="36"/>
      <w:szCs w:val="3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7602">
      <w:bodyDiv w:val="1"/>
      <w:marLeft w:val="0"/>
      <w:marRight w:val="0"/>
      <w:marTop w:val="0"/>
      <w:marBottom w:val="0"/>
      <w:divBdr>
        <w:top w:val="none" w:sz="0" w:space="0" w:color="auto"/>
        <w:left w:val="none" w:sz="0" w:space="0" w:color="auto"/>
        <w:bottom w:val="none" w:sz="0" w:space="0" w:color="auto"/>
        <w:right w:val="none" w:sz="0" w:space="0" w:color="auto"/>
      </w:divBdr>
    </w:div>
    <w:div w:id="1140342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0FC2-F120-428D-86F4-8BEC39E5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1976</Words>
  <Characters>10868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los Andes</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Camilo Estupinan Mendez</dc:creator>
  <cp:lastModifiedBy>Andres Martinez Afanador</cp:lastModifiedBy>
  <cp:revision>4</cp:revision>
  <dcterms:created xsi:type="dcterms:W3CDTF">2017-10-13T16:44:00Z</dcterms:created>
  <dcterms:modified xsi:type="dcterms:W3CDTF">2017-10-14T15:20:00Z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id="fw9gdXz7"/&gt;&lt;style id="http://www.zotero.org/styles/american-chemical-society"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