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Using a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Figure out how to send the list of open ports you get from nmap 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Password sniffing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Download psnuffle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Run it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Feed psnuffle a pcap file to search for passwords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SMB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determine what named pipes are available over SMB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will running the scanner without credentials return a great deal of information? Why/why not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use the pipe_dcerpc_auditor scanner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scan the VM and determine if it supports </w:t>
      </w:r>
      <w:r w:rsidDel="00000000" w:rsidR="00000000" w:rsidRPr="00000000">
        <w:rPr>
          <w:rFonts w:ascii="Ubuntu" w:cs="Ubuntu" w:eastAsia="Ubuntu" w:hAnsi="Ubuntu"/>
          <w:b w:val="0"/>
          <w:i w:val="1"/>
          <w:sz w:val="24"/>
          <w:szCs w:val="24"/>
          <w:highlight w:val="white"/>
          <w:rtl w:val="0"/>
        </w:rPr>
        <w:t xml:space="preserve">SMB2</w:t>
      </w: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 protocol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list any SMB shares that are available the VM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ust the smb_login module to attempt to login to SMB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determine what local users exist the system using smb_lookupsid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determines the version of the SMB service that is running using smb_version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Idle Scanning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use scanner/ip/ipidseq to determine which hosts are idle on the network (if there are none, create another account on the metasploitable2 VM, idle, and try again)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scan the idle VM and determine why scanning an idle machine is the most effective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dcerpc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determine what services are available on the VM using the endpoint_mapper module in metasploit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find RPC services that aren’t in Endpoint Mapper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scan a range of IP addresses and obtain info from the Remote Management interface of the DCERPC service using the dcerpc/management module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60" w:before="0" w:line="259" w:lineRule="auto"/>
        <w:ind w:left="720" w:hanging="360"/>
        <w:contextualSpacing w:val="1"/>
        <w:rPr>
          <w:rFonts w:ascii="Ubuntu" w:cs="Ubuntu" w:eastAsia="Ubuntu" w:hAnsi="Ubuntu"/>
          <w:b w:val="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highlight w:val="white"/>
          <w:rtl w:val="0"/>
        </w:rPr>
        <w:t xml:space="preserve">find out what DCERPC services you can use on a TCP port using the dcerpc/tcp_dcerpc_auditor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u w:val="single"/>
          <w:rtl w:val="0"/>
        </w:rPr>
        <w:t xml:space="preserve">[optional]SNMP (you will need vyatta to simulate a router that you can launch an SNMP attack 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Ubuntu" w:cs="Ubuntu" w:eastAsia="Ubuntu" w:hAnsi="Ubuntu"/>
          <w:sz w:val="24"/>
          <w:szCs w:val="24"/>
          <w:highlight w:val="white"/>
        </w:rPr>
      </w:pPr>
      <w:bookmarkStart w:colFirst="0" w:colLast="0" w:name="h.gjdgxs" w:id="0"/>
      <w:bookmarkEnd w:id="0"/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search SNMP, bringing up the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MIB (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Management Information Base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) API.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From there, run snmp_enum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Ubuntu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