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90A9B" w14:textId="628A7468" w:rsidR="00CC4030" w:rsidRPr="002A0528" w:rsidRDefault="00CC4030" w:rsidP="005C530C">
      <w:pPr>
        <w:spacing w:line="276" w:lineRule="auto"/>
        <w:jc w:val="both"/>
        <w:rPr>
          <w:rFonts w:cstheme="minorHAnsi"/>
          <w:b/>
          <w:color w:val="111111"/>
          <w:sz w:val="32"/>
          <w:szCs w:val="38"/>
          <w:shd w:val="clear" w:color="auto" w:fill="FFFFFF"/>
        </w:rPr>
      </w:pPr>
      <w:r w:rsidRPr="002A0528">
        <w:rPr>
          <w:rFonts w:cstheme="minorHAnsi"/>
          <w:b/>
          <w:color w:val="111111"/>
          <w:sz w:val="32"/>
          <w:szCs w:val="38"/>
          <w:shd w:val="clear" w:color="auto" w:fill="FFFFFF"/>
        </w:rPr>
        <w:t>Evaluation of machine learning approaches for building models to select quality candidate molecules in drug discovery</w:t>
      </w:r>
      <w:r w:rsidR="002A0528">
        <w:rPr>
          <w:rFonts w:cstheme="minorHAnsi"/>
          <w:b/>
          <w:color w:val="111111"/>
          <w:sz w:val="32"/>
          <w:szCs w:val="38"/>
          <w:shd w:val="clear" w:color="auto" w:fill="FFFFFF"/>
        </w:rPr>
        <w:t>.</w:t>
      </w:r>
    </w:p>
    <w:p w14:paraId="59F0C5A1" w14:textId="1C96DC34" w:rsidR="00DF058C" w:rsidRPr="002A0528" w:rsidRDefault="00DF058C" w:rsidP="005C530C">
      <w:pPr>
        <w:spacing w:after="0" w:line="276" w:lineRule="auto"/>
        <w:jc w:val="both"/>
        <w:rPr>
          <w:rFonts w:cstheme="minorHAnsi"/>
          <w:color w:val="111111"/>
          <w:sz w:val="28"/>
          <w:szCs w:val="20"/>
          <w:shd w:val="clear" w:color="auto" w:fill="FFFFFF"/>
        </w:rPr>
      </w:pPr>
      <w:r w:rsidRPr="002A0528">
        <w:rPr>
          <w:rFonts w:cstheme="minorHAnsi"/>
          <w:color w:val="111111"/>
          <w:sz w:val="28"/>
          <w:szCs w:val="20"/>
          <w:shd w:val="clear" w:color="auto" w:fill="FFFFFF"/>
        </w:rPr>
        <w:t xml:space="preserve">Joseph </w:t>
      </w:r>
      <w:r w:rsidR="002A0528" w:rsidRPr="002A0528">
        <w:rPr>
          <w:rFonts w:cstheme="minorHAnsi"/>
          <w:color w:val="111111"/>
          <w:sz w:val="28"/>
          <w:szCs w:val="20"/>
          <w:shd w:val="clear" w:color="auto" w:fill="FFFFFF"/>
        </w:rPr>
        <w:t xml:space="preserve">T. </w:t>
      </w:r>
      <w:r w:rsidRPr="002A0528">
        <w:rPr>
          <w:rFonts w:cstheme="minorHAnsi"/>
          <w:color w:val="111111"/>
          <w:sz w:val="28"/>
          <w:szCs w:val="20"/>
          <w:shd w:val="clear" w:color="auto" w:fill="FFFFFF"/>
        </w:rPr>
        <w:t>Scavetta</w:t>
      </w:r>
    </w:p>
    <w:p w14:paraId="09EB5817" w14:textId="2C23E194" w:rsidR="00FE6431" w:rsidRPr="00FE6431" w:rsidRDefault="00FE6431" w:rsidP="00D1118C">
      <w:pPr>
        <w:spacing w:line="276" w:lineRule="auto"/>
        <w:jc w:val="both"/>
        <w:rPr>
          <w:rFonts w:cstheme="minorHAnsi"/>
          <w:color w:val="111111"/>
          <w:sz w:val="20"/>
          <w:szCs w:val="20"/>
          <w:shd w:val="clear" w:color="auto" w:fill="FFFFFF"/>
        </w:rPr>
      </w:pPr>
      <w:r w:rsidRPr="00FE6431">
        <w:rPr>
          <w:rFonts w:cstheme="minorHAnsi"/>
          <w:color w:val="111111"/>
          <w:sz w:val="20"/>
          <w:szCs w:val="20"/>
          <w:shd w:val="clear" w:color="auto" w:fill="FFFFFF"/>
        </w:rPr>
        <w:t>Department of Computer Science, Rowan University, Glassboro, NJ, 08028, USA.</w:t>
      </w:r>
    </w:p>
    <w:p w14:paraId="05813870" w14:textId="77777777" w:rsidR="00AB064A" w:rsidRPr="00734506" w:rsidRDefault="00AB064A" w:rsidP="005C530C">
      <w:pPr>
        <w:pBdr>
          <w:bottom w:val="single" w:sz="12" w:space="1" w:color="auto"/>
        </w:pBdr>
        <w:spacing w:after="0" w:line="276" w:lineRule="auto"/>
        <w:ind w:left="-720" w:right="-720"/>
        <w:jc w:val="both"/>
        <w:rPr>
          <w:rFonts w:cstheme="minorHAnsi"/>
          <w:color w:val="111111"/>
          <w:sz w:val="2"/>
          <w:szCs w:val="20"/>
          <w:shd w:val="clear" w:color="auto" w:fill="FFFFFF"/>
        </w:rPr>
      </w:pPr>
    </w:p>
    <w:p w14:paraId="1BA9A205" w14:textId="0FFB7551" w:rsidR="004315F2" w:rsidRPr="00291427" w:rsidRDefault="004315F2" w:rsidP="005C530C">
      <w:pPr>
        <w:pBdr>
          <w:bottom w:val="single" w:sz="12" w:space="1" w:color="auto"/>
        </w:pBdr>
        <w:spacing w:line="276" w:lineRule="auto"/>
        <w:ind w:left="-720" w:right="-720"/>
        <w:rPr>
          <w:sz w:val="18"/>
          <w:szCs w:val="18"/>
        </w:rPr>
        <w:sectPr w:rsidR="004315F2" w:rsidRPr="00291427" w:rsidSect="005C530C">
          <w:footerReference w:type="default" r:id="rId8"/>
          <w:pgSz w:w="12240" w:h="15840"/>
          <w:pgMar w:top="720" w:right="720" w:bottom="720" w:left="720" w:header="720" w:footer="720" w:gutter="0"/>
          <w:cols w:space="720"/>
          <w:docGrid w:linePitch="360"/>
        </w:sectPr>
      </w:pPr>
    </w:p>
    <w:p w14:paraId="41449BB6" w14:textId="77777777" w:rsidR="00322140" w:rsidRDefault="00322140" w:rsidP="005C530C">
      <w:pPr>
        <w:pStyle w:val="Heading1"/>
        <w:spacing w:before="240" w:after="0" w:line="276" w:lineRule="auto"/>
        <w:ind w:left="2160" w:right="2160"/>
        <w:jc w:val="center"/>
      </w:pPr>
      <w:bookmarkStart w:id="0" w:name="_Toc3324062"/>
      <w:bookmarkStart w:id="1" w:name="_Toc3331970"/>
      <w:bookmarkStart w:id="2" w:name="_Toc3332136"/>
      <w:bookmarkStart w:id="3" w:name="_Toc4963416"/>
      <w:bookmarkStart w:id="4" w:name="_Toc5023347"/>
      <w:bookmarkStart w:id="5" w:name="_Toc6143125"/>
      <w:r>
        <w:t>Abstract</w:t>
      </w:r>
      <w:bookmarkEnd w:id="0"/>
      <w:bookmarkEnd w:id="1"/>
      <w:bookmarkEnd w:id="2"/>
      <w:bookmarkEnd w:id="3"/>
      <w:bookmarkEnd w:id="4"/>
      <w:bookmarkEnd w:id="5"/>
    </w:p>
    <w:p w14:paraId="5E6A668F" w14:textId="393901C0" w:rsidR="007531ED" w:rsidRDefault="008D41CB" w:rsidP="005C530C">
      <w:pPr>
        <w:spacing w:line="276" w:lineRule="auto"/>
        <w:ind w:left="1440" w:right="1440"/>
        <w:jc w:val="both"/>
      </w:pPr>
      <w:r w:rsidRPr="008D41CB">
        <w:t>Drug</w:t>
      </w:r>
      <w:r>
        <w:t xml:space="preserve"> </w:t>
      </w:r>
      <w:r w:rsidRPr="008D41CB">
        <w:t xml:space="preserve">discovery </w:t>
      </w:r>
      <w:r w:rsidR="009E3394">
        <w:t>can become a</w:t>
      </w:r>
      <w:r w:rsidR="009A3AA7" w:rsidRPr="009A3AA7">
        <w:t xml:space="preserve"> time-consuming and expensive</w:t>
      </w:r>
      <w:r w:rsidR="009E3394">
        <w:t xml:space="preserve"> process</w:t>
      </w:r>
      <w:r w:rsidR="009A3AA7" w:rsidRPr="009A3AA7">
        <w:t>, with average development time exceeding a decade.</w:t>
      </w:r>
      <w:r w:rsidR="00910CF6">
        <w:t xml:space="preserve"> Many methods have been developed to </w:t>
      </w:r>
      <w:proofErr w:type="gramStart"/>
      <w:r w:rsidR="00910CF6">
        <w:t>optimize</w:t>
      </w:r>
      <w:proofErr w:type="gramEnd"/>
      <w:r w:rsidR="00910CF6">
        <w:t xml:space="preserve"> drug</w:t>
      </w:r>
      <w:r w:rsidR="004A06A1">
        <w:t xml:space="preserve"> candidate selection, such as rule-based methods </w:t>
      </w:r>
      <w:r w:rsidR="00E5230C">
        <w:t>for</w:t>
      </w:r>
      <w:r w:rsidR="004A06A1">
        <w:t xml:space="preserve"> selecting compounds with values </w:t>
      </w:r>
      <w:r w:rsidR="00315819">
        <w:t xml:space="preserve">within </w:t>
      </w:r>
      <w:r w:rsidR="004A06A1">
        <w:t>set bounds</w:t>
      </w:r>
      <w:r w:rsidR="00977CF8">
        <w:t xml:space="preserve"> on select properties</w:t>
      </w:r>
      <w:r w:rsidR="00E5230C">
        <w:t>.</w:t>
      </w:r>
      <w:r w:rsidR="00977CF8">
        <w:t xml:space="preserve"> Machine learning techniques have also been employed in </w:t>
      </w:r>
      <w:r w:rsidR="004E6B05">
        <w:t xml:space="preserve">drug discovery, from </w:t>
      </w:r>
      <w:r w:rsidR="006022D4">
        <w:t>predicting</w:t>
      </w:r>
      <w:r w:rsidR="004E6B05">
        <w:t xml:space="preserve"> the values of drug properties, to classifying </w:t>
      </w:r>
      <w:r w:rsidR="006022D4">
        <w:t>a compound as a drug or as not a drug.</w:t>
      </w:r>
      <w:r w:rsidR="00B87883">
        <w:t xml:space="preserve"> In this study, multiple machine learning methods </w:t>
      </w:r>
      <w:proofErr w:type="gramStart"/>
      <w:r w:rsidR="00B87883">
        <w:t>are evaluated</w:t>
      </w:r>
      <w:proofErr w:type="gramEnd"/>
      <w:r w:rsidR="00A5579F">
        <w:t xml:space="preserve"> on their ability to classify approved drugs from non-approved drugs using physiochemical properties available on the public ChEMBL database.</w:t>
      </w:r>
      <w:r w:rsidR="00625582">
        <w:t xml:space="preserve"> Further, these approaches </w:t>
      </w:r>
      <w:proofErr w:type="gramStart"/>
      <w:r w:rsidR="00625582">
        <w:t>are evaluat</w:t>
      </w:r>
      <w:r w:rsidR="00F859EF">
        <w:t>ed</w:t>
      </w:r>
      <w:proofErr w:type="gramEnd"/>
      <w:r w:rsidR="00625582">
        <w:t xml:space="preserve"> on their ability to classify approved drugs still on the market from</w:t>
      </w:r>
      <w:r w:rsidR="00EB67A7">
        <w:t xml:space="preserve"> drugs that have been</w:t>
      </w:r>
      <w:r w:rsidR="00625582">
        <w:t xml:space="preserve"> withdrawn</w:t>
      </w:r>
      <w:r w:rsidR="00EB67A7">
        <w:t>.</w:t>
      </w:r>
      <w:r w:rsidR="00475944">
        <w:t xml:space="preserve"> </w:t>
      </w:r>
      <w:r w:rsidR="006E3B73">
        <w:t xml:space="preserve">The approaches evaluated and compared </w:t>
      </w:r>
      <w:r w:rsidR="00475944">
        <w:t>i</w:t>
      </w:r>
      <w:r w:rsidR="00475944" w:rsidRPr="00475944">
        <w:t>nclude logistic regression, random forest, support vector machine, and neural network</w:t>
      </w:r>
      <w:r w:rsidR="00475944">
        <w:t xml:space="preserve">. </w:t>
      </w:r>
      <w:r w:rsidR="009E28F0">
        <w:t xml:space="preserve">Drug-like properties, from those available in the ChEMBL database, are </w:t>
      </w:r>
      <w:r w:rsidR="007B6DE6">
        <w:t xml:space="preserve">also evaluated </w:t>
      </w:r>
      <w:r w:rsidR="0018346D">
        <w:t xml:space="preserve">to </w:t>
      </w:r>
      <w:proofErr w:type="gramStart"/>
      <w:r w:rsidR="0018346D">
        <w:t>determine</w:t>
      </w:r>
      <w:proofErr w:type="gramEnd"/>
      <w:r w:rsidR="0018346D">
        <w:t xml:space="preserve"> which are most important in explaining drug variance.</w:t>
      </w:r>
    </w:p>
    <w:p w14:paraId="5B05067A" w14:textId="3CD06550" w:rsidR="009448B3" w:rsidRPr="00D77E7D" w:rsidRDefault="009448B3" w:rsidP="005C530C">
      <w:pPr>
        <w:pBdr>
          <w:bottom w:val="single" w:sz="12" w:space="1" w:color="auto"/>
        </w:pBdr>
        <w:spacing w:after="0" w:line="276" w:lineRule="auto"/>
        <w:ind w:left="-720" w:right="-720"/>
        <w:jc w:val="both"/>
        <w:rPr>
          <w:sz w:val="2"/>
        </w:rPr>
      </w:pPr>
    </w:p>
    <w:sdt>
      <w:sdtPr>
        <w:rPr>
          <w:rFonts w:cstheme="minorHAnsi"/>
          <w:b/>
        </w:rPr>
        <w:id w:val="-1295910256"/>
        <w:docPartObj>
          <w:docPartGallery w:val="Table of Contents"/>
          <w:docPartUnique/>
        </w:docPartObj>
      </w:sdtPr>
      <w:sdtEndPr>
        <w:rPr>
          <w:rFonts w:cstheme="minorBidi"/>
          <w:b w:val="0"/>
          <w:noProof/>
        </w:rPr>
      </w:sdtEndPr>
      <w:sdtContent>
        <w:p w14:paraId="57393523" w14:textId="71E55426" w:rsidR="00600639" w:rsidRDefault="00D77E7D" w:rsidP="00E92BA0">
          <w:pPr>
            <w:pStyle w:val="TOC1"/>
            <w:rPr>
              <w:rFonts w:eastAsiaTheme="minorEastAsia"/>
              <w:noProof/>
            </w:rPr>
          </w:pPr>
          <w:r w:rsidRPr="005C530C">
            <w:rPr>
              <w:b/>
              <w:bCs/>
              <w:noProof/>
              <w:sz w:val="14"/>
              <w:szCs w:val="18"/>
            </w:rPr>
            <w:fldChar w:fldCharType="begin"/>
          </w:r>
          <w:r w:rsidRPr="005C530C">
            <w:rPr>
              <w:b/>
              <w:bCs/>
              <w:noProof/>
              <w:sz w:val="14"/>
              <w:szCs w:val="18"/>
            </w:rPr>
            <w:instrText xml:space="preserve"> TOC \o "1-3" \h \z \u </w:instrText>
          </w:r>
          <w:r w:rsidRPr="005C530C">
            <w:rPr>
              <w:b/>
              <w:bCs/>
              <w:noProof/>
              <w:sz w:val="14"/>
              <w:szCs w:val="18"/>
            </w:rPr>
            <w:fldChar w:fldCharType="separate"/>
          </w:r>
          <w:hyperlink w:anchor="_Toc6143126" w:history="1">
            <w:r w:rsidR="00600639" w:rsidRPr="005F1CC1">
              <w:rPr>
                <w:rStyle w:val="Hyperlink"/>
                <w:noProof/>
              </w:rPr>
              <w:t>Introduction</w:t>
            </w:r>
            <w:r w:rsidR="00600639">
              <w:rPr>
                <w:noProof/>
                <w:webHidden/>
              </w:rPr>
              <w:tab/>
            </w:r>
            <w:r w:rsidR="00600639">
              <w:rPr>
                <w:noProof/>
                <w:webHidden/>
              </w:rPr>
              <w:fldChar w:fldCharType="begin"/>
            </w:r>
            <w:r w:rsidR="00600639">
              <w:rPr>
                <w:noProof/>
                <w:webHidden/>
              </w:rPr>
              <w:instrText xml:space="preserve"> PAGEREF _Toc6143126 \h </w:instrText>
            </w:r>
            <w:r w:rsidR="00600639">
              <w:rPr>
                <w:noProof/>
                <w:webHidden/>
              </w:rPr>
            </w:r>
            <w:r w:rsidR="00600639">
              <w:rPr>
                <w:noProof/>
                <w:webHidden/>
              </w:rPr>
              <w:fldChar w:fldCharType="separate"/>
            </w:r>
            <w:r w:rsidR="00E46158">
              <w:rPr>
                <w:noProof/>
                <w:webHidden/>
              </w:rPr>
              <w:t>2</w:t>
            </w:r>
            <w:r w:rsidR="00600639">
              <w:rPr>
                <w:noProof/>
                <w:webHidden/>
              </w:rPr>
              <w:fldChar w:fldCharType="end"/>
            </w:r>
          </w:hyperlink>
        </w:p>
        <w:p w14:paraId="48B8652B" w14:textId="1E82060C" w:rsidR="00600639" w:rsidRDefault="00B03D8D" w:rsidP="00E92BA0">
          <w:pPr>
            <w:pStyle w:val="TOC2"/>
            <w:spacing w:after="0" w:line="240" w:lineRule="auto"/>
            <w:rPr>
              <w:rFonts w:eastAsiaTheme="minorEastAsia"/>
              <w:noProof/>
            </w:rPr>
          </w:pPr>
          <w:hyperlink w:anchor="_Toc6143127" w:history="1">
            <w:r w:rsidR="00600639" w:rsidRPr="005F1CC1">
              <w:rPr>
                <w:rStyle w:val="Hyperlink"/>
                <w:noProof/>
              </w:rPr>
              <w:t>1.</w:t>
            </w:r>
            <w:r w:rsidR="00600639">
              <w:rPr>
                <w:rFonts w:eastAsiaTheme="minorEastAsia"/>
                <w:noProof/>
              </w:rPr>
              <w:tab/>
            </w:r>
            <w:r w:rsidR="00600639" w:rsidRPr="005F1CC1">
              <w:rPr>
                <w:rStyle w:val="Hyperlink"/>
                <w:noProof/>
              </w:rPr>
              <w:t>Drug Discovery and Why Drugs Fail</w:t>
            </w:r>
            <w:r w:rsidR="00600639">
              <w:rPr>
                <w:noProof/>
                <w:webHidden/>
              </w:rPr>
              <w:tab/>
            </w:r>
            <w:r w:rsidR="00600639">
              <w:rPr>
                <w:noProof/>
                <w:webHidden/>
              </w:rPr>
              <w:fldChar w:fldCharType="begin"/>
            </w:r>
            <w:r w:rsidR="00600639">
              <w:rPr>
                <w:noProof/>
                <w:webHidden/>
              </w:rPr>
              <w:instrText xml:space="preserve"> PAGEREF _Toc6143127 \h </w:instrText>
            </w:r>
            <w:r w:rsidR="00600639">
              <w:rPr>
                <w:noProof/>
                <w:webHidden/>
              </w:rPr>
            </w:r>
            <w:r w:rsidR="00600639">
              <w:rPr>
                <w:noProof/>
                <w:webHidden/>
              </w:rPr>
              <w:fldChar w:fldCharType="separate"/>
            </w:r>
            <w:r w:rsidR="00E46158">
              <w:rPr>
                <w:noProof/>
                <w:webHidden/>
              </w:rPr>
              <w:t>2</w:t>
            </w:r>
            <w:r w:rsidR="00600639">
              <w:rPr>
                <w:noProof/>
                <w:webHidden/>
              </w:rPr>
              <w:fldChar w:fldCharType="end"/>
            </w:r>
          </w:hyperlink>
        </w:p>
        <w:p w14:paraId="650DFA36" w14:textId="037F1487" w:rsidR="00600639" w:rsidRDefault="00B03D8D" w:rsidP="00E92BA0">
          <w:pPr>
            <w:pStyle w:val="TOC2"/>
            <w:spacing w:after="0" w:line="240" w:lineRule="auto"/>
            <w:rPr>
              <w:rFonts w:eastAsiaTheme="minorEastAsia"/>
              <w:noProof/>
            </w:rPr>
          </w:pPr>
          <w:hyperlink w:anchor="_Toc6143128" w:history="1">
            <w:r w:rsidR="00600639" w:rsidRPr="005F1CC1">
              <w:rPr>
                <w:rStyle w:val="Hyperlink"/>
                <w:noProof/>
              </w:rPr>
              <w:t>2.</w:t>
            </w:r>
            <w:r w:rsidR="00600639">
              <w:rPr>
                <w:rFonts w:eastAsiaTheme="minorEastAsia"/>
                <w:noProof/>
              </w:rPr>
              <w:tab/>
            </w:r>
            <w:r w:rsidR="00600639" w:rsidRPr="005F1CC1">
              <w:rPr>
                <w:rStyle w:val="Hyperlink"/>
                <w:noProof/>
              </w:rPr>
              <w:t>Rule-Based Drug Optimization</w:t>
            </w:r>
            <w:r w:rsidR="00600639">
              <w:rPr>
                <w:noProof/>
                <w:webHidden/>
              </w:rPr>
              <w:tab/>
            </w:r>
            <w:r w:rsidR="00600639">
              <w:rPr>
                <w:noProof/>
                <w:webHidden/>
              </w:rPr>
              <w:fldChar w:fldCharType="begin"/>
            </w:r>
            <w:r w:rsidR="00600639">
              <w:rPr>
                <w:noProof/>
                <w:webHidden/>
              </w:rPr>
              <w:instrText xml:space="preserve"> PAGEREF _Toc6143128 \h </w:instrText>
            </w:r>
            <w:r w:rsidR="00600639">
              <w:rPr>
                <w:noProof/>
                <w:webHidden/>
              </w:rPr>
            </w:r>
            <w:r w:rsidR="00600639">
              <w:rPr>
                <w:noProof/>
                <w:webHidden/>
              </w:rPr>
              <w:fldChar w:fldCharType="separate"/>
            </w:r>
            <w:r w:rsidR="00E46158">
              <w:rPr>
                <w:noProof/>
                <w:webHidden/>
              </w:rPr>
              <w:t>2</w:t>
            </w:r>
            <w:r w:rsidR="00600639">
              <w:rPr>
                <w:noProof/>
                <w:webHidden/>
              </w:rPr>
              <w:fldChar w:fldCharType="end"/>
            </w:r>
          </w:hyperlink>
        </w:p>
        <w:p w14:paraId="6444D06B" w14:textId="5879CD05" w:rsidR="00600639" w:rsidRDefault="00B03D8D" w:rsidP="00E92BA0">
          <w:pPr>
            <w:pStyle w:val="TOC2"/>
            <w:spacing w:after="0" w:line="240" w:lineRule="auto"/>
            <w:rPr>
              <w:rFonts w:eastAsiaTheme="minorEastAsia"/>
              <w:noProof/>
            </w:rPr>
          </w:pPr>
          <w:hyperlink w:anchor="_Toc6143129" w:history="1">
            <w:r w:rsidR="00600639" w:rsidRPr="005F1CC1">
              <w:rPr>
                <w:rStyle w:val="Hyperlink"/>
                <w:noProof/>
              </w:rPr>
              <w:t>3.</w:t>
            </w:r>
            <w:r w:rsidR="00600639">
              <w:rPr>
                <w:rFonts w:eastAsiaTheme="minorEastAsia"/>
                <w:noProof/>
              </w:rPr>
              <w:tab/>
            </w:r>
            <w:r w:rsidR="00600639" w:rsidRPr="005F1CC1">
              <w:rPr>
                <w:rStyle w:val="Hyperlink"/>
                <w:noProof/>
              </w:rPr>
              <w:t>Extensions of the Rule-Based Methods</w:t>
            </w:r>
            <w:r w:rsidR="00600639">
              <w:rPr>
                <w:noProof/>
                <w:webHidden/>
              </w:rPr>
              <w:tab/>
            </w:r>
            <w:r w:rsidR="00600639">
              <w:rPr>
                <w:noProof/>
                <w:webHidden/>
              </w:rPr>
              <w:fldChar w:fldCharType="begin"/>
            </w:r>
            <w:r w:rsidR="00600639">
              <w:rPr>
                <w:noProof/>
                <w:webHidden/>
              </w:rPr>
              <w:instrText xml:space="preserve"> PAGEREF _Toc6143129 \h </w:instrText>
            </w:r>
            <w:r w:rsidR="00600639">
              <w:rPr>
                <w:noProof/>
                <w:webHidden/>
              </w:rPr>
            </w:r>
            <w:r w:rsidR="00600639">
              <w:rPr>
                <w:noProof/>
                <w:webHidden/>
              </w:rPr>
              <w:fldChar w:fldCharType="separate"/>
            </w:r>
            <w:r w:rsidR="00E46158">
              <w:rPr>
                <w:noProof/>
                <w:webHidden/>
              </w:rPr>
              <w:t>2</w:t>
            </w:r>
            <w:r w:rsidR="00600639">
              <w:rPr>
                <w:noProof/>
                <w:webHidden/>
              </w:rPr>
              <w:fldChar w:fldCharType="end"/>
            </w:r>
          </w:hyperlink>
        </w:p>
        <w:p w14:paraId="3EFC7ACE" w14:textId="4A5A4D9E" w:rsidR="00600639" w:rsidRDefault="00B03D8D" w:rsidP="00E92BA0">
          <w:pPr>
            <w:pStyle w:val="TOC2"/>
            <w:spacing w:after="0" w:line="240" w:lineRule="auto"/>
            <w:rPr>
              <w:rFonts w:eastAsiaTheme="minorEastAsia"/>
              <w:noProof/>
            </w:rPr>
          </w:pPr>
          <w:hyperlink w:anchor="_Toc6143130" w:history="1">
            <w:r w:rsidR="00600639" w:rsidRPr="005F1CC1">
              <w:rPr>
                <w:rStyle w:val="Hyperlink"/>
                <w:noProof/>
              </w:rPr>
              <w:t>4.</w:t>
            </w:r>
            <w:r w:rsidR="00600639">
              <w:rPr>
                <w:rFonts w:eastAsiaTheme="minorEastAsia"/>
                <w:noProof/>
              </w:rPr>
              <w:tab/>
            </w:r>
            <w:r w:rsidR="00600639" w:rsidRPr="005F1CC1">
              <w:rPr>
                <w:rStyle w:val="Hyperlink"/>
                <w:noProof/>
              </w:rPr>
              <w:t>Applying Machine Learning to Drug Discovery</w:t>
            </w:r>
            <w:r w:rsidR="00600639">
              <w:rPr>
                <w:noProof/>
                <w:webHidden/>
              </w:rPr>
              <w:tab/>
            </w:r>
            <w:r w:rsidR="00600639">
              <w:rPr>
                <w:noProof/>
                <w:webHidden/>
              </w:rPr>
              <w:fldChar w:fldCharType="begin"/>
            </w:r>
            <w:r w:rsidR="00600639">
              <w:rPr>
                <w:noProof/>
                <w:webHidden/>
              </w:rPr>
              <w:instrText xml:space="preserve"> PAGEREF _Toc6143130 \h </w:instrText>
            </w:r>
            <w:r w:rsidR="00600639">
              <w:rPr>
                <w:noProof/>
                <w:webHidden/>
              </w:rPr>
            </w:r>
            <w:r w:rsidR="00600639">
              <w:rPr>
                <w:noProof/>
                <w:webHidden/>
              </w:rPr>
              <w:fldChar w:fldCharType="separate"/>
            </w:r>
            <w:r w:rsidR="00E46158">
              <w:rPr>
                <w:noProof/>
                <w:webHidden/>
              </w:rPr>
              <w:t>2</w:t>
            </w:r>
            <w:r w:rsidR="00600639">
              <w:rPr>
                <w:noProof/>
                <w:webHidden/>
              </w:rPr>
              <w:fldChar w:fldCharType="end"/>
            </w:r>
          </w:hyperlink>
        </w:p>
        <w:p w14:paraId="76FFF3D2" w14:textId="628BF12D" w:rsidR="00600639" w:rsidRDefault="00B03D8D" w:rsidP="00E92BA0">
          <w:pPr>
            <w:pStyle w:val="TOC2"/>
            <w:spacing w:after="0" w:line="240" w:lineRule="auto"/>
            <w:rPr>
              <w:rFonts w:eastAsiaTheme="minorEastAsia"/>
              <w:noProof/>
            </w:rPr>
          </w:pPr>
          <w:hyperlink w:anchor="_Toc6143131" w:history="1">
            <w:r w:rsidR="00600639" w:rsidRPr="005F1CC1">
              <w:rPr>
                <w:rStyle w:val="Hyperlink"/>
                <w:noProof/>
              </w:rPr>
              <w:t>5.</w:t>
            </w:r>
            <w:r w:rsidR="00600639">
              <w:rPr>
                <w:rFonts w:eastAsiaTheme="minorEastAsia"/>
                <w:noProof/>
              </w:rPr>
              <w:tab/>
            </w:r>
            <w:r w:rsidR="00600639" w:rsidRPr="005F1CC1">
              <w:rPr>
                <w:rStyle w:val="Hyperlink"/>
                <w:noProof/>
              </w:rPr>
              <w:t>Aims and Goals</w:t>
            </w:r>
            <w:r w:rsidR="00600639">
              <w:rPr>
                <w:noProof/>
                <w:webHidden/>
              </w:rPr>
              <w:tab/>
            </w:r>
            <w:r w:rsidR="00600639">
              <w:rPr>
                <w:noProof/>
                <w:webHidden/>
              </w:rPr>
              <w:fldChar w:fldCharType="begin"/>
            </w:r>
            <w:r w:rsidR="00600639">
              <w:rPr>
                <w:noProof/>
                <w:webHidden/>
              </w:rPr>
              <w:instrText xml:space="preserve"> PAGEREF _Toc6143131 \h </w:instrText>
            </w:r>
            <w:r w:rsidR="00600639">
              <w:rPr>
                <w:noProof/>
                <w:webHidden/>
              </w:rPr>
            </w:r>
            <w:r w:rsidR="00600639">
              <w:rPr>
                <w:noProof/>
                <w:webHidden/>
              </w:rPr>
              <w:fldChar w:fldCharType="separate"/>
            </w:r>
            <w:r w:rsidR="00E46158">
              <w:rPr>
                <w:noProof/>
                <w:webHidden/>
              </w:rPr>
              <w:t>3</w:t>
            </w:r>
            <w:r w:rsidR="00600639">
              <w:rPr>
                <w:noProof/>
                <w:webHidden/>
              </w:rPr>
              <w:fldChar w:fldCharType="end"/>
            </w:r>
          </w:hyperlink>
        </w:p>
        <w:p w14:paraId="5439A7F7" w14:textId="5A41AC17" w:rsidR="00600639" w:rsidRDefault="00B03D8D" w:rsidP="00E92BA0">
          <w:pPr>
            <w:pStyle w:val="TOC1"/>
            <w:rPr>
              <w:rFonts w:eastAsiaTheme="minorEastAsia"/>
              <w:noProof/>
            </w:rPr>
          </w:pPr>
          <w:hyperlink w:anchor="_Toc6143132" w:history="1">
            <w:r w:rsidR="00600639" w:rsidRPr="005F1CC1">
              <w:rPr>
                <w:rStyle w:val="Hyperlink"/>
                <w:noProof/>
              </w:rPr>
              <w:t>Methods</w:t>
            </w:r>
            <w:r w:rsidR="00600639">
              <w:rPr>
                <w:noProof/>
                <w:webHidden/>
              </w:rPr>
              <w:tab/>
            </w:r>
            <w:r w:rsidR="00600639">
              <w:rPr>
                <w:noProof/>
                <w:webHidden/>
              </w:rPr>
              <w:fldChar w:fldCharType="begin"/>
            </w:r>
            <w:r w:rsidR="00600639">
              <w:rPr>
                <w:noProof/>
                <w:webHidden/>
              </w:rPr>
              <w:instrText xml:space="preserve"> PAGEREF _Toc6143132 \h </w:instrText>
            </w:r>
            <w:r w:rsidR="00600639">
              <w:rPr>
                <w:noProof/>
                <w:webHidden/>
              </w:rPr>
            </w:r>
            <w:r w:rsidR="00600639">
              <w:rPr>
                <w:noProof/>
                <w:webHidden/>
              </w:rPr>
              <w:fldChar w:fldCharType="separate"/>
            </w:r>
            <w:r w:rsidR="00E46158">
              <w:rPr>
                <w:noProof/>
                <w:webHidden/>
              </w:rPr>
              <w:t>3</w:t>
            </w:r>
            <w:r w:rsidR="00600639">
              <w:rPr>
                <w:noProof/>
                <w:webHidden/>
              </w:rPr>
              <w:fldChar w:fldCharType="end"/>
            </w:r>
          </w:hyperlink>
        </w:p>
        <w:p w14:paraId="42ED7F21" w14:textId="0AB6E21D" w:rsidR="00600639" w:rsidRDefault="00B03D8D" w:rsidP="00E92BA0">
          <w:pPr>
            <w:pStyle w:val="TOC2"/>
            <w:spacing w:after="0" w:line="240" w:lineRule="auto"/>
            <w:rPr>
              <w:rFonts w:eastAsiaTheme="minorEastAsia"/>
              <w:noProof/>
            </w:rPr>
          </w:pPr>
          <w:hyperlink w:anchor="_Toc6143133" w:history="1">
            <w:r w:rsidR="00600639" w:rsidRPr="005F1CC1">
              <w:rPr>
                <w:rStyle w:val="Hyperlink"/>
                <w:noProof/>
              </w:rPr>
              <w:t>6.</w:t>
            </w:r>
            <w:r w:rsidR="00600639">
              <w:rPr>
                <w:rFonts w:eastAsiaTheme="minorEastAsia"/>
                <w:noProof/>
              </w:rPr>
              <w:tab/>
            </w:r>
            <w:r w:rsidR="00600639" w:rsidRPr="005F1CC1">
              <w:rPr>
                <w:rStyle w:val="Hyperlink"/>
                <w:noProof/>
              </w:rPr>
              <w:t>Data Collection</w:t>
            </w:r>
            <w:r w:rsidR="00600639">
              <w:rPr>
                <w:noProof/>
                <w:webHidden/>
              </w:rPr>
              <w:tab/>
            </w:r>
            <w:r w:rsidR="00600639">
              <w:rPr>
                <w:noProof/>
                <w:webHidden/>
              </w:rPr>
              <w:fldChar w:fldCharType="begin"/>
            </w:r>
            <w:r w:rsidR="00600639">
              <w:rPr>
                <w:noProof/>
                <w:webHidden/>
              </w:rPr>
              <w:instrText xml:space="preserve"> PAGEREF _Toc6143133 \h </w:instrText>
            </w:r>
            <w:r w:rsidR="00600639">
              <w:rPr>
                <w:noProof/>
                <w:webHidden/>
              </w:rPr>
            </w:r>
            <w:r w:rsidR="00600639">
              <w:rPr>
                <w:noProof/>
                <w:webHidden/>
              </w:rPr>
              <w:fldChar w:fldCharType="separate"/>
            </w:r>
            <w:r w:rsidR="00E46158">
              <w:rPr>
                <w:noProof/>
                <w:webHidden/>
              </w:rPr>
              <w:t>3</w:t>
            </w:r>
            <w:r w:rsidR="00600639">
              <w:rPr>
                <w:noProof/>
                <w:webHidden/>
              </w:rPr>
              <w:fldChar w:fldCharType="end"/>
            </w:r>
          </w:hyperlink>
        </w:p>
        <w:p w14:paraId="2C32EB02" w14:textId="0421D6A5" w:rsidR="00600639" w:rsidRDefault="00B03D8D" w:rsidP="00E92BA0">
          <w:pPr>
            <w:pStyle w:val="TOC2"/>
            <w:spacing w:after="0" w:line="240" w:lineRule="auto"/>
            <w:rPr>
              <w:rFonts w:eastAsiaTheme="minorEastAsia"/>
              <w:noProof/>
            </w:rPr>
          </w:pPr>
          <w:hyperlink w:anchor="_Toc6143134" w:history="1">
            <w:r w:rsidR="00600639" w:rsidRPr="005F1CC1">
              <w:rPr>
                <w:rStyle w:val="Hyperlink"/>
                <w:noProof/>
              </w:rPr>
              <w:t>7.</w:t>
            </w:r>
            <w:r w:rsidR="00600639">
              <w:rPr>
                <w:rFonts w:eastAsiaTheme="minorEastAsia"/>
                <w:noProof/>
              </w:rPr>
              <w:tab/>
            </w:r>
            <w:r w:rsidR="00600639" w:rsidRPr="005F1CC1">
              <w:rPr>
                <w:rStyle w:val="Hyperlink"/>
                <w:noProof/>
              </w:rPr>
              <w:t>Data Preprocessing and Dimension Reduction</w:t>
            </w:r>
            <w:r w:rsidR="00600639">
              <w:rPr>
                <w:noProof/>
                <w:webHidden/>
              </w:rPr>
              <w:tab/>
            </w:r>
            <w:r w:rsidR="00600639">
              <w:rPr>
                <w:noProof/>
                <w:webHidden/>
              </w:rPr>
              <w:fldChar w:fldCharType="begin"/>
            </w:r>
            <w:r w:rsidR="00600639">
              <w:rPr>
                <w:noProof/>
                <w:webHidden/>
              </w:rPr>
              <w:instrText xml:space="preserve"> PAGEREF _Toc6143134 \h </w:instrText>
            </w:r>
            <w:r w:rsidR="00600639">
              <w:rPr>
                <w:noProof/>
                <w:webHidden/>
              </w:rPr>
            </w:r>
            <w:r w:rsidR="00600639">
              <w:rPr>
                <w:noProof/>
                <w:webHidden/>
              </w:rPr>
              <w:fldChar w:fldCharType="separate"/>
            </w:r>
            <w:r w:rsidR="00E46158">
              <w:rPr>
                <w:noProof/>
                <w:webHidden/>
              </w:rPr>
              <w:t>3</w:t>
            </w:r>
            <w:r w:rsidR="00600639">
              <w:rPr>
                <w:noProof/>
                <w:webHidden/>
              </w:rPr>
              <w:fldChar w:fldCharType="end"/>
            </w:r>
          </w:hyperlink>
        </w:p>
        <w:p w14:paraId="386E7349" w14:textId="6AA8EB93" w:rsidR="00600639" w:rsidRDefault="00B03D8D" w:rsidP="00E92BA0">
          <w:pPr>
            <w:pStyle w:val="TOC2"/>
            <w:spacing w:after="0" w:line="240" w:lineRule="auto"/>
            <w:rPr>
              <w:rFonts w:eastAsiaTheme="minorEastAsia"/>
              <w:noProof/>
            </w:rPr>
          </w:pPr>
          <w:hyperlink w:anchor="_Toc6143135" w:history="1">
            <w:r w:rsidR="00600639" w:rsidRPr="005F1CC1">
              <w:rPr>
                <w:rStyle w:val="Hyperlink"/>
                <w:noProof/>
              </w:rPr>
              <w:t>8.</w:t>
            </w:r>
            <w:r w:rsidR="00600639">
              <w:rPr>
                <w:rFonts w:eastAsiaTheme="minorEastAsia"/>
                <w:noProof/>
              </w:rPr>
              <w:tab/>
            </w:r>
            <w:r w:rsidR="00600639" w:rsidRPr="005F1CC1">
              <w:rPr>
                <w:rStyle w:val="Hyperlink"/>
                <w:noProof/>
              </w:rPr>
              <w:t>Hyperparameter and Model Validation</w:t>
            </w:r>
            <w:r w:rsidR="00600639">
              <w:rPr>
                <w:noProof/>
                <w:webHidden/>
              </w:rPr>
              <w:tab/>
            </w:r>
            <w:r w:rsidR="00600639">
              <w:rPr>
                <w:noProof/>
                <w:webHidden/>
              </w:rPr>
              <w:fldChar w:fldCharType="begin"/>
            </w:r>
            <w:r w:rsidR="00600639">
              <w:rPr>
                <w:noProof/>
                <w:webHidden/>
              </w:rPr>
              <w:instrText xml:space="preserve"> PAGEREF _Toc6143135 \h </w:instrText>
            </w:r>
            <w:r w:rsidR="00600639">
              <w:rPr>
                <w:noProof/>
                <w:webHidden/>
              </w:rPr>
            </w:r>
            <w:r w:rsidR="00600639">
              <w:rPr>
                <w:noProof/>
                <w:webHidden/>
              </w:rPr>
              <w:fldChar w:fldCharType="separate"/>
            </w:r>
            <w:r w:rsidR="00E46158">
              <w:rPr>
                <w:noProof/>
                <w:webHidden/>
              </w:rPr>
              <w:t>4</w:t>
            </w:r>
            <w:r w:rsidR="00600639">
              <w:rPr>
                <w:noProof/>
                <w:webHidden/>
              </w:rPr>
              <w:fldChar w:fldCharType="end"/>
            </w:r>
          </w:hyperlink>
        </w:p>
        <w:p w14:paraId="00497CE8" w14:textId="6F808296" w:rsidR="00600639" w:rsidRDefault="00B03D8D" w:rsidP="00E92BA0">
          <w:pPr>
            <w:pStyle w:val="TOC1"/>
            <w:rPr>
              <w:rFonts w:eastAsiaTheme="minorEastAsia"/>
              <w:noProof/>
            </w:rPr>
          </w:pPr>
          <w:hyperlink w:anchor="_Toc6143136" w:history="1">
            <w:r w:rsidR="00600639" w:rsidRPr="005F1CC1">
              <w:rPr>
                <w:rStyle w:val="Hyperlink"/>
                <w:noProof/>
              </w:rPr>
              <w:t>Results</w:t>
            </w:r>
            <w:r w:rsidR="00600639">
              <w:rPr>
                <w:noProof/>
                <w:webHidden/>
              </w:rPr>
              <w:tab/>
            </w:r>
            <w:r w:rsidR="00600639">
              <w:rPr>
                <w:noProof/>
                <w:webHidden/>
              </w:rPr>
              <w:fldChar w:fldCharType="begin"/>
            </w:r>
            <w:r w:rsidR="00600639">
              <w:rPr>
                <w:noProof/>
                <w:webHidden/>
              </w:rPr>
              <w:instrText xml:space="preserve"> PAGEREF _Toc6143136 \h </w:instrText>
            </w:r>
            <w:r w:rsidR="00600639">
              <w:rPr>
                <w:noProof/>
                <w:webHidden/>
              </w:rPr>
            </w:r>
            <w:r w:rsidR="00600639">
              <w:rPr>
                <w:noProof/>
                <w:webHidden/>
              </w:rPr>
              <w:fldChar w:fldCharType="separate"/>
            </w:r>
            <w:r w:rsidR="00E46158">
              <w:rPr>
                <w:noProof/>
                <w:webHidden/>
              </w:rPr>
              <w:t>4</w:t>
            </w:r>
            <w:r w:rsidR="00600639">
              <w:rPr>
                <w:noProof/>
                <w:webHidden/>
              </w:rPr>
              <w:fldChar w:fldCharType="end"/>
            </w:r>
          </w:hyperlink>
        </w:p>
        <w:p w14:paraId="1E498B67" w14:textId="2368F509" w:rsidR="00600639" w:rsidRDefault="00B03D8D" w:rsidP="00E92BA0">
          <w:pPr>
            <w:pStyle w:val="TOC2"/>
            <w:spacing w:after="0" w:line="240" w:lineRule="auto"/>
            <w:rPr>
              <w:rFonts w:eastAsiaTheme="minorEastAsia"/>
              <w:noProof/>
            </w:rPr>
          </w:pPr>
          <w:hyperlink w:anchor="_Toc6143137" w:history="1">
            <w:r w:rsidR="00600639" w:rsidRPr="005F1CC1">
              <w:rPr>
                <w:rStyle w:val="Hyperlink"/>
                <w:noProof/>
              </w:rPr>
              <w:t>9.</w:t>
            </w:r>
            <w:r w:rsidR="00600639">
              <w:rPr>
                <w:rFonts w:eastAsiaTheme="minorEastAsia"/>
                <w:noProof/>
              </w:rPr>
              <w:tab/>
            </w:r>
            <w:r w:rsidR="00600639" w:rsidRPr="005F1CC1">
              <w:rPr>
                <w:rStyle w:val="Hyperlink"/>
                <w:noProof/>
              </w:rPr>
              <w:t>ChEMBL Data Analysis</w:t>
            </w:r>
            <w:r w:rsidR="00600639">
              <w:rPr>
                <w:noProof/>
                <w:webHidden/>
              </w:rPr>
              <w:tab/>
            </w:r>
            <w:r w:rsidR="00600639">
              <w:rPr>
                <w:noProof/>
                <w:webHidden/>
              </w:rPr>
              <w:fldChar w:fldCharType="begin"/>
            </w:r>
            <w:r w:rsidR="00600639">
              <w:rPr>
                <w:noProof/>
                <w:webHidden/>
              </w:rPr>
              <w:instrText xml:space="preserve"> PAGEREF _Toc6143137 \h </w:instrText>
            </w:r>
            <w:r w:rsidR="00600639">
              <w:rPr>
                <w:noProof/>
                <w:webHidden/>
              </w:rPr>
            </w:r>
            <w:r w:rsidR="00600639">
              <w:rPr>
                <w:noProof/>
                <w:webHidden/>
              </w:rPr>
              <w:fldChar w:fldCharType="separate"/>
            </w:r>
            <w:r w:rsidR="00E46158">
              <w:rPr>
                <w:noProof/>
                <w:webHidden/>
              </w:rPr>
              <w:t>4</w:t>
            </w:r>
            <w:r w:rsidR="00600639">
              <w:rPr>
                <w:noProof/>
                <w:webHidden/>
              </w:rPr>
              <w:fldChar w:fldCharType="end"/>
            </w:r>
          </w:hyperlink>
        </w:p>
        <w:p w14:paraId="0675ADF6" w14:textId="1E011FC5" w:rsidR="00600639" w:rsidRDefault="00B03D8D" w:rsidP="00E92BA0">
          <w:pPr>
            <w:pStyle w:val="TOC2"/>
            <w:spacing w:after="0" w:line="240" w:lineRule="auto"/>
            <w:rPr>
              <w:rFonts w:eastAsiaTheme="minorEastAsia"/>
              <w:noProof/>
            </w:rPr>
          </w:pPr>
          <w:hyperlink w:anchor="_Toc6143138" w:history="1">
            <w:r w:rsidR="00600639" w:rsidRPr="005F1CC1">
              <w:rPr>
                <w:rStyle w:val="Hyperlink"/>
                <w:noProof/>
              </w:rPr>
              <w:t>10.</w:t>
            </w:r>
            <w:r w:rsidR="00600639">
              <w:rPr>
                <w:rFonts w:eastAsiaTheme="minorEastAsia"/>
                <w:noProof/>
              </w:rPr>
              <w:tab/>
            </w:r>
            <w:r w:rsidR="00600639" w:rsidRPr="005F1CC1">
              <w:rPr>
                <w:rStyle w:val="Hyperlink"/>
                <w:noProof/>
              </w:rPr>
              <w:t>Algorithm Performance</w:t>
            </w:r>
            <w:r w:rsidR="00600639">
              <w:rPr>
                <w:noProof/>
                <w:webHidden/>
              </w:rPr>
              <w:tab/>
            </w:r>
            <w:r w:rsidR="00600639">
              <w:rPr>
                <w:noProof/>
                <w:webHidden/>
              </w:rPr>
              <w:fldChar w:fldCharType="begin"/>
            </w:r>
            <w:r w:rsidR="00600639">
              <w:rPr>
                <w:noProof/>
                <w:webHidden/>
              </w:rPr>
              <w:instrText xml:space="preserve"> PAGEREF _Toc6143138 \h </w:instrText>
            </w:r>
            <w:r w:rsidR="00600639">
              <w:rPr>
                <w:noProof/>
                <w:webHidden/>
              </w:rPr>
            </w:r>
            <w:r w:rsidR="00600639">
              <w:rPr>
                <w:noProof/>
                <w:webHidden/>
              </w:rPr>
              <w:fldChar w:fldCharType="separate"/>
            </w:r>
            <w:r w:rsidR="00E46158">
              <w:rPr>
                <w:noProof/>
                <w:webHidden/>
              </w:rPr>
              <w:t>4</w:t>
            </w:r>
            <w:r w:rsidR="00600639">
              <w:rPr>
                <w:noProof/>
                <w:webHidden/>
              </w:rPr>
              <w:fldChar w:fldCharType="end"/>
            </w:r>
          </w:hyperlink>
        </w:p>
        <w:p w14:paraId="6B9F796D" w14:textId="46932AA3" w:rsidR="00600639" w:rsidRDefault="00B03D8D" w:rsidP="00E92BA0">
          <w:pPr>
            <w:pStyle w:val="TOC3"/>
            <w:tabs>
              <w:tab w:val="right" w:leader="dot" w:pos="10790"/>
            </w:tabs>
            <w:spacing w:after="0" w:line="240" w:lineRule="auto"/>
            <w:rPr>
              <w:rFonts w:eastAsiaTheme="minorEastAsia"/>
              <w:noProof/>
            </w:rPr>
          </w:pPr>
          <w:hyperlink w:anchor="_Toc6143139" w:history="1">
            <w:r w:rsidR="00600639" w:rsidRPr="005F1CC1">
              <w:rPr>
                <w:rStyle w:val="Hyperlink"/>
                <w:noProof/>
              </w:rPr>
              <w:t>Logistic Regression.</w:t>
            </w:r>
            <w:r w:rsidR="00600639">
              <w:rPr>
                <w:noProof/>
                <w:webHidden/>
              </w:rPr>
              <w:tab/>
            </w:r>
            <w:r w:rsidR="00600639">
              <w:rPr>
                <w:noProof/>
                <w:webHidden/>
              </w:rPr>
              <w:fldChar w:fldCharType="begin"/>
            </w:r>
            <w:r w:rsidR="00600639">
              <w:rPr>
                <w:noProof/>
                <w:webHidden/>
              </w:rPr>
              <w:instrText xml:space="preserve"> PAGEREF _Toc6143139 \h </w:instrText>
            </w:r>
            <w:r w:rsidR="00600639">
              <w:rPr>
                <w:noProof/>
                <w:webHidden/>
              </w:rPr>
            </w:r>
            <w:r w:rsidR="00600639">
              <w:rPr>
                <w:noProof/>
                <w:webHidden/>
              </w:rPr>
              <w:fldChar w:fldCharType="separate"/>
            </w:r>
            <w:r w:rsidR="00E46158">
              <w:rPr>
                <w:noProof/>
                <w:webHidden/>
              </w:rPr>
              <w:t>4</w:t>
            </w:r>
            <w:r w:rsidR="00600639">
              <w:rPr>
                <w:noProof/>
                <w:webHidden/>
              </w:rPr>
              <w:fldChar w:fldCharType="end"/>
            </w:r>
          </w:hyperlink>
        </w:p>
        <w:p w14:paraId="60023A3D" w14:textId="637B693C" w:rsidR="00600639" w:rsidRDefault="00B03D8D" w:rsidP="00E92BA0">
          <w:pPr>
            <w:pStyle w:val="TOC3"/>
            <w:tabs>
              <w:tab w:val="right" w:leader="dot" w:pos="10790"/>
            </w:tabs>
            <w:spacing w:after="0" w:line="240" w:lineRule="auto"/>
            <w:rPr>
              <w:rFonts w:eastAsiaTheme="minorEastAsia"/>
              <w:noProof/>
            </w:rPr>
          </w:pPr>
          <w:hyperlink w:anchor="_Toc6143140" w:history="1">
            <w:r w:rsidR="00600639" w:rsidRPr="005F1CC1">
              <w:rPr>
                <w:rStyle w:val="Hyperlink"/>
                <w:noProof/>
              </w:rPr>
              <w:t>Support Vector Machine.</w:t>
            </w:r>
            <w:r w:rsidR="00600639">
              <w:rPr>
                <w:noProof/>
                <w:webHidden/>
              </w:rPr>
              <w:tab/>
            </w:r>
            <w:r w:rsidR="00600639">
              <w:rPr>
                <w:noProof/>
                <w:webHidden/>
              </w:rPr>
              <w:fldChar w:fldCharType="begin"/>
            </w:r>
            <w:r w:rsidR="00600639">
              <w:rPr>
                <w:noProof/>
                <w:webHidden/>
              </w:rPr>
              <w:instrText xml:space="preserve"> PAGEREF _Toc6143140 \h </w:instrText>
            </w:r>
            <w:r w:rsidR="00600639">
              <w:rPr>
                <w:noProof/>
                <w:webHidden/>
              </w:rPr>
            </w:r>
            <w:r w:rsidR="00600639">
              <w:rPr>
                <w:noProof/>
                <w:webHidden/>
              </w:rPr>
              <w:fldChar w:fldCharType="separate"/>
            </w:r>
            <w:r w:rsidR="00E46158">
              <w:rPr>
                <w:noProof/>
                <w:webHidden/>
              </w:rPr>
              <w:t>4</w:t>
            </w:r>
            <w:r w:rsidR="00600639">
              <w:rPr>
                <w:noProof/>
                <w:webHidden/>
              </w:rPr>
              <w:fldChar w:fldCharType="end"/>
            </w:r>
          </w:hyperlink>
        </w:p>
        <w:p w14:paraId="508128E0" w14:textId="404620EE" w:rsidR="00600639" w:rsidRDefault="00B03D8D" w:rsidP="00E92BA0">
          <w:pPr>
            <w:pStyle w:val="TOC3"/>
            <w:tabs>
              <w:tab w:val="right" w:leader="dot" w:pos="10790"/>
            </w:tabs>
            <w:spacing w:after="0" w:line="240" w:lineRule="auto"/>
            <w:rPr>
              <w:rFonts w:eastAsiaTheme="minorEastAsia"/>
              <w:noProof/>
            </w:rPr>
          </w:pPr>
          <w:hyperlink w:anchor="_Toc6143141" w:history="1">
            <w:r w:rsidR="00600639" w:rsidRPr="005F1CC1">
              <w:rPr>
                <w:rStyle w:val="Hyperlink"/>
                <w:noProof/>
              </w:rPr>
              <w:t>Random Forest.</w:t>
            </w:r>
            <w:r w:rsidR="00600639">
              <w:rPr>
                <w:noProof/>
                <w:webHidden/>
              </w:rPr>
              <w:tab/>
            </w:r>
            <w:r w:rsidR="00600639">
              <w:rPr>
                <w:noProof/>
                <w:webHidden/>
              </w:rPr>
              <w:fldChar w:fldCharType="begin"/>
            </w:r>
            <w:r w:rsidR="00600639">
              <w:rPr>
                <w:noProof/>
                <w:webHidden/>
              </w:rPr>
              <w:instrText xml:space="preserve"> PAGEREF _Toc6143141 \h </w:instrText>
            </w:r>
            <w:r w:rsidR="00600639">
              <w:rPr>
                <w:noProof/>
                <w:webHidden/>
              </w:rPr>
            </w:r>
            <w:r w:rsidR="00600639">
              <w:rPr>
                <w:noProof/>
                <w:webHidden/>
              </w:rPr>
              <w:fldChar w:fldCharType="separate"/>
            </w:r>
            <w:r w:rsidR="00E46158">
              <w:rPr>
                <w:noProof/>
                <w:webHidden/>
              </w:rPr>
              <w:t>5</w:t>
            </w:r>
            <w:r w:rsidR="00600639">
              <w:rPr>
                <w:noProof/>
                <w:webHidden/>
              </w:rPr>
              <w:fldChar w:fldCharType="end"/>
            </w:r>
          </w:hyperlink>
        </w:p>
        <w:p w14:paraId="0609F6BD" w14:textId="4A5EA265" w:rsidR="00600639" w:rsidRDefault="00B03D8D" w:rsidP="00E92BA0">
          <w:pPr>
            <w:pStyle w:val="TOC3"/>
            <w:tabs>
              <w:tab w:val="right" w:leader="dot" w:pos="10790"/>
            </w:tabs>
            <w:spacing w:after="0" w:line="240" w:lineRule="auto"/>
            <w:rPr>
              <w:rFonts w:eastAsiaTheme="minorEastAsia"/>
              <w:noProof/>
            </w:rPr>
          </w:pPr>
          <w:hyperlink w:anchor="_Toc6143142" w:history="1">
            <w:r w:rsidR="00600639" w:rsidRPr="005F1CC1">
              <w:rPr>
                <w:rStyle w:val="Hyperlink"/>
                <w:noProof/>
              </w:rPr>
              <w:t>Multilayer Perceptron (Neural Network).</w:t>
            </w:r>
            <w:r w:rsidR="00600639">
              <w:rPr>
                <w:noProof/>
                <w:webHidden/>
              </w:rPr>
              <w:tab/>
            </w:r>
            <w:r w:rsidR="00600639">
              <w:rPr>
                <w:noProof/>
                <w:webHidden/>
              </w:rPr>
              <w:fldChar w:fldCharType="begin"/>
            </w:r>
            <w:r w:rsidR="00600639">
              <w:rPr>
                <w:noProof/>
                <w:webHidden/>
              </w:rPr>
              <w:instrText xml:space="preserve"> PAGEREF _Toc6143142 \h </w:instrText>
            </w:r>
            <w:r w:rsidR="00600639">
              <w:rPr>
                <w:noProof/>
                <w:webHidden/>
              </w:rPr>
            </w:r>
            <w:r w:rsidR="00600639">
              <w:rPr>
                <w:noProof/>
                <w:webHidden/>
              </w:rPr>
              <w:fldChar w:fldCharType="separate"/>
            </w:r>
            <w:r w:rsidR="00E46158">
              <w:rPr>
                <w:noProof/>
                <w:webHidden/>
              </w:rPr>
              <w:t>5</w:t>
            </w:r>
            <w:r w:rsidR="00600639">
              <w:rPr>
                <w:noProof/>
                <w:webHidden/>
              </w:rPr>
              <w:fldChar w:fldCharType="end"/>
            </w:r>
          </w:hyperlink>
        </w:p>
        <w:p w14:paraId="474B7093" w14:textId="3ED9ABB4" w:rsidR="00600639" w:rsidRDefault="00B03D8D" w:rsidP="00E92BA0">
          <w:pPr>
            <w:pStyle w:val="TOC3"/>
            <w:tabs>
              <w:tab w:val="right" w:leader="dot" w:pos="10790"/>
            </w:tabs>
            <w:spacing w:after="0" w:line="240" w:lineRule="auto"/>
            <w:rPr>
              <w:rFonts w:eastAsiaTheme="minorEastAsia"/>
              <w:noProof/>
            </w:rPr>
          </w:pPr>
          <w:hyperlink w:anchor="_Toc6143143" w:history="1">
            <w:r w:rsidR="00600639" w:rsidRPr="005F1CC1">
              <w:rPr>
                <w:rStyle w:val="Hyperlink"/>
                <w:noProof/>
              </w:rPr>
              <w:t>Overall.</w:t>
            </w:r>
            <w:r w:rsidR="00600639">
              <w:rPr>
                <w:noProof/>
                <w:webHidden/>
              </w:rPr>
              <w:tab/>
            </w:r>
            <w:r w:rsidR="00600639">
              <w:rPr>
                <w:noProof/>
                <w:webHidden/>
              </w:rPr>
              <w:fldChar w:fldCharType="begin"/>
            </w:r>
            <w:r w:rsidR="00600639">
              <w:rPr>
                <w:noProof/>
                <w:webHidden/>
              </w:rPr>
              <w:instrText xml:space="preserve"> PAGEREF _Toc6143143 \h </w:instrText>
            </w:r>
            <w:r w:rsidR="00600639">
              <w:rPr>
                <w:noProof/>
                <w:webHidden/>
              </w:rPr>
            </w:r>
            <w:r w:rsidR="00600639">
              <w:rPr>
                <w:noProof/>
                <w:webHidden/>
              </w:rPr>
              <w:fldChar w:fldCharType="separate"/>
            </w:r>
            <w:r w:rsidR="00E46158">
              <w:rPr>
                <w:noProof/>
                <w:webHidden/>
              </w:rPr>
              <w:t>5</w:t>
            </w:r>
            <w:r w:rsidR="00600639">
              <w:rPr>
                <w:noProof/>
                <w:webHidden/>
              </w:rPr>
              <w:fldChar w:fldCharType="end"/>
            </w:r>
          </w:hyperlink>
        </w:p>
        <w:p w14:paraId="342A8EEB" w14:textId="02B236DC" w:rsidR="00600639" w:rsidRDefault="00B03D8D" w:rsidP="00E92BA0">
          <w:pPr>
            <w:pStyle w:val="TOC1"/>
            <w:rPr>
              <w:rFonts w:eastAsiaTheme="minorEastAsia"/>
              <w:noProof/>
            </w:rPr>
          </w:pPr>
          <w:hyperlink w:anchor="_Toc6143144" w:history="1">
            <w:r w:rsidR="00600639" w:rsidRPr="005F1CC1">
              <w:rPr>
                <w:rStyle w:val="Hyperlink"/>
                <w:noProof/>
              </w:rPr>
              <w:t>Discussion</w:t>
            </w:r>
            <w:r w:rsidR="00600639">
              <w:rPr>
                <w:noProof/>
                <w:webHidden/>
              </w:rPr>
              <w:tab/>
            </w:r>
            <w:r w:rsidR="00600639">
              <w:rPr>
                <w:noProof/>
                <w:webHidden/>
              </w:rPr>
              <w:fldChar w:fldCharType="begin"/>
            </w:r>
            <w:r w:rsidR="00600639">
              <w:rPr>
                <w:noProof/>
                <w:webHidden/>
              </w:rPr>
              <w:instrText xml:space="preserve"> PAGEREF _Toc6143144 \h </w:instrText>
            </w:r>
            <w:r w:rsidR="00600639">
              <w:rPr>
                <w:noProof/>
                <w:webHidden/>
              </w:rPr>
            </w:r>
            <w:r w:rsidR="00600639">
              <w:rPr>
                <w:noProof/>
                <w:webHidden/>
              </w:rPr>
              <w:fldChar w:fldCharType="separate"/>
            </w:r>
            <w:r w:rsidR="00E46158">
              <w:rPr>
                <w:noProof/>
                <w:webHidden/>
              </w:rPr>
              <w:t>5</w:t>
            </w:r>
            <w:r w:rsidR="00600639">
              <w:rPr>
                <w:noProof/>
                <w:webHidden/>
              </w:rPr>
              <w:fldChar w:fldCharType="end"/>
            </w:r>
          </w:hyperlink>
        </w:p>
        <w:p w14:paraId="5FB9AD34" w14:textId="3C77F8E0" w:rsidR="00600639" w:rsidRDefault="00B03D8D" w:rsidP="00E92BA0">
          <w:pPr>
            <w:pStyle w:val="TOC2"/>
            <w:spacing w:after="0" w:line="240" w:lineRule="auto"/>
            <w:rPr>
              <w:rFonts w:eastAsiaTheme="minorEastAsia"/>
              <w:noProof/>
            </w:rPr>
          </w:pPr>
          <w:hyperlink w:anchor="_Toc6143145" w:history="1">
            <w:r w:rsidR="00600639" w:rsidRPr="005F1CC1">
              <w:rPr>
                <w:rStyle w:val="Hyperlink"/>
                <w:noProof/>
              </w:rPr>
              <w:t>11.</w:t>
            </w:r>
            <w:r w:rsidR="00600639">
              <w:rPr>
                <w:rFonts w:eastAsiaTheme="minorEastAsia"/>
                <w:noProof/>
              </w:rPr>
              <w:tab/>
            </w:r>
            <w:r w:rsidR="00600639" w:rsidRPr="005F1CC1">
              <w:rPr>
                <w:rStyle w:val="Hyperlink"/>
                <w:noProof/>
              </w:rPr>
              <w:t>Important Drug-like Properties</w:t>
            </w:r>
            <w:r w:rsidR="00600639">
              <w:rPr>
                <w:noProof/>
                <w:webHidden/>
              </w:rPr>
              <w:tab/>
            </w:r>
            <w:r w:rsidR="00600639">
              <w:rPr>
                <w:noProof/>
                <w:webHidden/>
              </w:rPr>
              <w:fldChar w:fldCharType="begin"/>
            </w:r>
            <w:r w:rsidR="00600639">
              <w:rPr>
                <w:noProof/>
                <w:webHidden/>
              </w:rPr>
              <w:instrText xml:space="preserve"> PAGEREF _Toc6143145 \h </w:instrText>
            </w:r>
            <w:r w:rsidR="00600639">
              <w:rPr>
                <w:noProof/>
                <w:webHidden/>
              </w:rPr>
            </w:r>
            <w:r w:rsidR="00600639">
              <w:rPr>
                <w:noProof/>
                <w:webHidden/>
              </w:rPr>
              <w:fldChar w:fldCharType="separate"/>
            </w:r>
            <w:r w:rsidR="00E46158">
              <w:rPr>
                <w:noProof/>
                <w:webHidden/>
              </w:rPr>
              <w:t>5</w:t>
            </w:r>
            <w:r w:rsidR="00600639">
              <w:rPr>
                <w:noProof/>
                <w:webHidden/>
              </w:rPr>
              <w:fldChar w:fldCharType="end"/>
            </w:r>
          </w:hyperlink>
        </w:p>
        <w:p w14:paraId="713689F1" w14:textId="7282119F" w:rsidR="00600639" w:rsidRDefault="00B03D8D" w:rsidP="00E92BA0">
          <w:pPr>
            <w:pStyle w:val="TOC2"/>
            <w:spacing w:after="0" w:line="240" w:lineRule="auto"/>
            <w:rPr>
              <w:rFonts w:eastAsiaTheme="minorEastAsia"/>
              <w:noProof/>
            </w:rPr>
          </w:pPr>
          <w:hyperlink w:anchor="_Toc6143146" w:history="1">
            <w:r w:rsidR="00600639" w:rsidRPr="005F1CC1">
              <w:rPr>
                <w:rStyle w:val="Hyperlink"/>
                <w:noProof/>
              </w:rPr>
              <w:t>12.</w:t>
            </w:r>
            <w:r w:rsidR="00600639">
              <w:rPr>
                <w:rFonts w:eastAsiaTheme="minorEastAsia"/>
                <w:noProof/>
              </w:rPr>
              <w:tab/>
            </w:r>
            <w:r w:rsidR="00600639" w:rsidRPr="005F1CC1">
              <w:rPr>
                <w:rStyle w:val="Hyperlink"/>
                <w:noProof/>
              </w:rPr>
              <w:t>Approved Drug Prediction</w:t>
            </w:r>
            <w:r w:rsidR="00600639">
              <w:rPr>
                <w:noProof/>
                <w:webHidden/>
              </w:rPr>
              <w:tab/>
            </w:r>
            <w:r w:rsidR="00600639">
              <w:rPr>
                <w:noProof/>
                <w:webHidden/>
              </w:rPr>
              <w:fldChar w:fldCharType="begin"/>
            </w:r>
            <w:r w:rsidR="00600639">
              <w:rPr>
                <w:noProof/>
                <w:webHidden/>
              </w:rPr>
              <w:instrText xml:space="preserve"> PAGEREF _Toc6143146 \h </w:instrText>
            </w:r>
            <w:r w:rsidR="00600639">
              <w:rPr>
                <w:noProof/>
                <w:webHidden/>
              </w:rPr>
            </w:r>
            <w:r w:rsidR="00600639">
              <w:rPr>
                <w:noProof/>
                <w:webHidden/>
              </w:rPr>
              <w:fldChar w:fldCharType="separate"/>
            </w:r>
            <w:r w:rsidR="00E46158">
              <w:rPr>
                <w:noProof/>
                <w:webHidden/>
              </w:rPr>
              <w:t>5</w:t>
            </w:r>
            <w:r w:rsidR="00600639">
              <w:rPr>
                <w:noProof/>
                <w:webHidden/>
              </w:rPr>
              <w:fldChar w:fldCharType="end"/>
            </w:r>
          </w:hyperlink>
        </w:p>
        <w:p w14:paraId="5456CB86" w14:textId="0B09E712" w:rsidR="00600639" w:rsidRDefault="00B03D8D" w:rsidP="00E92BA0">
          <w:pPr>
            <w:pStyle w:val="TOC2"/>
            <w:spacing w:after="0" w:line="240" w:lineRule="auto"/>
            <w:rPr>
              <w:rFonts w:eastAsiaTheme="minorEastAsia"/>
              <w:noProof/>
            </w:rPr>
          </w:pPr>
          <w:hyperlink w:anchor="_Toc6143147" w:history="1">
            <w:r w:rsidR="00600639" w:rsidRPr="005F1CC1">
              <w:rPr>
                <w:rStyle w:val="Hyperlink"/>
                <w:noProof/>
              </w:rPr>
              <w:t>13.</w:t>
            </w:r>
            <w:r w:rsidR="00600639">
              <w:rPr>
                <w:rFonts w:eastAsiaTheme="minorEastAsia"/>
                <w:noProof/>
              </w:rPr>
              <w:tab/>
            </w:r>
            <w:r w:rsidR="00600639" w:rsidRPr="005F1CC1">
              <w:rPr>
                <w:rStyle w:val="Hyperlink"/>
                <w:noProof/>
              </w:rPr>
              <w:t>Withdrawn Drug Prediction</w:t>
            </w:r>
            <w:r w:rsidR="00600639">
              <w:rPr>
                <w:noProof/>
                <w:webHidden/>
              </w:rPr>
              <w:tab/>
            </w:r>
            <w:r w:rsidR="00600639">
              <w:rPr>
                <w:noProof/>
                <w:webHidden/>
              </w:rPr>
              <w:fldChar w:fldCharType="begin"/>
            </w:r>
            <w:r w:rsidR="00600639">
              <w:rPr>
                <w:noProof/>
                <w:webHidden/>
              </w:rPr>
              <w:instrText xml:space="preserve"> PAGEREF _Toc6143147 \h </w:instrText>
            </w:r>
            <w:r w:rsidR="00600639">
              <w:rPr>
                <w:noProof/>
                <w:webHidden/>
              </w:rPr>
            </w:r>
            <w:r w:rsidR="00600639">
              <w:rPr>
                <w:noProof/>
                <w:webHidden/>
              </w:rPr>
              <w:fldChar w:fldCharType="separate"/>
            </w:r>
            <w:r w:rsidR="00E46158">
              <w:rPr>
                <w:noProof/>
                <w:webHidden/>
              </w:rPr>
              <w:t>6</w:t>
            </w:r>
            <w:r w:rsidR="00600639">
              <w:rPr>
                <w:noProof/>
                <w:webHidden/>
              </w:rPr>
              <w:fldChar w:fldCharType="end"/>
            </w:r>
          </w:hyperlink>
        </w:p>
        <w:p w14:paraId="20CABFF4" w14:textId="0AD61DBC" w:rsidR="00600639" w:rsidRDefault="00B03D8D" w:rsidP="00E92BA0">
          <w:pPr>
            <w:pStyle w:val="TOC2"/>
            <w:spacing w:after="0" w:line="240" w:lineRule="auto"/>
            <w:rPr>
              <w:rFonts w:eastAsiaTheme="minorEastAsia"/>
              <w:noProof/>
            </w:rPr>
          </w:pPr>
          <w:hyperlink w:anchor="_Toc6143148" w:history="1">
            <w:r w:rsidR="00600639" w:rsidRPr="005F1CC1">
              <w:rPr>
                <w:rStyle w:val="Hyperlink"/>
                <w:noProof/>
              </w:rPr>
              <w:t>14.</w:t>
            </w:r>
            <w:r w:rsidR="00600639">
              <w:rPr>
                <w:rFonts w:eastAsiaTheme="minorEastAsia"/>
                <w:noProof/>
              </w:rPr>
              <w:tab/>
            </w:r>
            <w:r w:rsidR="00600639" w:rsidRPr="005F1CC1">
              <w:rPr>
                <w:rStyle w:val="Hyperlink"/>
                <w:noProof/>
              </w:rPr>
              <w:t>Case Studies: Model Selections</w:t>
            </w:r>
            <w:r w:rsidR="00600639">
              <w:rPr>
                <w:noProof/>
                <w:webHidden/>
              </w:rPr>
              <w:tab/>
            </w:r>
            <w:r w:rsidR="00600639">
              <w:rPr>
                <w:noProof/>
                <w:webHidden/>
              </w:rPr>
              <w:fldChar w:fldCharType="begin"/>
            </w:r>
            <w:r w:rsidR="00600639">
              <w:rPr>
                <w:noProof/>
                <w:webHidden/>
              </w:rPr>
              <w:instrText xml:space="preserve"> PAGEREF _Toc6143148 \h </w:instrText>
            </w:r>
            <w:r w:rsidR="00600639">
              <w:rPr>
                <w:noProof/>
                <w:webHidden/>
              </w:rPr>
            </w:r>
            <w:r w:rsidR="00600639">
              <w:rPr>
                <w:noProof/>
                <w:webHidden/>
              </w:rPr>
              <w:fldChar w:fldCharType="separate"/>
            </w:r>
            <w:r w:rsidR="00E46158">
              <w:rPr>
                <w:noProof/>
                <w:webHidden/>
              </w:rPr>
              <w:t>6</w:t>
            </w:r>
            <w:r w:rsidR="00600639">
              <w:rPr>
                <w:noProof/>
                <w:webHidden/>
              </w:rPr>
              <w:fldChar w:fldCharType="end"/>
            </w:r>
          </w:hyperlink>
        </w:p>
        <w:p w14:paraId="1D32B92D" w14:textId="457914F2" w:rsidR="00600639" w:rsidRDefault="00B03D8D" w:rsidP="00E92BA0">
          <w:pPr>
            <w:pStyle w:val="TOC3"/>
            <w:tabs>
              <w:tab w:val="right" w:leader="dot" w:pos="10790"/>
            </w:tabs>
            <w:spacing w:after="0" w:line="240" w:lineRule="auto"/>
            <w:rPr>
              <w:rFonts w:eastAsiaTheme="minorEastAsia"/>
              <w:noProof/>
            </w:rPr>
          </w:pPr>
          <w:hyperlink w:anchor="_Toc6143149" w:history="1">
            <w:r w:rsidR="00600639" w:rsidRPr="005F1CC1">
              <w:rPr>
                <w:rStyle w:val="Hyperlink"/>
                <w:noProof/>
              </w:rPr>
              <w:t>Approved vs. non-approved</w:t>
            </w:r>
            <w:r w:rsidR="00600639">
              <w:rPr>
                <w:noProof/>
                <w:webHidden/>
              </w:rPr>
              <w:tab/>
            </w:r>
            <w:r w:rsidR="00600639">
              <w:rPr>
                <w:noProof/>
                <w:webHidden/>
              </w:rPr>
              <w:fldChar w:fldCharType="begin"/>
            </w:r>
            <w:r w:rsidR="00600639">
              <w:rPr>
                <w:noProof/>
                <w:webHidden/>
              </w:rPr>
              <w:instrText xml:space="preserve"> PAGEREF _Toc6143149 \h </w:instrText>
            </w:r>
            <w:r w:rsidR="00600639">
              <w:rPr>
                <w:noProof/>
                <w:webHidden/>
              </w:rPr>
            </w:r>
            <w:r w:rsidR="00600639">
              <w:rPr>
                <w:noProof/>
                <w:webHidden/>
              </w:rPr>
              <w:fldChar w:fldCharType="separate"/>
            </w:r>
            <w:r w:rsidR="00E46158">
              <w:rPr>
                <w:noProof/>
                <w:webHidden/>
              </w:rPr>
              <w:t>6</w:t>
            </w:r>
            <w:r w:rsidR="00600639">
              <w:rPr>
                <w:noProof/>
                <w:webHidden/>
              </w:rPr>
              <w:fldChar w:fldCharType="end"/>
            </w:r>
          </w:hyperlink>
        </w:p>
        <w:p w14:paraId="3DF6BC67" w14:textId="243D829A" w:rsidR="00600639" w:rsidRDefault="00B03D8D" w:rsidP="00E92BA0">
          <w:pPr>
            <w:pStyle w:val="TOC3"/>
            <w:tabs>
              <w:tab w:val="right" w:leader="dot" w:pos="10790"/>
            </w:tabs>
            <w:spacing w:after="0" w:line="240" w:lineRule="auto"/>
            <w:rPr>
              <w:rFonts w:eastAsiaTheme="minorEastAsia"/>
              <w:noProof/>
            </w:rPr>
          </w:pPr>
          <w:hyperlink w:anchor="_Toc6143150" w:history="1">
            <w:r w:rsidR="00600639" w:rsidRPr="005F1CC1">
              <w:rPr>
                <w:rStyle w:val="Hyperlink"/>
                <w:noProof/>
              </w:rPr>
              <w:t>Approved vs. withdrawn</w:t>
            </w:r>
            <w:r w:rsidR="00600639">
              <w:rPr>
                <w:noProof/>
                <w:webHidden/>
              </w:rPr>
              <w:tab/>
            </w:r>
            <w:r w:rsidR="00600639">
              <w:rPr>
                <w:noProof/>
                <w:webHidden/>
              </w:rPr>
              <w:fldChar w:fldCharType="begin"/>
            </w:r>
            <w:r w:rsidR="00600639">
              <w:rPr>
                <w:noProof/>
                <w:webHidden/>
              </w:rPr>
              <w:instrText xml:space="preserve"> PAGEREF _Toc6143150 \h </w:instrText>
            </w:r>
            <w:r w:rsidR="00600639">
              <w:rPr>
                <w:noProof/>
                <w:webHidden/>
              </w:rPr>
            </w:r>
            <w:r w:rsidR="00600639">
              <w:rPr>
                <w:noProof/>
                <w:webHidden/>
              </w:rPr>
              <w:fldChar w:fldCharType="separate"/>
            </w:r>
            <w:r w:rsidR="00E46158">
              <w:rPr>
                <w:noProof/>
                <w:webHidden/>
              </w:rPr>
              <w:t>6</w:t>
            </w:r>
            <w:r w:rsidR="00600639">
              <w:rPr>
                <w:noProof/>
                <w:webHidden/>
              </w:rPr>
              <w:fldChar w:fldCharType="end"/>
            </w:r>
          </w:hyperlink>
        </w:p>
        <w:p w14:paraId="21CB9371" w14:textId="2718824A" w:rsidR="00D77E7D" w:rsidRPr="00724512" w:rsidRDefault="00B03D8D" w:rsidP="00E92BA0">
          <w:pPr>
            <w:pStyle w:val="TOC2"/>
            <w:spacing w:after="0" w:line="240" w:lineRule="auto"/>
            <w:rPr>
              <w:noProof/>
              <w:sz w:val="16"/>
            </w:rPr>
          </w:pPr>
          <w:hyperlink w:anchor="_Toc6143151" w:history="1">
            <w:r w:rsidR="00600639" w:rsidRPr="005F1CC1">
              <w:rPr>
                <w:rStyle w:val="Hyperlink"/>
                <w:noProof/>
              </w:rPr>
              <w:t>15.</w:t>
            </w:r>
            <w:r w:rsidR="00600639">
              <w:rPr>
                <w:rFonts w:eastAsiaTheme="minorEastAsia"/>
                <w:noProof/>
              </w:rPr>
              <w:tab/>
            </w:r>
            <w:r w:rsidR="00600639" w:rsidRPr="005F1CC1">
              <w:rPr>
                <w:rStyle w:val="Hyperlink"/>
                <w:noProof/>
              </w:rPr>
              <w:t>Next Steps</w:t>
            </w:r>
            <w:r w:rsidR="00600639">
              <w:rPr>
                <w:noProof/>
                <w:webHidden/>
              </w:rPr>
              <w:tab/>
            </w:r>
            <w:r w:rsidR="00600639">
              <w:rPr>
                <w:noProof/>
                <w:webHidden/>
              </w:rPr>
              <w:fldChar w:fldCharType="begin"/>
            </w:r>
            <w:r w:rsidR="00600639">
              <w:rPr>
                <w:noProof/>
                <w:webHidden/>
              </w:rPr>
              <w:instrText xml:space="preserve"> PAGEREF _Toc6143151 \h </w:instrText>
            </w:r>
            <w:r w:rsidR="00600639">
              <w:rPr>
                <w:noProof/>
                <w:webHidden/>
              </w:rPr>
            </w:r>
            <w:r w:rsidR="00600639">
              <w:rPr>
                <w:noProof/>
                <w:webHidden/>
              </w:rPr>
              <w:fldChar w:fldCharType="separate"/>
            </w:r>
            <w:r w:rsidR="00E46158">
              <w:rPr>
                <w:noProof/>
                <w:webHidden/>
              </w:rPr>
              <w:t>6</w:t>
            </w:r>
            <w:r w:rsidR="00600639">
              <w:rPr>
                <w:noProof/>
                <w:webHidden/>
              </w:rPr>
              <w:fldChar w:fldCharType="end"/>
            </w:r>
          </w:hyperlink>
          <w:r w:rsidR="00D77E7D" w:rsidRPr="005C530C">
            <w:rPr>
              <w:noProof/>
            </w:rPr>
            <w:fldChar w:fldCharType="end"/>
          </w:r>
        </w:p>
      </w:sdtContent>
    </w:sdt>
    <w:p w14:paraId="1D542BF6" w14:textId="32ED61B4" w:rsidR="007531ED" w:rsidRPr="00322140" w:rsidRDefault="007531ED" w:rsidP="00CB5C7D">
      <w:pPr>
        <w:spacing w:after="0" w:line="276" w:lineRule="auto"/>
        <w:ind w:right="2160"/>
        <w:jc w:val="both"/>
        <w:sectPr w:rsidR="007531ED" w:rsidRPr="00322140" w:rsidSect="00322140">
          <w:type w:val="continuous"/>
          <w:pgSz w:w="12240" w:h="15840"/>
          <w:pgMar w:top="720" w:right="720" w:bottom="720" w:left="720" w:header="720" w:footer="720" w:gutter="0"/>
          <w:cols w:space="432"/>
          <w:docGrid w:linePitch="360"/>
        </w:sectPr>
      </w:pPr>
    </w:p>
    <w:p w14:paraId="55B96A23" w14:textId="01DB5BCC" w:rsidR="00DF058C" w:rsidRDefault="00DF058C" w:rsidP="005C530C">
      <w:pPr>
        <w:pStyle w:val="Heading1"/>
        <w:spacing w:line="276" w:lineRule="auto"/>
      </w:pPr>
      <w:bookmarkStart w:id="6" w:name="_Toc6143126"/>
      <w:r w:rsidRPr="00004408">
        <w:lastRenderedPageBreak/>
        <w:t>Introduction</w:t>
      </w:r>
      <w:bookmarkEnd w:id="6"/>
    </w:p>
    <w:p w14:paraId="40FF4522" w14:textId="15266C4D" w:rsidR="00166B0E" w:rsidRPr="002423FE" w:rsidRDefault="004A69DC" w:rsidP="005C530C">
      <w:pPr>
        <w:pStyle w:val="Heading2"/>
        <w:spacing w:line="276" w:lineRule="auto"/>
      </w:pPr>
      <w:bookmarkStart w:id="7" w:name="_Toc6143127"/>
      <w:r w:rsidRPr="002423FE">
        <w:t>Drug Discovery</w:t>
      </w:r>
      <w:r w:rsidR="00782E1F">
        <w:t xml:space="preserve"> and Why Drugs Fail</w:t>
      </w:r>
      <w:bookmarkEnd w:id="7"/>
    </w:p>
    <w:p w14:paraId="4529B621" w14:textId="74DDDD1C" w:rsidR="00D04F77" w:rsidRDefault="003008DE" w:rsidP="005C530C">
      <w:pPr>
        <w:spacing w:line="276" w:lineRule="auto"/>
        <w:ind w:firstLine="360"/>
        <w:jc w:val="both"/>
        <w:rPr>
          <w:rFonts w:cstheme="minorHAnsi"/>
          <w:color w:val="111111"/>
          <w:shd w:val="clear" w:color="auto" w:fill="FFFFFF"/>
        </w:rPr>
      </w:pPr>
      <w:r>
        <w:rPr>
          <w:rFonts w:cstheme="minorHAnsi"/>
          <w:color w:val="111111"/>
          <w:shd w:val="clear" w:color="auto" w:fill="FFFFFF"/>
        </w:rPr>
        <w:t xml:space="preserve">Drug discovery has historically relied on many iterations of compound synthesis, </w:t>
      </w:r>
      <w:r w:rsidR="00394D24">
        <w:rPr>
          <w:rFonts w:cstheme="minorHAnsi"/>
          <w:i/>
          <w:color w:val="111111"/>
          <w:shd w:val="clear" w:color="auto" w:fill="FFFFFF"/>
        </w:rPr>
        <w:t>in vitro</w:t>
      </w:r>
      <w:r w:rsidR="00394D24">
        <w:rPr>
          <w:rFonts w:cstheme="minorHAnsi"/>
          <w:color w:val="111111"/>
          <w:shd w:val="clear" w:color="auto" w:fill="FFFFFF"/>
        </w:rPr>
        <w:t xml:space="preserve"> and </w:t>
      </w:r>
      <w:r w:rsidR="00394D24">
        <w:rPr>
          <w:rFonts w:cstheme="minorHAnsi"/>
          <w:i/>
          <w:color w:val="111111"/>
          <w:shd w:val="clear" w:color="auto" w:fill="FFFFFF"/>
        </w:rPr>
        <w:t>in vivo</w:t>
      </w:r>
      <w:r w:rsidR="00394D24">
        <w:rPr>
          <w:rFonts w:cstheme="minorHAnsi"/>
          <w:color w:val="111111"/>
          <w:shd w:val="clear" w:color="auto" w:fill="FFFFFF"/>
        </w:rPr>
        <w:t xml:space="preserve"> assays, and manual evaluation of the results. This overall process typically becomes time-consuming and expensive, with average development time exceeding a decade. Because of this, decisions into which drugs </w:t>
      </w:r>
      <w:r w:rsidR="00D04F77">
        <w:rPr>
          <w:rFonts w:cstheme="minorHAnsi"/>
          <w:color w:val="111111"/>
          <w:shd w:val="clear" w:color="auto" w:fill="FFFFFF"/>
        </w:rPr>
        <w:t xml:space="preserve">the development team </w:t>
      </w:r>
      <w:r w:rsidR="00394D24">
        <w:rPr>
          <w:rFonts w:cstheme="minorHAnsi"/>
          <w:color w:val="111111"/>
          <w:shd w:val="clear" w:color="auto" w:fill="FFFFFF"/>
        </w:rPr>
        <w:t xml:space="preserve">should evaluate further, drop, or rework is a critical part of drug development. Making these decisions </w:t>
      </w:r>
      <w:r w:rsidR="00D04F77">
        <w:rPr>
          <w:rFonts w:cstheme="minorHAnsi"/>
          <w:color w:val="111111"/>
          <w:shd w:val="clear" w:color="auto" w:fill="FFFFFF"/>
        </w:rPr>
        <w:t>relies</w:t>
      </w:r>
      <w:r w:rsidR="00394D24">
        <w:rPr>
          <w:rFonts w:cstheme="minorHAnsi"/>
          <w:color w:val="111111"/>
          <w:shd w:val="clear" w:color="auto" w:fill="FFFFFF"/>
        </w:rPr>
        <w:t xml:space="preserve"> on </w:t>
      </w:r>
      <w:r w:rsidR="00D04F77">
        <w:rPr>
          <w:rFonts w:cstheme="minorHAnsi"/>
          <w:color w:val="111111"/>
          <w:shd w:val="clear" w:color="auto" w:fill="FFFFFF"/>
        </w:rPr>
        <w:t>many</w:t>
      </w:r>
      <w:r w:rsidR="00394D24">
        <w:rPr>
          <w:rFonts w:cstheme="minorHAnsi"/>
          <w:color w:val="111111"/>
          <w:shd w:val="clear" w:color="auto" w:fill="FFFFFF"/>
        </w:rPr>
        <w:t xml:space="preserve"> conditions, notably, </w:t>
      </w:r>
      <w:r w:rsidR="00D04F77">
        <w:rPr>
          <w:rFonts w:cstheme="minorHAnsi"/>
          <w:color w:val="111111"/>
          <w:shd w:val="clear" w:color="auto" w:fill="FFFFFF"/>
        </w:rPr>
        <w:t xml:space="preserve">a drug’s performance on many assays. Often, those making these decisions will screen for a drug’s </w:t>
      </w:r>
      <w:r w:rsidR="00D04F77" w:rsidRPr="00D04F77">
        <w:rPr>
          <w:rFonts w:cstheme="minorHAnsi"/>
          <w:color w:val="111111"/>
          <w:shd w:val="clear" w:color="auto" w:fill="FFFFFF"/>
        </w:rPr>
        <w:t>absorption, distribution, metabolism, excretion</w:t>
      </w:r>
      <w:r w:rsidR="00D04F77">
        <w:rPr>
          <w:rFonts w:cstheme="minorHAnsi"/>
          <w:color w:val="111111"/>
          <w:shd w:val="clear" w:color="auto" w:fill="FFFFFF"/>
        </w:rPr>
        <w:t xml:space="preserve">, </w:t>
      </w:r>
      <w:r w:rsidR="00D04F77" w:rsidRPr="00D04F77">
        <w:rPr>
          <w:rFonts w:cstheme="minorHAnsi"/>
          <w:color w:val="111111"/>
          <w:shd w:val="clear" w:color="auto" w:fill="FFFFFF"/>
        </w:rPr>
        <w:t>and toxicity data (ADMET)</w:t>
      </w:r>
      <w:r w:rsidR="00D04F77">
        <w:rPr>
          <w:rFonts w:cstheme="minorHAnsi"/>
          <w:color w:val="111111"/>
          <w:shd w:val="clear" w:color="auto" w:fill="FFFFFF"/>
        </w:rPr>
        <w:t xml:space="preserve"> </w:t>
      </w:r>
      <w:r w:rsidR="00765CFF">
        <w:rPr>
          <w:rFonts w:cstheme="minorHAnsi"/>
          <w:color w:val="111111"/>
          <w:shd w:val="clear" w:color="auto" w:fill="FFFFFF"/>
        </w:rPr>
        <w:fldChar w:fldCharType="begin" w:fldLock="1"/>
      </w:r>
      <w:r w:rsidR="00765CFF">
        <w:rPr>
          <w:rFonts w:cstheme="minorHAnsi"/>
          <w:color w:val="111111"/>
          <w:shd w:val="clear" w:color="auto" w:fill="FFFFFF"/>
        </w:rPr>
        <w:instrText>ADDIN CSL_CITATION {"citationItems":[{"id":"ITEM-1","itemData":{"DOI":"10.1038/nrd1032","ISBN":"1474-1776 (Print)\\n1474-1776 (Linking)","ISSN":"14741776","PMID":"12612645","abstract":"Following studies in the late 1990s that indicated that poor pharmacokinetics and toxicity were important causes of costly late-stage failures in drug development, it has become widely appreciated that these areas should be considered as early as possible in the drug discovery process. However, in recent years, combinatorial chemistry and high-throughput screening have significantly increased the number of compounds for which early data on absorption, distribution, metabolism, excretion (ADME) and toxicity (T) are needed, which has in turn driven the development of a variety of medium and high-throughput in vitro ADMET screens. Here, we describe how in silico approaches will further increase our ability to predict and model the most relevant pharmacokinetic, metabolic and toxicity endpoints, thereby accelerating the drug discovery process.","author":[{"dropping-particle":"","family":"Waterbeemd","given":"Han","non-dropping-particle":"van de","parse-names":false,"suffix":""},{"dropping-particle":"","family":"Gifford","given":"Eric","non-dropping-particle":"","parse-names":false,"suffix":""}],"container-title":"Nature Reviews Drug Discovery","id":"ITEM-1","issue":"3","issued":{"date-parts":[["2003"]]},"page":"192-204","title":"ADMET in silico modelling: Towards prediction paradise?","type":"article-journal","volume":"2"},"uris":["http://www.mendeley.com/documents/?uuid=faea0d55-9d51-44ae-af73-44187cd9be3d"]}],"mendeley":{"formattedCitation":"[1]","plainTextFormattedCitation":"[1]","previouslyFormattedCitation":"[1]"},"properties":{"noteIndex":0},"schema":"https://github.com/citation-style-language/schema/raw/master/csl-citation.json"}</w:instrText>
      </w:r>
      <w:r w:rsidR="00765CFF">
        <w:rPr>
          <w:rFonts w:cstheme="minorHAnsi"/>
          <w:color w:val="111111"/>
          <w:shd w:val="clear" w:color="auto" w:fill="FFFFFF"/>
        </w:rPr>
        <w:fldChar w:fldCharType="separate"/>
      </w:r>
      <w:r w:rsidR="00765CFF" w:rsidRPr="00765CFF">
        <w:rPr>
          <w:rFonts w:cstheme="minorHAnsi"/>
          <w:noProof/>
          <w:color w:val="111111"/>
          <w:shd w:val="clear" w:color="auto" w:fill="FFFFFF"/>
        </w:rPr>
        <w:t>[1]</w:t>
      </w:r>
      <w:r w:rsidR="00765CFF">
        <w:rPr>
          <w:rFonts w:cstheme="minorHAnsi"/>
          <w:color w:val="111111"/>
          <w:shd w:val="clear" w:color="auto" w:fill="FFFFFF"/>
        </w:rPr>
        <w:fldChar w:fldCharType="end"/>
      </w:r>
      <w:r w:rsidR="00D04F77">
        <w:rPr>
          <w:rFonts w:cstheme="minorHAnsi"/>
          <w:color w:val="111111"/>
          <w:shd w:val="clear" w:color="auto" w:fill="FFFFFF"/>
        </w:rPr>
        <w:t>.</w:t>
      </w:r>
    </w:p>
    <w:p w14:paraId="2B8DAF13" w14:textId="0BA13CDF" w:rsidR="00076A78" w:rsidRPr="00076A78" w:rsidRDefault="003F5A58" w:rsidP="005C530C">
      <w:pPr>
        <w:spacing w:line="276" w:lineRule="auto"/>
        <w:ind w:firstLine="360"/>
        <w:jc w:val="both"/>
      </w:pPr>
      <w:r>
        <w:t xml:space="preserve">For a drug to become FDA approved, it must enter and succeed clinical trials. </w:t>
      </w:r>
      <w:r w:rsidR="001F150E">
        <w:t>In the Phase I trials, most drugs fail due</w:t>
      </w:r>
      <w:r w:rsidR="00F938DB">
        <w:t xml:space="preserve"> toxicity. In Phase II and Phase II</w:t>
      </w:r>
      <w:r w:rsidR="00673424">
        <w:t>I</w:t>
      </w:r>
      <w:r w:rsidR="00F938DB">
        <w:t xml:space="preserve"> trials, drugs often fail due to efficacy problems, though, toxicity still plays a large role in</w:t>
      </w:r>
      <w:r w:rsidR="00855ED0">
        <w:t xml:space="preserve"> drug</w:t>
      </w:r>
      <w:r w:rsidR="00F938DB">
        <w:t xml:space="preserve"> failure</w:t>
      </w:r>
      <w:r w:rsidR="009F105D">
        <w:t xml:space="preserve"> within these phases as well </w:t>
      </w:r>
      <w:r w:rsidR="009F105D">
        <w:fldChar w:fldCharType="begin" w:fldLock="1"/>
      </w:r>
      <w:r w:rsidR="005F7FAE">
        <w:instrText>ADDIN CSL_CITATION {"citationItems":[{"id":"ITEM-1","itemData":{"DOI":"10.2174/138161205774414510","ISSN":"13816128","PMID":"16248807","abstract":"Our study focuses on the reasons for market withdrawals of drugs and drug development project terminations in clinical phases I-III from 1992 to 2002. Over 90% of the market withdrawals were caused by drug toxicity. Hepatotoxicity and cardiovascular toxicity proved to be the major causes for two out of three market withdrawals in the respective time period. In clinical phases I-III 43% of drug development project terminations were due to insufficient efficacy of the investigated compound. The second important issue, which caused one third of the projects to be closed, was toxicity. ADME parameters and economic and other reasons played a minor role. The results of our study indicate that compared with previous studies on this subject, no major improvements have been achieved in the last decade.","author":[{"dropping-particle":"","family":"Schuster","given":"D.","non-dropping-particle":"","parse-names":false,"suffix":""},{"dropping-particle":"","family":"Laggner","given":"C.","non-dropping-particle":"","parse-names":false,"suffix":""},{"dropping-particle":"","family":"Langer","given":"T.","non-dropping-particle":"","parse-names":false,"suffix":""}],"container-title":"Current Pharmaceutical Design","id":"ITEM-1","issue":"27","issued":{"date-parts":[["2005","10","1"]]},"page":"3545-3559","title":"Why Drugs Fail - A Study on Side Effects in New Chemical Entities","type":"article-journal","volume":"11"},"uris":["http://www.mendeley.com/documents/?uuid=fabe5395-4cd8-44ab-976f-17187e67e150"]}],"mendeley":{"formattedCitation":"[2]","plainTextFormattedCitation":"[2]","previouslyFormattedCitation":"[2]"},"properties":{"noteIndex":0},"schema":"https://github.com/citation-style-language/schema/raw/master/csl-citation.json"}</w:instrText>
      </w:r>
      <w:r w:rsidR="009F105D">
        <w:fldChar w:fldCharType="separate"/>
      </w:r>
      <w:r w:rsidR="009F105D" w:rsidRPr="009F105D">
        <w:rPr>
          <w:noProof/>
        </w:rPr>
        <w:t>[2]</w:t>
      </w:r>
      <w:r w:rsidR="009F105D">
        <w:fldChar w:fldCharType="end"/>
      </w:r>
      <w:r w:rsidR="009F105D">
        <w:t xml:space="preserve">. </w:t>
      </w:r>
      <w:r w:rsidR="00D76B14">
        <w:t xml:space="preserve">Because of these two major components of failure, </w:t>
      </w:r>
      <w:r w:rsidR="0099302A">
        <w:t>chemical properties that relate to a compound’s toxicity</w:t>
      </w:r>
      <w:r w:rsidR="00F568E9">
        <w:t xml:space="preserve"> and </w:t>
      </w:r>
      <w:r w:rsidR="00BF7625">
        <w:t>absorption are important in determining a successful drug.</w:t>
      </w:r>
      <w:r w:rsidR="003A591C">
        <w:t xml:space="preserve"> These chemical features can </w:t>
      </w:r>
      <w:proofErr w:type="gramStart"/>
      <w:r w:rsidR="003A591C">
        <w:t>be referred</w:t>
      </w:r>
      <w:proofErr w:type="gramEnd"/>
      <w:r w:rsidR="003A591C">
        <w:t xml:space="preserve"> to as drug-like properties.</w:t>
      </w:r>
    </w:p>
    <w:p w14:paraId="285DDCFA" w14:textId="4A4336F9" w:rsidR="007E135E" w:rsidRPr="007E135E" w:rsidRDefault="0065492E" w:rsidP="005C530C">
      <w:pPr>
        <w:pStyle w:val="Heading2"/>
        <w:spacing w:line="276" w:lineRule="auto"/>
      </w:pPr>
      <w:bookmarkStart w:id="8" w:name="_Toc6143128"/>
      <w:r>
        <w:t>Rule-Based Drug Optimization</w:t>
      </w:r>
      <w:bookmarkEnd w:id="8"/>
    </w:p>
    <w:p w14:paraId="6C3CDBAA" w14:textId="67CC7AB5" w:rsidR="00D04F77" w:rsidRDefault="00D04F77" w:rsidP="005C530C">
      <w:pPr>
        <w:spacing w:line="276" w:lineRule="auto"/>
        <w:ind w:firstLine="360"/>
        <w:jc w:val="both"/>
        <w:rPr>
          <w:rFonts w:cstheme="minorHAnsi"/>
          <w:color w:val="111111"/>
          <w:shd w:val="clear" w:color="auto" w:fill="FFFFFF"/>
        </w:rPr>
      </w:pPr>
      <w:r>
        <w:rPr>
          <w:rFonts w:cstheme="minorHAnsi"/>
          <w:color w:val="111111"/>
          <w:shd w:val="clear" w:color="auto" w:fill="FFFFFF"/>
        </w:rPr>
        <w:t xml:space="preserve">While the desired characteristics </w:t>
      </w:r>
      <w:r w:rsidR="007B3238">
        <w:rPr>
          <w:rFonts w:cstheme="minorHAnsi"/>
          <w:color w:val="111111"/>
          <w:shd w:val="clear" w:color="auto" w:fill="FFFFFF"/>
        </w:rPr>
        <w:t>of drug-like properties</w:t>
      </w:r>
      <w:r>
        <w:rPr>
          <w:rFonts w:cstheme="minorHAnsi"/>
          <w:color w:val="111111"/>
          <w:shd w:val="clear" w:color="auto" w:fill="FFFFFF"/>
        </w:rPr>
        <w:t xml:space="preserve"> can vary depending on the drug’s target and route of transmission, there has been much research into defining common </w:t>
      </w:r>
      <w:r w:rsidR="00FB03EC">
        <w:rPr>
          <w:rFonts w:cstheme="minorHAnsi"/>
          <w:color w:val="111111"/>
          <w:shd w:val="clear" w:color="auto" w:fill="FFFFFF"/>
        </w:rPr>
        <w:t>generalizations</w:t>
      </w:r>
      <w:r>
        <w:rPr>
          <w:rFonts w:cstheme="minorHAnsi"/>
          <w:color w:val="111111"/>
          <w:shd w:val="clear" w:color="auto" w:fill="FFFFFF"/>
        </w:rPr>
        <w:t xml:space="preserve">. These </w:t>
      </w:r>
      <w:r w:rsidR="008E5EA2">
        <w:rPr>
          <w:rFonts w:cstheme="minorHAnsi"/>
          <w:color w:val="111111"/>
          <w:shd w:val="clear" w:color="auto" w:fill="FFFFFF"/>
        </w:rPr>
        <w:t>act as</w:t>
      </w:r>
      <w:r>
        <w:rPr>
          <w:rFonts w:cstheme="minorHAnsi"/>
          <w:color w:val="111111"/>
          <w:shd w:val="clear" w:color="auto" w:fill="FFFFFF"/>
        </w:rPr>
        <w:t xml:space="preserve"> general guidelines </w:t>
      </w:r>
      <w:r w:rsidR="008E5EA2">
        <w:rPr>
          <w:rFonts w:cstheme="minorHAnsi"/>
          <w:color w:val="111111"/>
          <w:shd w:val="clear" w:color="auto" w:fill="FFFFFF"/>
        </w:rPr>
        <w:t xml:space="preserve">as to which physiochemical properties, and their values, </w:t>
      </w:r>
      <w:r w:rsidR="00477DFA">
        <w:rPr>
          <w:rFonts w:cstheme="minorHAnsi"/>
          <w:color w:val="111111"/>
          <w:shd w:val="clear" w:color="auto" w:fill="FFFFFF"/>
        </w:rPr>
        <w:t>we should</w:t>
      </w:r>
      <w:r w:rsidR="008E5EA2">
        <w:rPr>
          <w:rFonts w:cstheme="minorHAnsi"/>
          <w:color w:val="111111"/>
          <w:shd w:val="clear" w:color="auto" w:fill="FFFFFF"/>
        </w:rPr>
        <w:t xml:space="preserve"> expect from a successful drug, compared to a less </w:t>
      </w:r>
      <w:r w:rsidR="000B0071">
        <w:rPr>
          <w:rFonts w:cstheme="minorHAnsi"/>
          <w:color w:val="111111"/>
          <w:shd w:val="clear" w:color="auto" w:fill="FFFFFF"/>
        </w:rPr>
        <w:t>effective</w:t>
      </w:r>
      <w:r w:rsidR="008E5EA2">
        <w:rPr>
          <w:rFonts w:cstheme="minorHAnsi"/>
          <w:color w:val="111111"/>
          <w:shd w:val="clear" w:color="auto" w:fill="FFFFFF"/>
        </w:rPr>
        <w:t xml:space="preserve"> drug candidate. The well-known rule set</w:t>
      </w:r>
      <w:r w:rsidR="00477DFA">
        <w:rPr>
          <w:rFonts w:cstheme="minorHAnsi"/>
          <w:color w:val="111111"/>
          <w:shd w:val="clear" w:color="auto" w:fill="FFFFFF"/>
        </w:rPr>
        <w:t>,</w:t>
      </w:r>
      <w:r w:rsidR="008E5EA2">
        <w:rPr>
          <w:rFonts w:cstheme="minorHAnsi"/>
          <w:color w:val="111111"/>
          <w:shd w:val="clear" w:color="auto" w:fill="FFFFFF"/>
        </w:rPr>
        <w:t xml:space="preserve"> </w:t>
      </w:r>
      <w:r w:rsidR="008E5EA2" w:rsidRPr="008E5EA2">
        <w:rPr>
          <w:rFonts w:cstheme="minorHAnsi"/>
          <w:color w:val="111111"/>
          <w:shd w:val="clear" w:color="auto" w:fill="FFFFFF"/>
        </w:rPr>
        <w:t xml:space="preserve">Lipinski's rule of </w:t>
      </w:r>
      <w:r w:rsidR="00831F8D">
        <w:rPr>
          <w:rFonts w:cstheme="minorHAnsi"/>
          <w:color w:val="111111"/>
          <w:shd w:val="clear" w:color="auto" w:fill="FFFFFF"/>
        </w:rPr>
        <w:t>5</w:t>
      </w:r>
      <w:r w:rsidR="00477DFA">
        <w:rPr>
          <w:rFonts w:cstheme="minorHAnsi"/>
          <w:color w:val="111111"/>
          <w:shd w:val="clear" w:color="auto" w:fill="FFFFFF"/>
        </w:rPr>
        <w:t>,</w:t>
      </w:r>
      <w:r w:rsidR="008E5EA2">
        <w:rPr>
          <w:rFonts w:cstheme="minorHAnsi"/>
          <w:color w:val="111111"/>
          <w:shd w:val="clear" w:color="auto" w:fill="FFFFFF"/>
        </w:rPr>
        <w:t xml:space="preserve"> is often noted when discussion which properties make a compound drug-like. This rule set declares upper bounds on molecular properties such as hydrogen bound donor and acceptors, molecular mass, and </w:t>
      </w:r>
      <w:r w:rsidR="00477DFA">
        <w:rPr>
          <w:rFonts w:cstheme="minorHAnsi"/>
          <w:color w:val="111111"/>
          <w:shd w:val="clear" w:color="auto" w:fill="FFFFFF"/>
        </w:rPr>
        <w:t>lipophilicity</w:t>
      </w:r>
      <w:r w:rsidR="00765CFF">
        <w:rPr>
          <w:rFonts w:cstheme="minorHAnsi"/>
          <w:color w:val="111111"/>
          <w:shd w:val="clear" w:color="auto" w:fill="FFFFFF"/>
        </w:rPr>
        <w:t xml:space="preserve"> </w:t>
      </w:r>
      <w:r w:rsidR="00765CFF">
        <w:rPr>
          <w:rFonts w:cstheme="minorHAnsi"/>
          <w:color w:val="111111"/>
          <w:shd w:val="clear" w:color="auto" w:fill="FFFFFF"/>
        </w:rPr>
        <w:fldChar w:fldCharType="begin" w:fldLock="1"/>
      </w:r>
      <w:r w:rsidR="005F7FAE">
        <w:rPr>
          <w:rFonts w:cstheme="minorHAnsi"/>
          <w:color w:val="111111"/>
          <w:shd w:val="clear" w:color="auto" w:fill="FFFFFF"/>
        </w:rPr>
        <w:instrText>ADDIN CSL_CITATION {"citationItems":[{"id":"ITEM-1","itemData":{"DOI":"10.1016/J.ADDR.2012.09.019","ISBN":"0169-409X (Print) 0169-409X (Linking)","ISSN":"0169-409X","PMID":"11259830","abstract":"Experimental and computational approaches to estimate solubility and permeability in discovery and development settings are described. In the discovery setting ‘the rule of 5’ predicts that poor absorption or permeation is more likely when there are more than 5 H-bond donors, 10 H-bond acceptors, the molecular weight (MWT) is greater than 500 and the calculated Log P (CLogP) is greater than 5 (or MlogP&gt;4.15). Computational methodology for the rule-based Moriguchi Log P (MLogP) calculation is described. Turbidimetric solubility measurement is described and applied to known drugs. High throughput screening (HTS) leads tend to have higher MWT and Log P and lower turbidimetric solubility than leads in the pre-HTS era. In the development setting, solubility calculations focus on exact value prediction and are difficult because of polymorphism. Recent work on linear free energy relationships and Log P approaches are critically reviewed. Useful predictions are possible in closely related analog series when coupled with experimental thermodynamic solubility measurements.","author":[{"dropping-particle":"","family":"Lipinski","given":"Christopher A.","non-dropping-particle":"","parse-names":false,"suffix":""},{"dropping-particle":"","family":"Lombardo","given":"Franco","non-dropping-particle":"","parse-names":false,"suffix":""},{"dropping-particle":"","family":"Dominy","given":"Beryl W.","non-dropping-particle":"","parse-names":false,"suffix":""},{"dropping-particle":"","family":"Feeney","given":"Paul J.","non-dropping-particle":"","parse-names":false,"suffix":""}],"container-title":"Advanced Drug Delivery Reviews","id":"ITEM-1","issue":"SUPPL.","issued":{"date-parts":[["2012","12","1"]]},"page":"4-17","publisher":"Elsevier","title":"Experimental and computational approaches to estimate solubility and permeability in drug discovery and development settings","type":"article-journal","volume":"64"},"uris":["http://www.mendeley.com/documents/?uuid=10c0f1d7-122f-4760-b338-f5cd81540f2c"]}],"mendeley":{"formattedCitation":"[3]","plainTextFormattedCitation":"[3]","previouslyFormattedCitation":"[3]"},"properties":{"noteIndex":0},"schema":"https://github.com/citation-style-language/schema/raw/master/csl-citation.json"}</w:instrText>
      </w:r>
      <w:r w:rsidR="00765CFF">
        <w:rPr>
          <w:rFonts w:cstheme="minorHAnsi"/>
          <w:color w:val="111111"/>
          <w:shd w:val="clear" w:color="auto" w:fill="FFFFFF"/>
        </w:rPr>
        <w:fldChar w:fldCharType="separate"/>
      </w:r>
      <w:r w:rsidR="009F105D" w:rsidRPr="009F105D">
        <w:rPr>
          <w:rFonts w:cstheme="minorHAnsi"/>
          <w:noProof/>
          <w:color w:val="111111"/>
          <w:shd w:val="clear" w:color="auto" w:fill="FFFFFF"/>
        </w:rPr>
        <w:t>[3]</w:t>
      </w:r>
      <w:r w:rsidR="00765CFF">
        <w:rPr>
          <w:rFonts w:cstheme="minorHAnsi"/>
          <w:color w:val="111111"/>
          <w:shd w:val="clear" w:color="auto" w:fill="FFFFFF"/>
        </w:rPr>
        <w:fldChar w:fldCharType="end"/>
      </w:r>
      <w:r w:rsidR="00477DFA">
        <w:rPr>
          <w:rFonts w:cstheme="minorHAnsi"/>
          <w:color w:val="111111"/>
          <w:shd w:val="clear" w:color="auto" w:fill="FFFFFF"/>
        </w:rPr>
        <w:t xml:space="preserve">. While drugs that satisfy </w:t>
      </w:r>
      <w:r w:rsidR="00477DFA" w:rsidRPr="00477DFA">
        <w:rPr>
          <w:rFonts w:cstheme="minorHAnsi"/>
          <w:color w:val="111111"/>
          <w:shd w:val="clear" w:color="auto" w:fill="FFFFFF"/>
        </w:rPr>
        <w:t xml:space="preserve">Lipinski's rule of </w:t>
      </w:r>
      <w:r w:rsidR="00831F8D">
        <w:rPr>
          <w:rFonts w:cstheme="minorHAnsi"/>
          <w:color w:val="111111"/>
          <w:shd w:val="clear" w:color="auto" w:fill="FFFFFF"/>
        </w:rPr>
        <w:t>5</w:t>
      </w:r>
      <w:r w:rsidR="00477DFA">
        <w:rPr>
          <w:rFonts w:cstheme="minorHAnsi"/>
          <w:color w:val="111111"/>
          <w:shd w:val="clear" w:color="auto" w:fill="FFFFFF"/>
        </w:rPr>
        <w:t xml:space="preserve"> are often more successful than those that do not, many exceptions can occur where the model would disqualify a successful drug</w:t>
      </w:r>
      <w:r w:rsidR="004454A0">
        <w:rPr>
          <w:rFonts w:cstheme="minorHAnsi"/>
          <w:color w:val="111111"/>
          <w:shd w:val="clear" w:color="auto" w:fill="FFFFFF"/>
        </w:rPr>
        <w:t xml:space="preserve"> and vice-versa</w:t>
      </w:r>
      <w:r w:rsidR="00477DFA">
        <w:rPr>
          <w:rFonts w:cstheme="minorHAnsi"/>
          <w:color w:val="111111"/>
          <w:shd w:val="clear" w:color="auto" w:fill="FFFFFF"/>
        </w:rPr>
        <w:t xml:space="preserve"> </w:t>
      </w:r>
      <w:r w:rsidR="00765CFF">
        <w:rPr>
          <w:rFonts w:cstheme="minorHAnsi"/>
          <w:color w:val="111111"/>
          <w:shd w:val="clear" w:color="auto" w:fill="FFFFFF"/>
        </w:rPr>
        <w:fldChar w:fldCharType="begin" w:fldLock="1"/>
      </w:r>
      <w:r w:rsidR="005F7FAE">
        <w:rPr>
          <w:rFonts w:cstheme="minorHAnsi"/>
          <w:color w:val="111111"/>
          <w:shd w:val="clear" w:color="auto" w:fill="FFFFFF"/>
        </w:rPr>
        <w:instrText>ADDIN CSL_CITATION {"citationItems":[{"id":"ITEM-1","itemData":{"DOI":"10.1038/nrd2445","ISBN":"1474-1784 (Electronic)\\n1474-1776 (Linking)","ISSN":"14741776","PMID":"17971784","abstract":"The application of guidelines linked to the concept of drug-likeness, such as the 'rule of five', has gained wide acceptance as an approach to reduce attrition in drug discovery and development. However, despite this acceptance, analysis of recent trends reveals that the physical properties of molecules that are currently being synthesized in leading drug discovery companies differ significantly from those of recently discovered oral drugs and compounds in clinical development. The consequences of the marked increase in lipophilicity--the most important drug-like physical property--include a greater likelihood of lack of selectivity and attrition in drug development. Tackling the threat of compound-related toxicological attrition needs to move to the mainstream of medicinal chemistry decision-making.","author":[{"dropping-particle":"","family":"Leeson","given":"Paul D.","non-dropping-particle":"","parse-names":false,"suffix":""},{"dropping-particle":"","family":"Springthorpe","given":"Brian","non-dropping-particle":"","parse-names":false,"suffix":""}],"container-title":"Nature Reviews Drug Discovery","id":"ITEM-1","issue":"11","issued":{"date-parts":[["2007"]]},"page":"881-890","title":"The influence of drug-like concepts on decision-making in medicinal chemistry","type":"article-journal","volume":"6"},"uris":["http://www.mendeley.com/documents/?uuid=87de8bed-67d5-4f94-a7f9-c7178aff821e"]}],"mendeley":{"formattedCitation":"[4]","plainTextFormattedCitation":"[4]","previouslyFormattedCitation":"[4]"},"properties":{"noteIndex":0},"schema":"https://github.com/citation-style-language/schema/raw/master/csl-citation.json"}</w:instrText>
      </w:r>
      <w:r w:rsidR="00765CFF">
        <w:rPr>
          <w:rFonts w:cstheme="minorHAnsi"/>
          <w:color w:val="111111"/>
          <w:shd w:val="clear" w:color="auto" w:fill="FFFFFF"/>
        </w:rPr>
        <w:fldChar w:fldCharType="separate"/>
      </w:r>
      <w:r w:rsidR="009F105D" w:rsidRPr="009F105D">
        <w:rPr>
          <w:rFonts w:cstheme="minorHAnsi"/>
          <w:noProof/>
          <w:color w:val="111111"/>
          <w:shd w:val="clear" w:color="auto" w:fill="FFFFFF"/>
        </w:rPr>
        <w:t>[4]</w:t>
      </w:r>
      <w:r w:rsidR="00765CFF">
        <w:rPr>
          <w:rFonts w:cstheme="minorHAnsi"/>
          <w:color w:val="111111"/>
          <w:shd w:val="clear" w:color="auto" w:fill="FFFFFF"/>
        </w:rPr>
        <w:fldChar w:fldCharType="end"/>
      </w:r>
      <w:r w:rsidR="00477DFA">
        <w:rPr>
          <w:rFonts w:cstheme="minorHAnsi"/>
          <w:color w:val="111111"/>
          <w:shd w:val="clear" w:color="auto" w:fill="FFFFFF"/>
        </w:rPr>
        <w:t>.</w:t>
      </w:r>
      <w:r w:rsidR="000B0071">
        <w:rPr>
          <w:rFonts w:cstheme="minorHAnsi"/>
          <w:color w:val="111111"/>
          <w:shd w:val="clear" w:color="auto" w:fill="FFFFFF"/>
        </w:rPr>
        <w:t xml:space="preserve"> </w:t>
      </w:r>
      <w:r w:rsidR="00CE0486">
        <w:rPr>
          <w:rFonts w:cstheme="minorHAnsi"/>
          <w:color w:val="111111"/>
          <w:shd w:val="clear" w:color="auto" w:fill="FFFFFF"/>
        </w:rPr>
        <w:t xml:space="preserve">This is because the rule-set </w:t>
      </w:r>
      <w:r w:rsidR="00355F7C">
        <w:rPr>
          <w:rFonts w:cstheme="minorHAnsi"/>
          <w:color w:val="111111"/>
          <w:shd w:val="clear" w:color="auto" w:fill="FFFFFF"/>
        </w:rPr>
        <w:t>focuses on</w:t>
      </w:r>
      <w:r w:rsidR="00422EF9">
        <w:rPr>
          <w:rFonts w:cstheme="minorHAnsi"/>
          <w:color w:val="111111"/>
          <w:shd w:val="clear" w:color="auto" w:fill="FFFFFF"/>
        </w:rPr>
        <w:t xml:space="preserve"> </w:t>
      </w:r>
      <w:r w:rsidR="00355F7C">
        <w:rPr>
          <w:rFonts w:cstheme="minorHAnsi"/>
          <w:color w:val="111111"/>
          <w:shd w:val="clear" w:color="auto" w:fill="FFFFFF"/>
        </w:rPr>
        <w:t xml:space="preserve">the absorption properties of a drug, only one of many important </w:t>
      </w:r>
      <w:r w:rsidR="00355F7C">
        <w:rPr>
          <w:rFonts w:cstheme="minorHAnsi"/>
          <w:color w:val="111111"/>
          <w:shd w:val="clear" w:color="auto" w:fill="FFFFFF"/>
        </w:rPr>
        <w:t>components. Further</w:t>
      </w:r>
      <w:r w:rsidR="00386ADB" w:rsidRPr="00386ADB">
        <w:rPr>
          <w:rFonts w:cstheme="minorHAnsi"/>
          <w:color w:val="111111"/>
          <w:shd w:val="clear" w:color="auto" w:fill="FFFFFF"/>
        </w:rPr>
        <w:t xml:space="preserve">, they are primarily descriptive of permeability potential; solubility and dosage may also play a role in absorption. Also, the bounds </w:t>
      </w:r>
      <w:r w:rsidR="00716BD8" w:rsidRPr="00386ADB">
        <w:rPr>
          <w:rFonts w:cstheme="minorHAnsi"/>
          <w:color w:val="111111"/>
          <w:shd w:val="clear" w:color="auto" w:fill="FFFFFF"/>
        </w:rPr>
        <w:t>apply</w:t>
      </w:r>
      <w:r w:rsidR="00386ADB" w:rsidRPr="00386ADB">
        <w:rPr>
          <w:rFonts w:cstheme="minorHAnsi"/>
          <w:color w:val="111111"/>
          <w:shd w:val="clear" w:color="auto" w:fill="FFFFFF"/>
        </w:rPr>
        <w:t xml:space="preserve"> to oral drugs that do not act as substrates for naturally occurring transporters. While there are limitations, </w:t>
      </w:r>
      <w:r w:rsidR="00716BD8">
        <w:rPr>
          <w:rFonts w:cstheme="minorHAnsi"/>
          <w:color w:val="111111"/>
          <w:shd w:val="clear" w:color="auto" w:fill="FFFFFF"/>
        </w:rPr>
        <w:t xml:space="preserve">Lipinski’s </w:t>
      </w:r>
      <w:r w:rsidR="00386ADB" w:rsidRPr="00386ADB">
        <w:rPr>
          <w:rFonts w:cstheme="minorHAnsi"/>
          <w:color w:val="111111"/>
          <w:shd w:val="clear" w:color="auto" w:fill="FFFFFF"/>
        </w:rPr>
        <w:t xml:space="preserve">rule of </w:t>
      </w:r>
      <w:r w:rsidR="00831F8D">
        <w:rPr>
          <w:rFonts w:cstheme="minorHAnsi"/>
          <w:color w:val="111111"/>
          <w:shd w:val="clear" w:color="auto" w:fill="FFFFFF"/>
        </w:rPr>
        <w:t>5</w:t>
      </w:r>
      <w:r w:rsidR="00386ADB" w:rsidRPr="00386ADB">
        <w:rPr>
          <w:rFonts w:cstheme="minorHAnsi"/>
          <w:color w:val="111111"/>
          <w:shd w:val="clear" w:color="auto" w:fill="FFFFFF"/>
        </w:rPr>
        <w:t xml:space="preserve"> acts as a useful starting point in selecting important drug-like properties to act as features in future</w:t>
      </w:r>
      <w:r w:rsidR="00831F8D">
        <w:rPr>
          <w:rFonts w:cstheme="minorHAnsi"/>
          <w:color w:val="111111"/>
          <w:shd w:val="clear" w:color="auto" w:fill="FFFFFF"/>
        </w:rPr>
        <w:t xml:space="preserve"> drug-prediction</w:t>
      </w:r>
      <w:r w:rsidR="00386ADB" w:rsidRPr="00386ADB">
        <w:rPr>
          <w:rFonts w:cstheme="minorHAnsi"/>
          <w:color w:val="111111"/>
          <w:shd w:val="clear" w:color="auto" w:fill="FFFFFF"/>
        </w:rPr>
        <w:t xml:space="preserve"> models, specifically absorption models.</w:t>
      </w:r>
    </w:p>
    <w:p w14:paraId="382FDA40" w14:textId="58655278" w:rsidR="00F500A4" w:rsidRDefault="00F500A4" w:rsidP="005C530C">
      <w:pPr>
        <w:pStyle w:val="Heading2"/>
        <w:spacing w:line="276" w:lineRule="auto"/>
      </w:pPr>
      <w:bookmarkStart w:id="9" w:name="_Toc6143129"/>
      <w:r>
        <w:t>Extensions of the Rule-Based Methods</w:t>
      </w:r>
      <w:bookmarkEnd w:id="9"/>
    </w:p>
    <w:p w14:paraId="7C037E50" w14:textId="57F5CD97" w:rsidR="00720993" w:rsidRDefault="007D252E" w:rsidP="005C530C">
      <w:pPr>
        <w:spacing w:line="276" w:lineRule="auto"/>
        <w:ind w:firstLine="360"/>
        <w:jc w:val="both"/>
      </w:pPr>
      <w:r>
        <w:t xml:space="preserve">Further rule-based methods have </w:t>
      </w:r>
      <w:proofErr w:type="gramStart"/>
      <w:r>
        <w:t>been</w:t>
      </w:r>
      <w:r w:rsidR="001D23AE">
        <w:t xml:space="preserve"> </w:t>
      </w:r>
      <w:r>
        <w:t>created</w:t>
      </w:r>
      <w:proofErr w:type="gramEnd"/>
      <w:r>
        <w:t xml:space="preserve"> </w:t>
      </w:r>
      <w:r w:rsidR="001D23AE">
        <w:t>in</w:t>
      </w:r>
      <w:r>
        <w:t xml:space="preserve"> extension to </w:t>
      </w:r>
      <w:r w:rsidR="001D23AE" w:rsidRPr="001D23AE">
        <w:t>Lipinski's rule of 5</w:t>
      </w:r>
      <w:r w:rsidR="001D23AE">
        <w:t xml:space="preserve">, </w:t>
      </w:r>
      <w:r w:rsidR="00287621">
        <w:t>which further include rotatable bonds</w:t>
      </w:r>
      <w:r w:rsidR="003A6F5C">
        <w:t xml:space="preserve">, </w:t>
      </w:r>
      <w:r w:rsidR="00287621">
        <w:t>polar surface area</w:t>
      </w:r>
      <w:r w:rsidR="003A6F5C">
        <w:t xml:space="preserve">, </w:t>
      </w:r>
      <w:r w:rsidR="00E5033F">
        <w:t xml:space="preserve">and the number of </w:t>
      </w:r>
      <w:r w:rsidR="003A6F5C">
        <w:t>sp</w:t>
      </w:r>
      <w:r w:rsidR="003A6F5C">
        <w:rPr>
          <w:vertAlign w:val="superscript"/>
        </w:rPr>
        <w:t>3</w:t>
      </w:r>
      <w:r w:rsidR="00E5033F">
        <w:t xml:space="preserve"> hybridized carbon bonds</w:t>
      </w:r>
      <w:r w:rsidR="00273610">
        <w:t xml:space="preserve"> in the considered bounds. </w:t>
      </w:r>
      <w:r w:rsidR="005B36CE">
        <w:t xml:space="preserve">While the rule-based methods </w:t>
      </w:r>
      <w:r w:rsidR="00443605">
        <w:t xml:space="preserve">provide </w:t>
      </w:r>
      <w:r w:rsidR="00F36E82">
        <w:t xml:space="preserve">straightforward methods for </w:t>
      </w:r>
      <w:r w:rsidR="007C53B3">
        <w:t>determining</w:t>
      </w:r>
      <w:r w:rsidR="00ED6DB0">
        <w:t xml:space="preserve"> </w:t>
      </w:r>
      <w:r w:rsidR="007C53B3">
        <w:t xml:space="preserve">drug success, they are limited in substantial ways. </w:t>
      </w:r>
      <w:r w:rsidR="00034E1D" w:rsidRPr="00034E1D">
        <w:t>Having a strict cutoff implies these properties are discrete in their effects, rather than continuous. Misjudging this assumption can result in many missed opportunities.</w:t>
      </w:r>
      <w:r w:rsidR="00720993">
        <w:t xml:space="preserve"> </w:t>
      </w:r>
      <w:r w:rsidR="00847652">
        <w:t>Further, t</w:t>
      </w:r>
      <w:r w:rsidR="00034E1D" w:rsidRPr="00034E1D">
        <w:t>hese</w:t>
      </w:r>
      <w:r w:rsidR="00847652">
        <w:t xml:space="preserve"> rules </w:t>
      </w:r>
      <w:proofErr w:type="gramStart"/>
      <w:r w:rsidR="00847652">
        <w:t>are often generated</w:t>
      </w:r>
      <w:proofErr w:type="gramEnd"/>
      <w:r w:rsidR="00847652">
        <w:t xml:space="preserve"> only </w:t>
      </w:r>
      <w:r w:rsidR="00034E1D" w:rsidRPr="00034E1D">
        <w:t>from properties</w:t>
      </w:r>
      <w:r w:rsidR="00847652">
        <w:t xml:space="preserve"> that</w:t>
      </w:r>
      <w:r w:rsidR="00034E1D" w:rsidRPr="00034E1D">
        <w:t xml:space="preserve"> successful drugs have in common, however, if the distribution of these properties is the same for non-drugs as well, then these properties have no value in drug determination. Without comparing drugs and non-drugs, differences in property distribution cannot be known</w:t>
      </w:r>
      <w:r w:rsidR="000326FF">
        <w:t xml:space="preserve"> </w:t>
      </w:r>
      <w:r w:rsidR="000326FF">
        <w:fldChar w:fldCharType="begin" w:fldLock="1"/>
      </w:r>
      <w:r w:rsidR="00021050">
        <w:instrText>ADDIN CSL_CITATION {"citationItems":[{"id":"ITEM-1","itemData":{"DOI":"10.1016/j.drudis.2013.02.008","ISBN":"1359-6446","ISSN":"13596446","PMID":"23458995","abstract":"Many definitions of 'drug-like' compound properties have been published; based on the analysis of simple molecular properties of successful drugs. These are typically presented as rules that define acceptable boundaries for these properties. When a compound does not 'fit' within these boundaries then its properties differ from those of the majority of drugs, which could indicate a higher risk of poor pharmacokinetics or safety outcomes in vivo. Here, we review the strengths and weaknesses of these rules and note, in particular, that the overly rigid application of strict cut-off points can introduce artificial distinctions between similar compounds, running the risk of missing valuable opportunities. Alternatively, compounds can be ranked according to their similarity to marketed drugs using a continuous measure of drug-likeness. However, being similar to known drugs does not necessarily mean that a compound is more likely to become a drug and we demonstrate how a new approach, employing Bayesian methods, can be used to compare a set of successful drugs with a set of non-drug compounds to identify those properties that give the greatest distinction between the two sets, and hence the greatest increase in the likelihood of a compound becoming a successful drug. This analysis further illustrates that guidelines for drug-likeness might not be generally applicable across all compound and target classes or therapeutic indications. Therefore, it might be more appropriate to consider specific guidelines for drug-likeness that are project specific. © 2013 Elsevier Ltd.","author":[{"dropping-particle":"","family":"Yusof","given":"Iskander","non-dropping-particle":"","parse-names":false,"suffix":""},{"dropping-particle":"","family":"Segall","given":"Matthew D.","non-dropping-particle":"","parse-names":false,"suffix":""}],"container-title":"Drug Discovery Today","id":"ITEM-1","issue":"13-14","issued":{"date-parts":[["2013"]]},"page":"659-666","publisher":"Elsevier Ltd","title":"Considering the impact drug-like properties have on the chance of success","type":"article-journal","volume":"18"},"uris":["http://www.mendeley.com/documents/?uuid=9db034e8-1d13-4e06-b59a-132a72422b47"]}],"mendeley":{"formattedCitation":"[5]","plainTextFormattedCitation":"[5]","previouslyFormattedCitation":"[5]"},"properties":{"noteIndex":0},"schema":"https://github.com/citation-style-language/schema/raw/master/csl-citation.json"}</w:instrText>
      </w:r>
      <w:r w:rsidR="000326FF">
        <w:fldChar w:fldCharType="separate"/>
      </w:r>
      <w:r w:rsidR="000326FF" w:rsidRPr="000326FF">
        <w:rPr>
          <w:noProof/>
        </w:rPr>
        <w:t>[5]</w:t>
      </w:r>
      <w:r w:rsidR="000326FF">
        <w:fldChar w:fldCharType="end"/>
      </w:r>
      <w:r w:rsidR="00034E1D" w:rsidRPr="00034E1D">
        <w:t xml:space="preserve">. </w:t>
      </w:r>
    </w:p>
    <w:p w14:paraId="4219B2D7" w14:textId="2A0862B5" w:rsidR="00C17355" w:rsidRPr="003A6F5C" w:rsidRDefault="00034E1D" w:rsidP="005C530C">
      <w:pPr>
        <w:spacing w:line="276" w:lineRule="auto"/>
        <w:ind w:firstLine="360"/>
        <w:jc w:val="both"/>
      </w:pPr>
      <w:r w:rsidRPr="00034E1D">
        <w:t>To replace cutoffs with a continuous scale, Bickerton et al. created the quantitative estimate of drug-likeness (QED)</w:t>
      </w:r>
      <w:r w:rsidR="00E203AE">
        <w:t xml:space="preserve"> </w:t>
      </w:r>
      <w:r w:rsidR="00E203AE">
        <w:fldChar w:fldCharType="begin" w:fldLock="1"/>
      </w:r>
      <w:r w:rsidR="00021050">
        <w:instrText>ADDIN CSL_CITATION {"citationItems":[{"id":"ITEM-1","itemData":{"DOI":"10.1038/nchem.1243","ISSN":"1755-4330","abstract":"Drug-likeness is a key consideration when selecting compounds during the early stages of drug discovery. However, evaluation of drug-likeness in absolute terms does not reflect adequately the whole spectrum of compound quality. More worryingly, widely used rules may inadvertently foster undesirable molecular property inflation as they permit the encroachment of rule-compliant compounds towards their boundaries. We propose a measure of drug-likeness based on the concept of desirability called the quantitative estimate of drug-likeness (QED). The empirical rationale of QED reflects the underlying distribution of molecular properties. QED is intuitive, transparent, straightforward to implement in many practical settings and allows compounds to be ranked by their relative merit. We extended the utility of QED by applying it to the problem of molecular target druggability assessment by prioritizing a large set of published bioactive compounds. The measure may also capture the abstract notion of aesthetics in medicinal chemistry.","author":[{"dropping-particle":"","family":"Bickerton","given":"G Richard","non-dropping-particle":"","parse-names":false,"suffix":""},{"dropping-particle":"V","family":"Paolini","given":"Gaia","non-dropping-particle":"","parse-names":false,"suffix":""},{"dropping-particle":"","family":"Besnard","given":"Jérémy","non-dropping-particle":"","parse-names":false,"suffix":""},{"dropping-particle":"","family":"Muresan","given":"Sorel","non-dropping-particle":"","parse-names":false,"suffix":""},{"dropping-particle":"","family":"Hopkins","given":"Andrew L","non-dropping-particle":"","parse-names":false,"suffix":""}],"container-title":"Nature Chemistry","id":"ITEM-1","issue":"2","issued":{"date-parts":[["2012","2","1"]]},"page":"90-98","title":"Quantifying the chemical beauty of drugs","type":"article-journal","volume":"4"},"uris":["http://www.mendeley.com/documents/?uuid=b5336cbf-3b03-3b9a-9495-29955dbfb543"]}],"mendeley":{"formattedCitation":"[6]","plainTextFormattedCitation":"[6]","previouslyFormattedCitation":"[6]"},"properties":{"noteIndex":0},"schema":"https://github.com/citation-style-language/schema/raw/master/csl-citation.json"}</w:instrText>
      </w:r>
      <w:r w:rsidR="00E203AE">
        <w:fldChar w:fldCharType="separate"/>
      </w:r>
      <w:r w:rsidR="000326FF" w:rsidRPr="000326FF">
        <w:rPr>
          <w:noProof/>
        </w:rPr>
        <w:t>[6]</w:t>
      </w:r>
      <w:r w:rsidR="00E203AE">
        <w:fldChar w:fldCharType="end"/>
      </w:r>
      <w:r w:rsidRPr="00034E1D">
        <w:t xml:space="preserve">. This performs well, however, it still does not consider whether a property is truly predictive, i.e. has a different distribution from non-drugs. To consider both issues, the relative drug likelihood (RDL) can </w:t>
      </w:r>
      <w:proofErr w:type="gramStart"/>
      <w:r w:rsidRPr="00034E1D">
        <w:t>be computed</w:t>
      </w:r>
      <w:proofErr w:type="gramEnd"/>
      <w:r w:rsidRPr="00034E1D">
        <w:t>, which relies on a positive set and a negative set of data. These data sets are dependent on the question at hand. RDL performs better than QED, as it uses distributions from the positive and negative set to determine which properties have a high relative likelihood of distinguishing a drug</w:t>
      </w:r>
      <w:r w:rsidR="005F7FAE">
        <w:t xml:space="preserve"> </w:t>
      </w:r>
      <w:r w:rsidR="005F7FAE">
        <w:fldChar w:fldCharType="begin" w:fldLock="1"/>
      </w:r>
      <w:r w:rsidR="00021050">
        <w:instrText>ADDIN CSL_CITATION {"citationItems":[{"id":"ITEM-1","itemData":{"DOI":"10.1016/j.drudis.2013.02.008","ISBN":"1359-6446","ISSN":"13596446","PMID":"23458995","abstract":"Many definitions of 'drug-like' compound properties have been published; based on the analysis of simple molecular properties of successful drugs. These are typically presented as rules that define acceptable boundaries for these properties. When a compound does not 'fit' within these boundaries then its properties differ from those of the majority of drugs, which could indicate a higher risk of poor pharmacokinetics or safety outcomes in vivo. Here, we review the strengths and weaknesses of these rules and note, in particular, that the overly rigid application of strict cut-off points can introduce artificial distinctions between similar compounds, running the risk of missing valuable opportunities. Alternatively, compounds can be ranked according to their similarity to marketed drugs using a continuous measure of drug-likeness. However, being similar to known drugs does not necessarily mean that a compound is more likely to become a drug and we demonstrate how a new approach, employing Bayesian methods, can be used to compare a set of successful drugs with a set of non-drug compounds to identify those properties that give the greatest distinction between the two sets, and hence the greatest increase in the likelihood of a compound becoming a successful drug. This analysis further illustrates that guidelines for drug-likeness might not be generally applicable across all compound and target classes or therapeutic indications. Therefore, it might be more appropriate to consider specific guidelines for drug-likeness that are project specific. © 2013 Elsevier Ltd.","author":[{"dropping-particle":"","family":"Yusof","given":"Iskander","non-dropping-particle":"","parse-names":false,"suffix":""},{"dropping-particle":"","family":"Segall","given":"Matthew D.","non-dropping-particle":"","parse-names":false,"suffix":""}],"container-title":"Drug Discovery Today","id":"ITEM-1","issue":"13-14","issued":{"date-parts":[["2013"]]},"page":"659-666","publisher":"Elsevier Ltd","title":"Considering the impact drug-like properties have on the chance of success","type":"article-journal","volume":"18"},"uris":["http://www.mendeley.com/documents/?uuid=9db034e8-1d13-4e06-b59a-132a72422b47"]}],"mendeley":{"formattedCitation":"[5]","plainTextFormattedCitation":"[5]","previouslyFormattedCitation":"[5]"},"properties":{"noteIndex":0},"schema":"https://github.com/citation-style-language/schema/raw/master/csl-citation.json"}</w:instrText>
      </w:r>
      <w:r w:rsidR="005F7FAE">
        <w:fldChar w:fldCharType="separate"/>
      </w:r>
      <w:r w:rsidR="000326FF" w:rsidRPr="000326FF">
        <w:rPr>
          <w:noProof/>
        </w:rPr>
        <w:t>[5]</w:t>
      </w:r>
      <w:r w:rsidR="005F7FAE">
        <w:fldChar w:fldCharType="end"/>
      </w:r>
      <w:r w:rsidRPr="00034E1D">
        <w:t>.</w:t>
      </w:r>
    </w:p>
    <w:p w14:paraId="5C1D3693" w14:textId="1DC2789F" w:rsidR="00F500A4" w:rsidRDefault="00447D86" w:rsidP="005C530C">
      <w:pPr>
        <w:pStyle w:val="Heading2"/>
        <w:spacing w:line="276" w:lineRule="auto"/>
      </w:pPr>
      <w:bookmarkStart w:id="10" w:name="_Toc6143130"/>
      <w:r w:rsidRPr="00447D86">
        <w:t>Applying Machine Learning to Drug Discovery</w:t>
      </w:r>
      <w:bookmarkEnd w:id="10"/>
    </w:p>
    <w:p w14:paraId="60965946" w14:textId="7052EE66" w:rsidR="00B17E44" w:rsidRDefault="00B17E44" w:rsidP="005C530C">
      <w:pPr>
        <w:spacing w:line="276" w:lineRule="auto"/>
        <w:ind w:firstLine="360"/>
        <w:jc w:val="both"/>
      </w:pPr>
      <w:r>
        <w:rPr>
          <w:rFonts w:cstheme="minorHAnsi"/>
          <w:color w:val="111111"/>
          <w:shd w:val="clear" w:color="auto" w:fill="FFFFFF"/>
        </w:rPr>
        <w:t xml:space="preserve">Many models and commercial software have been developed to predict various ADMET properties for drug candidates </w:t>
      </w:r>
      <w:r>
        <w:rPr>
          <w:rFonts w:cstheme="minorHAnsi"/>
          <w:color w:val="111111"/>
          <w:shd w:val="clear" w:color="auto" w:fill="FFFFFF"/>
        </w:rPr>
        <w:fldChar w:fldCharType="begin" w:fldLock="1"/>
      </w:r>
      <w:r>
        <w:rPr>
          <w:rFonts w:cstheme="minorHAnsi"/>
          <w:color w:val="111111"/>
          <w:shd w:val="clear" w:color="auto" w:fill="FFFFFF"/>
        </w:rPr>
        <w:instrText>ADDIN CSL_CITATION {"citationItems":[{"id":"ITEM-1","itemData":{"DOI":"10.1038/nrd1032","ISBN":"1474-1776 (Print)\\n1474-1776 (Linking)","ISSN":"14741776","PMID":"12612645","abstract":"Following studies in the late 1990s that indicated that poor pharmacokinetics and toxicity were important causes of costly late-stage failures in drug development, it has become widely appreciated that these areas should be considered as early as possible in the drug discovery process. However, in recent years, combinatorial chemistry and high-throughput screening have significantly increased the number of compounds for which early data on absorption, distribution, metabolism, excretion (ADME) and toxicity (T) are needed, which has in turn driven the development of a variety of medium and high-throughput in vitro ADMET screens. Here, we describe how in silico approaches will further increase our ability to predict and model the most relevant pharmacokinetic, metabolic and toxicity endpoints, thereby accelerating the drug discovery process.","author":[{"dropping-particle":"","family":"Waterbeemd","given":"Han","non-dropping-particle":"van de","parse-names":false,"suffix":""},{"dropping-particle":"","family":"Gifford","given":"Eric","non-dropping-particle":"","parse-names":false,"suffix":""}],"container-title":"Nature Reviews Drug Discovery","id":"ITEM-1","issue":"3","issued":{"date-parts":[["2003"]]},"page":"192-204","title":"ADMET in silico modelling: Towards prediction paradise?","type":"article-journal","volume":"2"},"uris":["http://www.mendeley.com/documents/?uuid=faea0d55-9d51-44ae-af73-44187cd9be3d"]}],"mendeley":{"formattedCitation":"[1]","plainTextFormattedCitation":"[1]","previouslyFormattedCitation":"[1]"},"properties":{"noteIndex":0},"schema":"https://github.com/citation-style-language/schema/raw/master/csl-citation.json"}</w:instrText>
      </w:r>
      <w:r>
        <w:rPr>
          <w:rFonts w:cstheme="minorHAnsi"/>
          <w:color w:val="111111"/>
          <w:shd w:val="clear" w:color="auto" w:fill="FFFFFF"/>
        </w:rPr>
        <w:fldChar w:fldCharType="separate"/>
      </w:r>
      <w:r w:rsidRPr="00765CFF">
        <w:rPr>
          <w:rFonts w:cstheme="minorHAnsi"/>
          <w:noProof/>
          <w:color w:val="111111"/>
          <w:shd w:val="clear" w:color="auto" w:fill="FFFFFF"/>
        </w:rPr>
        <w:t>[1]</w:t>
      </w:r>
      <w:r>
        <w:rPr>
          <w:rFonts w:cstheme="minorHAnsi"/>
          <w:color w:val="111111"/>
          <w:shd w:val="clear" w:color="auto" w:fill="FFFFFF"/>
        </w:rPr>
        <w:fldChar w:fldCharType="end"/>
      </w:r>
      <w:r>
        <w:rPr>
          <w:rFonts w:cstheme="minorHAnsi"/>
          <w:color w:val="111111"/>
          <w:shd w:val="clear" w:color="auto" w:fill="FFFFFF"/>
        </w:rPr>
        <w:t xml:space="preserve">. This, including many other medicinal chemistry topics have begun to improve with the use of machine learning techniques </w:t>
      </w:r>
      <w:r>
        <w:rPr>
          <w:rFonts w:cstheme="minorHAnsi"/>
          <w:color w:val="111111"/>
          <w:shd w:val="clear" w:color="auto" w:fill="FFFFFF"/>
        </w:rPr>
        <w:fldChar w:fldCharType="begin" w:fldLock="1"/>
      </w:r>
      <w:r w:rsidR="00C360C2">
        <w:rPr>
          <w:rFonts w:cstheme="minorHAnsi"/>
          <w:color w:val="111111"/>
          <w:shd w:val="clear" w:color="auto" w:fill="FFFFFF"/>
        </w:rPr>
        <w:instrText>ADDIN CSL_CITATION {"citationItems":[{"id":"ITEM-1","itemData":{"DOI":"10.1016/j.bmcl.2018.06.046","ISSN":"14643405","PMID":"30122222","abstract":"In recent decades, artificial intelligence and machine learning have played a significant role in increasing the efficiency of processes across a wide spectrum of industries. When it comes to the pharmaceutical and biotechnology sectors, numerous tools enabled by advancement of computer science have been developed and are now routinely utilized. However, there are many aspects of the drug discovery process, which can further benefit from refinement of computational methods and tools, as well as improvement of accessibility of these new technologies. In this review, examples of recent developments in machine learning application are described, which have the potential to impact different parts of the drug discovery and development flow scheme. Notably, new deep learning-based approaches across compound design and synthesis, prediction of binding, activity and ADMET properties, as well as applications of genetic algorithms are highlighted.","author":[{"dropping-particle":"","family":"Panteleev","given":"Jane","non-dropping-particle":"","parse-names":false,"suffix":""},{"dropping-particle":"","family":"Gao","given":"Hua","non-dropping-particle":"","parse-names":false,"suffix":""},{"dropping-particle":"","family":"Jia","given":"Lei","non-dropping-particle":"","parse-names":false,"suffix":""}],"container-title":"Bioorganic and Medicinal Chemistry Letters","id":"ITEM-1","issue":"17","issued":{"date-parts":[["2018"]]},"page":"2807-2815","publisher":"Elsevier","title":"Recent applications of machine learning in medicinal chemistry","type":"article-journal","volume":"28"},"uris":["http://www.mendeley.com/documents/?uuid=a992204f-92d9-460d-9d74-be5df26aa83c"]}],"mendeley":{"formattedCitation":"[7]","plainTextFormattedCitation":"[7]","previouslyFormattedCitation":"[7]"},"properties":{"noteIndex":0},"schema":"https://github.com/citation-style-language/schema/raw/master/csl-citation.json"}</w:instrText>
      </w:r>
      <w:r>
        <w:rPr>
          <w:rFonts w:cstheme="minorHAnsi"/>
          <w:color w:val="111111"/>
          <w:shd w:val="clear" w:color="auto" w:fill="FFFFFF"/>
        </w:rPr>
        <w:fldChar w:fldCharType="separate"/>
      </w:r>
      <w:r w:rsidRPr="00B17E44">
        <w:rPr>
          <w:rFonts w:cstheme="minorHAnsi"/>
          <w:noProof/>
          <w:color w:val="111111"/>
          <w:shd w:val="clear" w:color="auto" w:fill="FFFFFF"/>
        </w:rPr>
        <w:t>[7]</w:t>
      </w:r>
      <w:r>
        <w:rPr>
          <w:rFonts w:cstheme="minorHAnsi"/>
          <w:color w:val="111111"/>
          <w:shd w:val="clear" w:color="auto" w:fill="FFFFFF"/>
        </w:rPr>
        <w:fldChar w:fldCharType="end"/>
      </w:r>
      <w:r>
        <w:rPr>
          <w:rFonts w:cstheme="minorHAnsi"/>
          <w:color w:val="111111"/>
          <w:shd w:val="clear" w:color="auto" w:fill="FFFFFF"/>
        </w:rPr>
        <w:t>. For example, d</w:t>
      </w:r>
      <w:r w:rsidRPr="009D2751">
        <w:rPr>
          <w:rFonts w:cstheme="minorHAnsi"/>
          <w:color w:val="111111"/>
          <w:shd w:val="clear" w:color="auto" w:fill="FFFFFF"/>
        </w:rPr>
        <w:t xml:space="preserve">rugs </w:t>
      </w:r>
      <w:r w:rsidRPr="009D2751">
        <w:rPr>
          <w:rFonts w:cstheme="minorHAnsi"/>
          <w:color w:val="111111"/>
          <w:shd w:val="clear" w:color="auto" w:fill="FFFFFF"/>
        </w:rPr>
        <w:lastRenderedPageBreak/>
        <w:t>typically have a solubility, denoted as log S, ranging from -1 to -5. This is important for achieving adequate solubility in aqueous solution while staying partially hydrophobic to pass through cell membranes.</w:t>
      </w:r>
      <w:r>
        <w:rPr>
          <w:rFonts w:cstheme="minorHAnsi"/>
          <w:color w:val="111111"/>
          <w:shd w:val="clear" w:color="auto" w:fill="FFFFFF"/>
        </w:rPr>
        <w:t xml:space="preserve"> However, finding the solubility of a compound is difficult. Rather than direct measurements, </w:t>
      </w:r>
      <w:r w:rsidRPr="00A56E8A">
        <w:rPr>
          <w:rFonts w:cstheme="minorHAnsi"/>
          <w:color w:val="111111"/>
          <w:shd w:val="clear" w:color="auto" w:fill="FFFFFF"/>
        </w:rPr>
        <w:t>machine learning methods have been used</w:t>
      </w:r>
      <w:r>
        <w:rPr>
          <w:rFonts w:cstheme="minorHAnsi"/>
          <w:color w:val="111111"/>
          <w:shd w:val="clear" w:color="auto" w:fill="FFFFFF"/>
        </w:rPr>
        <w:t xml:space="preserve">, which </w:t>
      </w:r>
      <w:r w:rsidRPr="00A56E8A">
        <w:rPr>
          <w:rFonts w:cstheme="minorHAnsi"/>
          <w:color w:val="111111"/>
          <w:shd w:val="clear" w:color="auto" w:fill="FFFFFF"/>
        </w:rPr>
        <w:t>can achieve predictions within a rms error of 0.8 log unit, performing as well as the uncertainty from experimental log S measures, averaging 0.6 log unit</w:t>
      </w:r>
      <w:r>
        <w:rPr>
          <w:rFonts w:cstheme="minorHAnsi"/>
          <w:color w:val="111111"/>
          <w:shd w:val="clear" w:color="auto" w:fill="FFFFFF"/>
        </w:rPr>
        <w:t xml:space="preserve"> </w:t>
      </w:r>
      <w:r>
        <w:rPr>
          <w:rFonts w:cstheme="minorHAnsi"/>
          <w:color w:val="111111"/>
          <w:shd w:val="clear" w:color="auto" w:fill="FFFFFF"/>
        </w:rPr>
        <w:fldChar w:fldCharType="begin" w:fldLock="1"/>
      </w:r>
      <w:r w:rsidR="00C360C2">
        <w:rPr>
          <w:rFonts w:cstheme="minorHAnsi"/>
          <w:color w:val="111111"/>
          <w:shd w:val="clear" w:color="auto" w:fill="FFFFFF"/>
        </w:rPr>
        <w:instrText>ADDIN CSL_CITATION {"citationItems":[{"id":"ITEM-1","itemData":{"DOI":"10.1016/S0169-409X(02)00008-X","ISBN":"0169-409X","ISSN":"0169409X","author":[{"dropping-particle":"","family":"Jorgensen","given":"William L.","non-dropping-particle":"","parse-names":false,"suffix":""},{"dropping-particle":"","family":"Duffy","given":"Erin M.","non-dropping-particle":"","parse-names":false,"suffix":""}],"container-title":"Advanced Drug Delivery Reviews","id":"ITEM-1","issue":"3","issued":{"date-parts":[["2002","3"]]},"page":"355-366","title":"Prediction of drug solubility from structure","type":"article-journal","volume":"54"},"uris":["http://www.mendeley.com/documents/?uuid=9e0448c1-bb07-4c7a-8fa8-3285b3360af1"]}],"mendeley":{"formattedCitation":"[8]","plainTextFormattedCitation":"[8]","previouslyFormattedCitation":"[8]"},"properties":{"noteIndex":0},"schema":"https://github.com/citation-style-language/schema/raw/master/csl-citation.json"}</w:instrText>
      </w:r>
      <w:r>
        <w:rPr>
          <w:rFonts w:cstheme="minorHAnsi"/>
          <w:color w:val="111111"/>
          <w:shd w:val="clear" w:color="auto" w:fill="FFFFFF"/>
        </w:rPr>
        <w:fldChar w:fldCharType="separate"/>
      </w:r>
      <w:r w:rsidRPr="00B17E44">
        <w:rPr>
          <w:rFonts w:cstheme="minorHAnsi"/>
          <w:noProof/>
          <w:color w:val="111111"/>
          <w:shd w:val="clear" w:color="auto" w:fill="FFFFFF"/>
        </w:rPr>
        <w:t>[8]</w:t>
      </w:r>
      <w:r>
        <w:rPr>
          <w:rFonts w:cstheme="minorHAnsi"/>
          <w:color w:val="111111"/>
          <w:shd w:val="clear" w:color="auto" w:fill="FFFFFF"/>
        </w:rPr>
        <w:fldChar w:fldCharType="end"/>
      </w:r>
      <w:r>
        <w:rPr>
          <w:rFonts w:cstheme="minorHAnsi"/>
          <w:color w:val="111111"/>
          <w:shd w:val="clear" w:color="auto" w:fill="FFFFFF"/>
        </w:rPr>
        <w:t>.</w:t>
      </w:r>
    </w:p>
    <w:p w14:paraId="35CAC027" w14:textId="798989B0" w:rsidR="00447D86" w:rsidRDefault="008B570A" w:rsidP="005C530C">
      <w:pPr>
        <w:spacing w:line="276" w:lineRule="auto"/>
        <w:ind w:firstLine="360"/>
        <w:jc w:val="both"/>
      </w:pPr>
      <w:r>
        <w:t>Machine learn</w:t>
      </w:r>
      <w:r w:rsidR="00ED6498">
        <w:t>ing techniques have</w:t>
      </w:r>
      <w:r w:rsidR="00B17E44">
        <w:t xml:space="preserve"> also</w:t>
      </w:r>
      <w:r w:rsidR="00ED6498">
        <w:t xml:space="preserve"> </w:t>
      </w:r>
      <w:proofErr w:type="gramStart"/>
      <w:r w:rsidR="00ED6498">
        <w:t>been applied</w:t>
      </w:r>
      <w:proofErr w:type="gramEnd"/>
      <w:r w:rsidR="00ED6498">
        <w:t xml:space="preserve"> to ligand-based visual screening. In other words, machine learning algorithms have </w:t>
      </w:r>
      <w:proofErr w:type="gramStart"/>
      <w:r w:rsidR="00ED6498">
        <w:t>been used</w:t>
      </w:r>
      <w:proofErr w:type="gramEnd"/>
      <w:r w:rsidR="00ED6498">
        <w:t xml:space="preserve"> to determine which drugs </w:t>
      </w:r>
      <w:r w:rsidR="00FE0C23">
        <w:t>match some query the most out of a database of potential compound</w:t>
      </w:r>
      <w:r w:rsidR="00481AFE">
        <w:t>s</w:t>
      </w:r>
      <w:r w:rsidR="00021050">
        <w:t>.</w:t>
      </w:r>
      <w:r w:rsidR="00481AFE">
        <w:t xml:space="preserve"> </w:t>
      </w:r>
      <w:r w:rsidR="003D0602">
        <w:t xml:space="preserve">Support vector machines (SVMs) have </w:t>
      </w:r>
      <w:proofErr w:type="gramStart"/>
      <w:r w:rsidR="003D0602">
        <w:t>been used</w:t>
      </w:r>
      <w:proofErr w:type="gramEnd"/>
      <w:r w:rsidR="003D0602">
        <w:t xml:space="preserve"> in various </w:t>
      </w:r>
      <w:r w:rsidR="007A6B46">
        <w:t>ligand-based visual screening tasks. Notably, they have had success in distinguishing drugs f</w:t>
      </w:r>
      <w:r w:rsidR="00060A53">
        <w:t>ro</w:t>
      </w:r>
      <w:r w:rsidR="007A6B46">
        <w:t xml:space="preserve">m </w:t>
      </w:r>
      <w:r w:rsidR="0033092C">
        <w:t>non-drugs</w:t>
      </w:r>
      <w:r w:rsidR="007A6B46">
        <w:t xml:space="preserve">. </w:t>
      </w:r>
      <w:r w:rsidR="002C423A">
        <w:t xml:space="preserve">This is achieved by projecting </w:t>
      </w:r>
      <w:r w:rsidR="00697689">
        <w:t>compound</w:t>
      </w:r>
      <w:r w:rsidR="00BD2F9D">
        <w:t xml:space="preserve">s </w:t>
      </w:r>
      <w:r w:rsidR="00697689">
        <w:t>into high dimensional spac</w:t>
      </w:r>
      <w:r w:rsidR="00BD2F9D">
        <w:t>e</w:t>
      </w:r>
      <w:r w:rsidR="00697689">
        <w:t xml:space="preserve"> </w:t>
      </w:r>
      <w:r w:rsidR="00BD2F9D">
        <w:t>so that</w:t>
      </w:r>
      <w:r w:rsidR="00697689">
        <w:t xml:space="preserve"> </w:t>
      </w:r>
      <w:r w:rsidR="00BD2F9D">
        <w:t xml:space="preserve">they may become linearly </w:t>
      </w:r>
      <w:r w:rsidR="00BF55E0">
        <w:t>separable</w:t>
      </w:r>
      <w:r w:rsidR="00BD2F9D">
        <w:t>.</w:t>
      </w:r>
      <w:r w:rsidR="009D08CC">
        <w:t xml:space="preserve"> </w:t>
      </w:r>
      <w:r w:rsidR="00E62EDE">
        <w:t>Random forest (RF) is another technique</w:t>
      </w:r>
      <w:r w:rsidR="00593F56">
        <w:t xml:space="preserve"> </w:t>
      </w:r>
      <w:r w:rsidR="00BE5D70">
        <w:t>often employed in ligand-based visual screening</w:t>
      </w:r>
      <w:r w:rsidR="009D08CC">
        <w:t>.</w:t>
      </w:r>
      <w:r w:rsidR="00BE5D70">
        <w:t xml:space="preserve"> </w:t>
      </w:r>
      <w:r w:rsidR="00CA674E">
        <w:t>RF uses an ensemble of decision trees, where</w:t>
      </w:r>
      <w:r w:rsidR="0092218A">
        <w:t xml:space="preserve"> each tree </w:t>
      </w:r>
      <w:proofErr w:type="gramStart"/>
      <w:r w:rsidR="0092218A">
        <w:t>is created</w:t>
      </w:r>
      <w:proofErr w:type="gramEnd"/>
      <w:r w:rsidR="0092218A">
        <w:t xml:space="preserve"> from a random sample of training data.</w:t>
      </w:r>
      <w:r w:rsidR="00C360C2">
        <w:t xml:space="preserve"> One advantage is that </w:t>
      </w:r>
      <w:r w:rsidR="008569D9">
        <w:t xml:space="preserve">RF can handle imbalanced classes, which can be common in the </w:t>
      </w:r>
      <w:r w:rsidR="0033092C">
        <w:t>chemical</w:t>
      </w:r>
      <w:r w:rsidR="008569D9">
        <w:t xml:space="preserve"> space</w:t>
      </w:r>
      <w:r w:rsidR="00416AD3">
        <w:t xml:space="preserve"> </w:t>
      </w:r>
      <w:r w:rsidR="00416AD3">
        <w:fldChar w:fldCharType="begin" w:fldLock="1"/>
      </w:r>
      <w:r w:rsidR="004668CE">
        <w:instrText>ADDIN CSL_CITATION {"citationItems":[{"id":"ITEM-1","itemData":{"DOI":"10.1016/j.drudis.2014.10.012","ISBN":"18785832 (Electronic)","ISSN":"18785832","PMID":"25448759","abstract":"During the past decade, virtual screening (VS) has evolved from traditional similarity searching, which utilizes single reference compounds, into an advanced application domain for data mining and machine-learning approaches, which require large and representative training-set compounds to learn robust decision rules the explosive growth in the amount of public domain-available chemical and biological data has generated huge effort to design, analyze, and apply novel learning methodologies. Here, I focus on machine-learning techniques within the context of ligand-based VS (LBVS). In addition, I analyze several relevant VS studies from recent publications, providing a detailed view of the current state-of-the-art in this field and highlighting not only the problematic issues, but also the successes and opportunities for further advances.","author":[{"dropping-particle":"","family":"Lavecchia","given":"Antonio","non-dropping-particle":"","parse-names":false,"suffix":""}],"container-title":"Drug Discovery Today","id":"ITEM-1","issue":"3","issued":{"date-parts":[["2015"]]},"page":"318-331","publisher":"Elsevier Ltd","title":"Machine-learning approaches in drug discovery: Methods and applications","type":"article-journal","volume":"20"},"uris":["http://www.mendeley.com/documents/?uuid=24368838-a290-4f41-b73d-1d119d148d40"]}],"mendeley":{"formattedCitation":"[9]","plainTextFormattedCitation":"[9]","previouslyFormattedCitation":"[9]"},"properties":{"noteIndex":0},"schema":"https://github.com/citation-style-language/schema/raw/master/csl-citation.json"}</w:instrText>
      </w:r>
      <w:r w:rsidR="00416AD3">
        <w:fldChar w:fldCharType="separate"/>
      </w:r>
      <w:r w:rsidR="00416AD3" w:rsidRPr="00416AD3">
        <w:rPr>
          <w:noProof/>
        </w:rPr>
        <w:t>[9]</w:t>
      </w:r>
      <w:r w:rsidR="00416AD3">
        <w:fldChar w:fldCharType="end"/>
      </w:r>
      <w:r w:rsidR="008569D9">
        <w:t>.</w:t>
      </w:r>
    </w:p>
    <w:p w14:paraId="0F40101D" w14:textId="51B34C6C" w:rsidR="00416AD3" w:rsidRDefault="004C4BFF" w:rsidP="005C530C">
      <w:pPr>
        <w:spacing w:line="276" w:lineRule="auto"/>
        <w:ind w:firstLine="360"/>
        <w:jc w:val="both"/>
      </w:pPr>
      <w:r>
        <w:t xml:space="preserve">Deep learning techniques have also </w:t>
      </w:r>
      <w:proofErr w:type="gramStart"/>
      <w:r>
        <w:t>been explored</w:t>
      </w:r>
      <w:proofErr w:type="gramEnd"/>
      <w:r>
        <w:t xml:space="preserve"> more recently,</w:t>
      </w:r>
      <w:r w:rsidR="009C1E4E">
        <w:t xml:space="preserve"> n</w:t>
      </w:r>
      <w:r w:rsidR="009C1E4E" w:rsidRPr="009C1E4E">
        <w:t>otably, convolutional neural networks, recurrent neural networks, and fully connected feed-forward networks. Deep neural networks have been shown to perform better than other machine learning techniques, such as random forest, at compound activity prediction</w:t>
      </w:r>
      <w:r w:rsidR="004668CE">
        <w:t xml:space="preserve"> </w:t>
      </w:r>
      <w:r w:rsidR="004668CE">
        <w:fldChar w:fldCharType="begin" w:fldLock="1"/>
      </w:r>
      <w:r w:rsidR="003220E5">
        <w:instrText>ADDIN CSL_CITATION {"citationItems":[{"id":"ITEM-1","itemData":{"DOI":"10.1016/j.drudis.2018.01.039","ISBN":"1359-6446","ISSN":"18785832","PMID":"29366762","abstract":"Over the past decade, deep learning has achieved remarkable success in various artificial intelligence research areas. Evolved from the previous research on artificial neural networks, this technology has shown superior performance to other machine learning algorithms in areas such as image and voice recognition, natural language processing, among others. The first wave of applications of deep learning in pharmaceutical research has emerged in recent years, and its utility has gone beyond bioactivity predictions and has shown promise in addressing diverse problems in drug discovery. Examples will be discussed covering bioactivity prediction, de novo molecular design, synthesis prediction and biological image analysis.","author":[{"dropping-particle":"","family":"Chen","given":"Hongming","non-dropping-particle":"","parse-names":false,"suffix":""},{"dropping-particle":"","family":"Engkvist","given":"Ola","non-dropping-particle":"","parse-names":false,"suffix":""},{"dropping-particle":"","family":"Wang","given":"Yinhai","non-dropping-particle":"","parse-names":false,"suffix":""},{"dropping-particle":"","family":"Olivecrona","given":"Marcus","non-dropping-particle":"","parse-names":false,"suffix":""},{"dropping-particle":"","family":"Blaschke","given":"Thomas","non-dropping-particle":"","parse-names":false,"suffix":""}],"container-title":"Drug Discovery Today","id":"ITEM-1","issue":"6","issued":{"date-parts":[["2018"]]},"page":"1241-1250","publisher":"Elsevier Ltd","title":"The rise of deep learning in drug discovery","type":"article-journal","volume":"23"},"uris":["http://www.mendeley.com/documents/?uuid=e0e43a9b-bc58-47cf-8d35-cac273d459da"]}],"mendeley":{"formattedCitation":"[10]","plainTextFormattedCitation":"[10]","previouslyFormattedCitation":"[10]"},"properties":{"noteIndex":0},"schema":"https://github.com/citation-style-language/schema/raw/master/csl-citation.json"}</w:instrText>
      </w:r>
      <w:r w:rsidR="004668CE">
        <w:fldChar w:fldCharType="separate"/>
      </w:r>
      <w:r w:rsidR="004668CE" w:rsidRPr="004668CE">
        <w:rPr>
          <w:noProof/>
        </w:rPr>
        <w:t>[10]</w:t>
      </w:r>
      <w:r w:rsidR="004668CE">
        <w:fldChar w:fldCharType="end"/>
      </w:r>
      <w:r w:rsidR="009C1E4E" w:rsidRPr="009C1E4E">
        <w:t>.</w:t>
      </w:r>
      <w:r w:rsidR="004668CE">
        <w:t xml:space="preserve"> </w:t>
      </w:r>
      <w:r w:rsidR="00EF7486">
        <w:rPr>
          <w:rFonts w:cstheme="minorHAnsi"/>
        </w:rPr>
        <w:t xml:space="preserve">However, </w:t>
      </w:r>
      <w:r w:rsidR="000A0771">
        <w:rPr>
          <w:rFonts w:cstheme="minorHAnsi"/>
        </w:rPr>
        <w:t xml:space="preserve">deep learning often needs sample sizes in the </w:t>
      </w:r>
      <w:r w:rsidR="00EF7486">
        <w:rPr>
          <w:rFonts w:cstheme="minorHAnsi"/>
        </w:rPr>
        <w:t>millions. Unfortunately, drug discovery is limited for available data as drug development and testing is long and costly</w:t>
      </w:r>
      <w:r w:rsidR="000A0771">
        <w:rPr>
          <w:rFonts w:cstheme="minorHAnsi"/>
        </w:rPr>
        <w:t>. R</w:t>
      </w:r>
      <w:r w:rsidR="003220E5">
        <w:t>ecent work has been done on employing one-shot learning in the drug candidate space</w:t>
      </w:r>
      <w:r w:rsidR="000A0771">
        <w:t xml:space="preserve">, which requires </w:t>
      </w:r>
      <w:r w:rsidR="009A18E6">
        <w:t>only a few</w:t>
      </w:r>
      <w:r w:rsidR="000A0771">
        <w:t xml:space="preserve"> samples</w:t>
      </w:r>
      <w:r w:rsidR="00F069C0">
        <w:t xml:space="preserve"> </w:t>
      </w:r>
      <w:r w:rsidR="003220E5">
        <w:fldChar w:fldCharType="begin" w:fldLock="1"/>
      </w:r>
      <w:r w:rsidR="0033092C">
        <w:instrText>ADDIN CSL_CITATION {"citationItems":[{"id":"ITEM-1","itemData":{"DOI":"10.1021/acscentsci.6b00367","ISSN":"2374-7943","abstract":"Recent advances in machine learning have made significant contributions to drug discovery. Deep neural networks in particular have been demonstrated to provide significant boosts in predictive power when inferring the properties and activities of small-molecule compounds (Ma, J. et al. J. Chem. Inf. Model. 2015, 55, 263−274). However, the applicability of these techniques has been limited by the requirement for large amounts of training data. In this work, we demonstrate how one-shot learning can be used to significantly lower the amounts of data required to make meaningful predictions in drug discovery applications. We introduce a new architecture, the iterative refinement long short-term memory, that, when combined with graph convolutional neural networks, significantly improves learning of meaningful distance metrics over small-molecules. We open source all models introduced in this work as part of DeepChem, an open-source framework for deep-learning in drug discovery (Ramsundar, B. deepchem.io. https://github.com/deepchem/deepchem, 2016).","author":[{"dropping-particle":"","family":"Altae-Tran","given":"Han","non-dropping-particle":"","parse-names":false,"suffix":""},{"dropping-particle":"","family":"Ramsundar","given":"Bharath","non-dropping-particle":"","parse-names":false,"suffix":""},{"dropping-particle":"","family":"Pappu","given":"Aneesh S","non-dropping-particle":"","parse-names":false,"suffix":""},{"dropping-particle":"","family":"Pande","given":"Vijay","non-dropping-particle":"","parse-names":false,"suffix":""}],"container-title":"ACS Central Science","id":"ITEM-1","issue":"4","issued":{"date-parts":[["2017","4","26"]]},"page":"283-293","title":"Low Data Drug Discovery with One-Shot Learning","type":"article-journal","volume":"3"},"uris":["http://www.mendeley.com/documents/?uuid=f3b24103-51ee-3a56-b7d3-3188793ba56b"]}],"mendeley":{"formattedCitation":"[11]","plainTextFormattedCitation":"[11]","previouslyFormattedCitation":"[11]"},"properties":{"noteIndex":0},"schema":"https://github.com/citation-style-language/schema/raw/master/csl-citation.json"}</w:instrText>
      </w:r>
      <w:r w:rsidR="003220E5">
        <w:fldChar w:fldCharType="separate"/>
      </w:r>
      <w:r w:rsidR="003220E5" w:rsidRPr="003220E5">
        <w:rPr>
          <w:noProof/>
        </w:rPr>
        <w:t>[11]</w:t>
      </w:r>
      <w:r w:rsidR="003220E5">
        <w:fldChar w:fldCharType="end"/>
      </w:r>
      <w:r w:rsidR="003220E5">
        <w:t>.</w:t>
      </w:r>
    </w:p>
    <w:p w14:paraId="72B29F35" w14:textId="16388FE5" w:rsidR="00A01B5A" w:rsidRDefault="006405F5" w:rsidP="005C530C">
      <w:pPr>
        <w:pStyle w:val="Heading2"/>
        <w:spacing w:line="276" w:lineRule="auto"/>
      </w:pPr>
      <w:bookmarkStart w:id="11" w:name="_Toc6143131"/>
      <w:r>
        <w:t>Aims and Goals</w:t>
      </w:r>
      <w:bookmarkEnd w:id="11"/>
    </w:p>
    <w:p w14:paraId="79797B10" w14:textId="61B659CD" w:rsidR="00E35613" w:rsidRPr="00E35613" w:rsidRDefault="00B85C97" w:rsidP="005C530C">
      <w:pPr>
        <w:spacing w:line="276" w:lineRule="auto"/>
        <w:ind w:firstLine="360"/>
        <w:jc w:val="both"/>
        <w:rPr>
          <w:rFonts w:cstheme="minorHAnsi"/>
          <w:color w:val="111111"/>
          <w:shd w:val="clear" w:color="auto" w:fill="FFFFFF"/>
        </w:rPr>
      </w:pPr>
      <w:r>
        <w:rPr>
          <w:rFonts w:cstheme="minorHAnsi"/>
          <w:color w:val="111111"/>
          <w:shd w:val="clear" w:color="auto" w:fill="FFFFFF"/>
        </w:rPr>
        <w:t>I propose to evaluate</w:t>
      </w:r>
      <w:r w:rsidR="00173696">
        <w:rPr>
          <w:rFonts w:cstheme="minorHAnsi"/>
          <w:color w:val="111111"/>
          <w:shd w:val="clear" w:color="auto" w:fill="FFFFFF"/>
        </w:rPr>
        <w:t xml:space="preserve"> the </w:t>
      </w:r>
      <w:r w:rsidR="00E762E2">
        <w:rPr>
          <w:rFonts w:cstheme="minorHAnsi"/>
          <w:color w:val="111111"/>
          <w:shd w:val="clear" w:color="auto" w:fill="FFFFFF"/>
        </w:rPr>
        <w:t>usefulness</w:t>
      </w:r>
      <w:r w:rsidR="00173696">
        <w:rPr>
          <w:rFonts w:cstheme="minorHAnsi"/>
          <w:color w:val="111111"/>
          <w:shd w:val="clear" w:color="auto" w:fill="FFFFFF"/>
        </w:rPr>
        <w:t xml:space="preserve"> of</w:t>
      </w:r>
      <w:r>
        <w:rPr>
          <w:rFonts w:cstheme="minorHAnsi"/>
          <w:color w:val="111111"/>
          <w:shd w:val="clear" w:color="auto" w:fill="FFFFFF"/>
        </w:rPr>
        <w:t xml:space="preserve"> </w:t>
      </w:r>
      <w:r w:rsidR="00173696">
        <w:rPr>
          <w:rFonts w:cstheme="minorHAnsi"/>
          <w:color w:val="111111"/>
          <w:shd w:val="clear" w:color="auto" w:fill="FFFFFF"/>
        </w:rPr>
        <w:t xml:space="preserve">various drug-like properties in the drug candidate space, by employing </w:t>
      </w:r>
      <w:r w:rsidR="00841F4C">
        <w:rPr>
          <w:rFonts w:cstheme="minorHAnsi"/>
          <w:color w:val="111111"/>
          <w:shd w:val="clear" w:color="auto" w:fill="FFFFFF"/>
        </w:rPr>
        <w:t xml:space="preserve">principal </w:t>
      </w:r>
      <w:proofErr w:type="gramStart"/>
      <w:r w:rsidR="00841F4C">
        <w:rPr>
          <w:rFonts w:cstheme="minorHAnsi"/>
          <w:color w:val="111111"/>
          <w:shd w:val="clear" w:color="auto" w:fill="FFFFFF"/>
        </w:rPr>
        <w:t>component</w:t>
      </w:r>
      <w:proofErr w:type="gramEnd"/>
      <w:r w:rsidR="00841F4C">
        <w:rPr>
          <w:rFonts w:cstheme="minorHAnsi"/>
          <w:color w:val="111111"/>
          <w:shd w:val="clear" w:color="auto" w:fill="FFFFFF"/>
        </w:rPr>
        <w:t xml:space="preserve"> analysis (</w:t>
      </w:r>
      <w:r>
        <w:rPr>
          <w:rFonts w:cstheme="minorHAnsi"/>
          <w:color w:val="111111"/>
          <w:shd w:val="clear" w:color="auto" w:fill="FFFFFF"/>
        </w:rPr>
        <w:t>PCA</w:t>
      </w:r>
      <w:r w:rsidR="00841F4C">
        <w:rPr>
          <w:rFonts w:cstheme="minorHAnsi"/>
          <w:color w:val="111111"/>
          <w:shd w:val="clear" w:color="auto" w:fill="FFFFFF"/>
        </w:rPr>
        <w:t>)</w:t>
      </w:r>
      <w:r w:rsidR="00DE39B2">
        <w:rPr>
          <w:rFonts w:cstheme="minorHAnsi"/>
          <w:color w:val="111111"/>
          <w:shd w:val="clear" w:color="auto" w:fill="FFFFFF"/>
        </w:rPr>
        <w:t xml:space="preserve"> and a </w:t>
      </w:r>
      <w:r w:rsidR="00BC4E94">
        <w:rPr>
          <w:rFonts w:cstheme="minorHAnsi"/>
          <w:color w:val="111111"/>
          <w:shd w:val="clear" w:color="auto" w:fill="FFFFFF"/>
        </w:rPr>
        <w:t xml:space="preserve">selection of </w:t>
      </w:r>
      <w:r w:rsidR="00BC4E94">
        <w:rPr>
          <w:rFonts w:cstheme="minorHAnsi"/>
          <w:color w:val="111111"/>
          <w:shd w:val="clear" w:color="auto" w:fill="FFFFFF"/>
        </w:rPr>
        <w:t xml:space="preserve">supervised machine learning techniques </w:t>
      </w:r>
      <w:r w:rsidR="00241953">
        <w:rPr>
          <w:rFonts w:cstheme="minorHAnsi"/>
          <w:color w:val="111111"/>
          <w:shd w:val="clear" w:color="auto" w:fill="FFFFFF"/>
        </w:rPr>
        <w:t>in the task of classifying</w:t>
      </w:r>
      <w:r w:rsidR="00CB659F">
        <w:rPr>
          <w:rFonts w:cstheme="minorHAnsi"/>
          <w:color w:val="111111"/>
          <w:shd w:val="clear" w:color="auto" w:fill="FFFFFF"/>
        </w:rPr>
        <w:t xml:space="preserve"> approved drugs from unapproved candidate drugs.</w:t>
      </w:r>
      <w:r w:rsidR="00AE3BE5">
        <w:rPr>
          <w:rFonts w:cstheme="minorHAnsi"/>
          <w:color w:val="111111"/>
          <w:shd w:val="clear" w:color="auto" w:fill="FFFFFF"/>
        </w:rPr>
        <w:t xml:space="preserve"> The algorithms I will evaluate include</w:t>
      </w:r>
      <w:r w:rsidR="00582DD2">
        <w:rPr>
          <w:rFonts w:cstheme="minorHAnsi"/>
          <w:color w:val="111111"/>
          <w:shd w:val="clear" w:color="auto" w:fill="FFFFFF"/>
        </w:rPr>
        <w:t xml:space="preserve"> logistic regression,</w:t>
      </w:r>
      <w:r w:rsidR="00AE3BE5">
        <w:rPr>
          <w:rFonts w:cstheme="minorHAnsi"/>
          <w:color w:val="111111"/>
          <w:shd w:val="clear" w:color="auto" w:fill="FFFFFF"/>
        </w:rPr>
        <w:t xml:space="preserve"> random forest, support vector machine, </w:t>
      </w:r>
      <w:r w:rsidR="00582DD2">
        <w:rPr>
          <w:rFonts w:cstheme="minorHAnsi"/>
          <w:color w:val="111111"/>
          <w:shd w:val="clear" w:color="auto" w:fill="FFFFFF"/>
        </w:rPr>
        <w:t>and neural network.</w:t>
      </w:r>
      <w:r w:rsidR="00CB659F">
        <w:rPr>
          <w:rFonts w:cstheme="minorHAnsi"/>
          <w:color w:val="111111"/>
          <w:shd w:val="clear" w:color="auto" w:fill="FFFFFF"/>
        </w:rPr>
        <w:t xml:space="preserve"> I will evaluate and compare the </w:t>
      </w:r>
      <w:r w:rsidR="00582DD2">
        <w:rPr>
          <w:rFonts w:cstheme="minorHAnsi"/>
          <w:color w:val="111111"/>
          <w:shd w:val="clear" w:color="auto" w:fill="FFFFFF"/>
        </w:rPr>
        <w:t xml:space="preserve">best </w:t>
      </w:r>
      <w:r w:rsidR="00CB659F">
        <w:rPr>
          <w:rFonts w:cstheme="minorHAnsi"/>
          <w:color w:val="111111"/>
          <w:shd w:val="clear" w:color="auto" w:fill="FFFFFF"/>
        </w:rPr>
        <w:t>models</w:t>
      </w:r>
      <w:r w:rsidR="00582DD2">
        <w:rPr>
          <w:rFonts w:cstheme="minorHAnsi"/>
          <w:color w:val="111111"/>
          <w:shd w:val="clear" w:color="auto" w:fill="FFFFFF"/>
        </w:rPr>
        <w:t xml:space="preserve"> from each</w:t>
      </w:r>
      <w:r w:rsidR="00CB659F">
        <w:rPr>
          <w:rFonts w:cstheme="minorHAnsi"/>
          <w:color w:val="111111"/>
          <w:shd w:val="clear" w:color="auto" w:fill="FFFFFF"/>
        </w:rPr>
        <w:t xml:space="preserve"> to determine which algorithm performs the best in this classification</w:t>
      </w:r>
      <w:r w:rsidR="00582DD2">
        <w:rPr>
          <w:rFonts w:cstheme="minorHAnsi"/>
          <w:color w:val="111111"/>
          <w:shd w:val="clear" w:color="auto" w:fill="FFFFFF"/>
        </w:rPr>
        <w:t xml:space="preserve"> task</w:t>
      </w:r>
      <w:r w:rsidR="00CB659F">
        <w:rPr>
          <w:rFonts w:cstheme="minorHAnsi"/>
          <w:color w:val="111111"/>
          <w:shd w:val="clear" w:color="auto" w:fill="FFFFFF"/>
        </w:rPr>
        <w:t xml:space="preserve">. Secondly, I propose to create further models to classify between drugs that have remained on the market, from drugs that have been </w:t>
      </w:r>
      <w:proofErr w:type="gramStart"/>
      <w:r w:rsidR="00CB659F">
        <w:rPr>
          <w:rFonts w:cstheme="minorHAnsi"/>
          <w:color w:val="111111"/>
          <w:shd w:val="clear" w:color="auto" w:fill="FFFFFF"/>
        </w:rPr>
        <w:t>discontinued</w:t>
      </w:r>
      <w:proofErr w:type="gramEnd"/>
      <w:r w:rsidR="00CB659F">
        <w:rPr>
          <w:rFonts w:cstheme="minorHAnsi"/>
          <w:color w:val="111111"/>
          <w:shd w:val="clear" w:color="auto" w:fill="FFFFFF"/>
        </w:rPr>
        <w:t>. These models would act as a starting point for creating tools that would support decision making in various drug development stages.</w:t>
      </w:r>
    </w:p>
    <w:p w14:paraId="4473165D" w14:textId="6007E7FE" w:rsidR="00E35613" w:rsidRPr="00166B0E" w:rsidRDefault="00E35613" w:rsidP="005C530C">
      <w:pPr>
        <w:pStyle w:val="Heading1"/>
        <w:spacing w:line="276" w:lineRule="auto"/>
      </w:pPr>
      <w:bookmarkStart w:id="12" w:name="_Toc6143132"/>
      <w:r w:rsidRPr="00166B0E">
        <w:t>Methods</w:t>
      </w:r>
      <w:bookmarkEnd w:id="12"/>
    </w:p>
    <w:p w14:paraId="6156D29E" w14:textId="718D26D5" w:rsidR="00A2019B" w:rsidRDefault="00A2019B" w:rsidP="005C530C">
      <w:pPr>
        <w:pStyle w:val="Heading2"/>
        <w:spacing w:line="276" w:lineRule="auto"/>
      </w:pPr>
      <w:bookmarkStart w:id="13" w:name="_Toc6143133"/>
      <w:r>
        <w:t>Data Collection</w:t>
      </w:r>
      <w:bookmarkEnd w:id="13"/>
    </w:p>
    <w:p w14:paraId="0E2DC9E0" w14:textId="7BB9D413" w:rsidR="00B85C97" w:rsidRDefault="00D228A2" w:rsidP="005C530C">
      <w:pPr>
        <w:spacing w:line="276" w:lineRule="auto"/>
        <w:ind w:firstLine="360"/>
        <w:jc w:val="both"/>
        <w:rPr>
          <w:rFonts w:cstheme="minorHAnsi"/>
          <w:color w:val="111111"/>
          <w:shd w:val="clear" w:color="auto" w:fill="FFFFFF"/>
        </w:rPr>
      </w:pPr>
      <w:r>
        <w:rPr>
          <w:rFonts w:cstheme="minorHAnsi"/>
          <w:color w:val="111111"/>
          <w:shd w:val="clear" w:color="auto" w:fill="FFFFFF"/>
        </w:rPr>
        <w:t>The ChEMBL database supplies publicly available data on drugs and drug-candidates, such as</w:t>
      </w:r>
      <w:r w:rsidRPr="00D228A2">
        <w:t xml:space="preserve"> </w:t>
      </w:r>
      <w:r w:rsidRPr="00D228A2">
        <w:rPr>
          <w:rFonts w:cstheme="minorHAnsi"/>
          <w:color w:val="111111"/>
          <w:shd w:val="clear" w:color="auto" w:fill="FFFFFF"/>
        </w:rPr>
        <w:t>binding, functional and ADMET</w:t>
      </w:r>
      <w:r>
        <w:rPr>
          <w:rFonts w:cstheme="minorHAnsi"/>
          <w:color w:val="111111"/>
          <w:shd w:val="clear" w:color="auto" w:fill="FFFFFF"/>
        </w:rPr>
        <w:t xml:space="preserve"> data </w:t>
      </w:r>
      <w:r w:rsidR="0085769A">
        <w:rPr>
          <w:rFonts w:cstheme="minorHAnsi"/>
          <w:color w:val="111111"/>
          <w:shd w:val="clear" w:color="auto" w:fill="FFFFFF"/>
        </w:rPr>
        <w:fldChar w:fldCharType="begin" w:fldLock="1"/>
      </w:r>
      <w:r w:rsidR="0033092C">
        <w:rPr>
          <w:rFonts w:cstheme="minorHAnsi"/>
          <w:color w:val="111111"/>
          <w:shd w:val="clear" w:color="auto" w:fill="FFFFFF"/>
        </w:rPr>
        <w:instrText>ADDIN CSL_CITATION {"citationItems":[{"id":"ITEM-1","itemData":{"DOI":"10.1093/nar/gkr777","ISBN":"1362-4962 (Electronic)\\r0305-1048 (Linking)","ISSN":"03051048","PMID":"21948594","abstract":"ChEMBL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https://www.ebi.ac.uk/chembldb.","author":[{"dropping-particle":"","family":"Gaulton","given":"Anna","non-dropping-particle":"","parse-names":false,"suffix":""},{"dropping-particle":"","family":"Bellis","given":"Louisa J.","non-dropping-particle":"","parse-names":false,"suffix":""},{"dropping-particle":"","family":"Bento","given":"A. Patricia","non-dropping-particle":"","parse-names":false,"suffix":""},{"dropping-particle":"","family":"Chambers","given":"Jon","non-dropping-particle":"","parse-names":false,"suffix":""},{"dropping-particle":"","family":"Davies","given":"Mark","non-dropping-particle":"","parse-names":false,"suffix":""},{"dropping-particle":"","family":"Hersey","given":"Anne","non-dropping-particle":"","parse-names":false,"suffix":""},{"dropping-particle":"","family":"Light","given":"Yvonne","non-dropping-particle":"","parse-names":false,"suffix":""},{"dropping-particle":"","family":"McGlinchey","given":"Shaun","non-dropping-particle":"","parse-names":false,"suffix":""},{"dropping-particle":"","family":"Michalovich","given":"David","non-dropping-particle":"","parse-names":false,"suffix":""},{"dropping-particle":"","family":"Al-Lazikani","given":"Bissan","non-dropping-particle":"","parse-names":false,"suffix":""},{"dropping-particle":"","family":"Overington","given":"John P.","non-dropping-particle":"","parse-names":false,"suffix":""}],"container-title":"Nucleic Acids Research","id":"ITEM-1","issue":"D1","issued":{"date-parts":[["2012"]]},"page":"1100-1107","title":"ChEMBL: A large-scale bioactivity database for drug discovery","type":"article-journal","volume":"40"},"uris":["http://www.mendeley.com/documents/?uuid=2339e0e2-5a46-4c76-b981-c7a0815c3ffe"]}],"mendeley":{"formattedCitation":"[12]","plainTextFormattedCitation":"[12]","previouslyFormattedCitation":"[12]"},"properties":{"noteIndex":0},"schema":"https://github.com/citation-style-language/schema/raw/master/csl-citation.json"}</w:instrText>
      </w:r>
      <w:r w:rsidR="0085769A">
        <w:rPr>
          <w:rFonts w:cstheme="minorHAnsi"/>
          <w:color w:val="111111"/>
          <w:shd w:val="clear" w:color="auto" w:fill="FFFFFF"/>
        </w:rPr>
        <w:fldChar w:fldCharType="separate"/>
      </w:r>
      <w:r w:rsidR="003220E5" w:rsidRPr="003220E5">
        <w:rPr>
          <w:rFonts w:cstheme="minorHAnsi"/>
          <w:noProof/>
          <w:color w:val="111111"/>
          <w:shd w:val="clear" w:color="auto" w:fill="FFFFFF"/>
        </w:rPr>
        <w:t>[12]</w:t>
      </w:r>
      <w:r w:rsidR="0085769A">
        <w:rPr>
          <w:rFonts w:cstheme="minorHAnsi"/>
          <w:color w:val="111111"/>
          <w:shd w:val="clear" w:color="auto" w:fill="FFFFFF"/>
        </w:rPr>
        <w:fldChar w:fldCharType="end"/>
      </w:r>
      <w:r>
        <w:rPr>
          <w:rFonts w:cstheme="minorHAnsi"/>
          <w:color w:val="111111"/>
          <w:shd w:val="clear" w:color="auto" w:fill="FFFFFF"/>
        </w:rPr>
        <w:t xml:space="preserve">. ChEMBL currently has 1.8 million distinct compounds, including about 11 thousand approved drugs. Among the data available, they provide </w:t>
      </w:r>
      <w:r w:rsidR="00B85C97">
        <w:rPr>
          <w:rFonts w:cstheme="minorHAnsi"/>
          <w:color w:val="111111"/>
          <w:shd w:val="clear" w:color="auto" w:fill="FFFFFF"/>
        </w:rPr>
        <w:t>calculated</w:t>
      </w:r>
      <w:r>
        <w:rPr>
          <w:rFonts w:cstheme="minorHAnsi"/>
          <w:color w:val="111111"/>
          <w:shd w:val="clear" w:color="auto" w:fill="FFFFFF"/>
        </w:rPr>
        <w:t xml:space="preserve"> molecular properties</w:t>
      </w:r>
      <w:r w:rsidR="00B85C97">
        <w:rPr>
          <w:rFonts w:cstheme="minorHAnsi"/>
          <w:color w:val="111111"/>
          <w:shd w:val="clear" w:color="auto" w:fill="FFFFFF"/>
        </w:rPr>
        <w:t xml:space="preserve">, including those used in </w:t>
      </w:r>
      <w:r w:rsidR="00B85C97" w:rsidRPr="00B85C97">
        <w:rPr>
          <w:rFonts w:cstheme="minorHAnsi"/>
          <w:color w:val="111111"/>
          <w:shd w:val="clear" w:color="auto" w:fill="FFFFFF"/>
        </w:rPr>
        <w:t>Lipinski's rule of five</w:t>
      </w:r>
      <w:r w:rsidR="00B85C97">
        <w:rPr>
          <w:rFonts w:cstheme="minorHAnsi"/>
          <w:color w:val="111111"/>
          <w:shd w:val="clear" w:color="auto" w:fill="FFFFFF"/>
        </w:rPr>
        <w:t xml:space="preserve"> and more. </w:t>
      </w:r>
    </w:p>
    <w:p w14:paraId="0DA652EC" w14:textId="72E7F84A" w:rsidR="00E35613" w:rsidRDefault="00B85C97" w:rsidP="005C530C">
      <w:pPr>
        <w:spacing w:line="276" w:lineRule="auto"/>
        <w:ind w:firstLine="360"/>
        <w:jc w:val="both"/>
        <w:rPr>
          <w:rFonts w:cstheme="minorHAnsi"/>
          <w:color w:val="111111"/>
          <w:shd w:val="clear" w:color="auto" w:fill="FFFFFF"/>
        </w:rPr>
      </w:pPr>
      <w:r>
        <w:rPr>
          <w:rFonts w:cstheme="minorHAnsi"/>
          <w:color w:val="111111"/>
          <w:shd w:val="clear" w:color="auto" w:fill="FFFFFF"/>
        </w:rPr>
        <w:t>To generate a dataset of approved drugs and drug-candidates that have not been approved, I filter</w:t>
      </w:r>
      <w:r w:rsidR="00CD0C94">
        <w:rPr>
          <w:rFonts w:cstheme="minorHAnsi"/>
          <w:color w:val="111111"/>
          <w:shd w:val="clear" w:color="auto" w:fill="FFFFFF"/>
        </w:rPr>
        <w:t>ed</w:t>
      </w:r>
      <w:r>
        <w:rPr>
          <w:rFonts w:cstheme="minorHAnsi"/>
          <w:color w:val="111111"/>
          <w:shd w:val="clear" w:color="auto" w:fill="FFFFFF"/>
        </w:rPr>
        <w:t xml:space="preserve"> for compounds using their </w:t>
      </w:r>
      <w:proofErr w:type="gramStart"/>
      <w:r>
        <w:rPr>
          <w:rFonts w:cstheme="minorHAnsi"/>
          <w:color w:val="111111"/>
          <w:shd w:val="clear" w:color="auto" w:fill="FFFFFF"/>
        </w:rPr>
        <w:t>maximum</w:t>
      </w:r>
      <w:proofErr w:type="gramEnd"/>
      <w:r>
        <w:rPr>
          <w:rFonts w:cstheme="minorHAnsi"/>
          <w:color w:val="111111"/>
          <w:shd w:val="clear" w:color="auto" w:fill="FFFFFF"/>
        </w:rPr>
        <w:t xml:space="preserve"> approved phase in clinical trials. I classif</w:t>
      </w:r>
      <w:r w:rsidR="003216B1">
        <w:rPr>
          <w:rFonts w:cstheme="minorHAnsi"/>
          <w:color w:val="111111"/>
          <w:shd w:val="clear" w:color="auto" w:fill="FFFFFF"/>
        </w:rPr>
        <w:t>ied</w:t>
      </w:r>
      <w:r>
        <w:rPr>
          <w:rFonts w:cstheme="minorHAnsi"/>
          <w:color w:val="111111"/>
          <w:shd w:val="clear" w:color="auto" w:fill="FFFFFF"/>
        </w:rPr>
        <w:t xml:space="preserve"> approved drugs as those that passed phase 4</w:t>
      </w:r>
      <w:r w:rsidR="003216B1">
        <w:rPr>
          <w:rFonts w:cstheme="minorHAnsi"/>
          <w:color w:val="111111"/>
          <w:shd w:val="clear" w:color="auto" w:fill="FFFFFF"/>
        </w:rPr>
        <w:t xml:space="preserve"> in at least one </w:t>
      </w:r>
      <w:proofErr w:type="gramStart"/>
      <w:r w:rsidR="003216B1">
        <w:rPr>
          <w:rFonts w:cstheme="minorHAnsi"/>
          <w:color w:val="111111"/>
          <w:shd w:val="clear" w:color="auto" w:fill="FFFFFF"/>
        </w:rPr>
        <w:t>indication</w:t>
      </w:r>
      <w:proofErr w:type="gramEnd"/>
      <w:r w:rsidR="0031056C">
        <w:rPr>
          <w:rFonts w:cstheme="minorHAnsi"/>
          <w:color w:val="111111"/>
          <w:shd w:val="clear" w:color="auto" w:fill="FFFFFF"/>
        </w:rPr>
        <w:t>, and have not been withdrawn from the market</w:t>
      </w:r>
      <w:r w:rsidR="00EF6684">
        <w:rPr>
          <w:rFonts w:cstheme="minorHAnsi"/>
          <w:color w:val="111111"/>
          <w:shd w:val="clear" w:color="auto" w:fill="FFFFFF"/>
        </w:rPr>
        <w:t>; a total of 3,092 samples were retrieved.</w:t>
      </w:r>
      <w:r>
        <w:rPr>
          <w:rFonts w:cstheme="minorHAnsi"/>
          <w:color w:val="111111"/>
          <w:shd w:val="clear" w:color="auto" w:fill="FFFFFF"/>
        </w:rPr>
        <w:t xml:space="preserve"> I classif</w:t>
      </w:r>
      <w:r w:rsidR="00221DE4">
        <w:rPr>
          <w:rFonts w:cstheme="minorHAnsi"/>
          <w:color w:val="111111"/>
          <w:shd w:val="clear" w:color="auto" w:fill="FFFFFF"/>
        </w:rPr>
        <w:t>ied</w:t>
      </w:r>
      <w:r>
        <w:rPr>
          <w:rFonts w:cstheme="minorHAnsi"/>
          <w:color w:val="111111"/>
          <w:shd w:val="clear" w:color="auto" w:fill="FFFFFF"/>
        </w:rPr>
        <w:t xml:space="preserve"> unapproved candidate-drugs as those </w:t>
      </w:r>
      <w:r w:rsidR="00221DE4">
        <w:rPr>
          <w:rFonts w:cstheme="minorHAnsi"/>
          <w:color w:val="111111"/>
          <w:shd w:val="clear" w:color="auto" w:fill="FFFFFF"/>
        </w:rPr>
        <w:t>that</w:t>
      </w:r>
      <w:r>
        <w:rPr>
          <w:rFonts w:cstheme="minorHAnsi"/>
          <w:color w:val="111111"/>
          <w:shd w:val="clear" w:color="auto" w:fill="FFFFFF"/>
        </w:rPr>
        <w:t xml:space="preserve"> have not passed phase 2</w:t>
      </w:r>
      <w:r w:rsidR="00F872B5">
        <w:rPr>
          <w:rFonts w:cstheme="minorHAnsi"/>
          <w:color w:val="111111"/>
          <w:shd w:val="clear" w:color="auto" w:fill="FFFFFF"/>
        </w:rPr>
        <w:t xml:space="preserve"> in any </w:t>
      </w:r>
      <w:proofErr w:type="gramStart"/>
      <w:r w:rsidR="00F872B5">
        <w:rPr>
          <w:rFonts w:cstheme="minorHAnsi"/>
          <w:color w:val="111111"/>
          <w:shd w:val="clear" w:color="auto" w:fill="FFFFFF"/>
        </w:rPr>
        <w:t>indication</w:t>
      </w:r>
      <w:proofErr w:type="gramEnd"/>
      <w:r w:rsidR="00F872B5">
        <w:rPr>
          <w:rFonts w:cstheme="minorHAnsi"/>
          <w:color w:val="111111"/>
          <w:shd w:val="clear" w:color="auto" w:fill="FFFFFF"/>
        </w:rPr>
        <w:t xml:space="preserve">; a total of </w:t>
      </w:r>
      <w:r w:rsidR="00B8550B" w:rsidRPr="007C1936">
        <w:t>1,696,443</w:t>
      </w:r>
      <w:r w:rsidR="00B8550B">
        <w:t xml:space="preserve"> samples were retrieved.</w:t>
      </w:r>
      <w:r>
        <w:rPr>
          <w:rFonts w:cstheme="minorHAnsi"/>
          <w:color w:val="111111"/>
          <w:shd w:val="clear" w:color="auto" w:fill="FFFFFF"/>
        </w:rPr>
        <w:t xml:space="preserve"> </w:t>
      </w:r>
    </w:p>
    <w:p w14:paraId="482D1875" w14:textId="0B7F8EBF" w:rsidR="00B8550B" w:rsidRDefault="00B8550B" w:rsidP="005C530C">
      <w:pPr>
        <w:spacing w:line="276" w:lineRule="auto"/>
        <w:ind w:firstLine="360"/>
        <w:jc w:val="both"/>
        <w:rPr>
          <w:rFonts w:cstheme="minorHAnsi"/>
          <w:color w:val="111111"/>
          <w:shd w:val="clear" w:color="auto" w:fill="FFFFFF"/>
        </w:rPr>
      </w:pPr>
      <w:r>
        <w:rPr>
          <w:rFonts w:cstheme="minorHAnsi"/>
          <w:color w:val="111111"/>
          <w:shd w:val="clear" w:color="auto" w:fill="FFFFFF"/>
        </w:rPr>
        <w:t xml:space="preserve">I also generated a dataset of </w:t>
      </w:r>
      <w:r w:rsidR="00A61E36">
        <w:rPr>
          <w:rFonts w:cstheme="minorHAnsi"/>
          <w:color w:val="111111"/>
          <w:shd w:val="clear" w:color="auto" w:fill="FFFFFF"/>
        </w:rPr>
        <w:t xml:space="preserve">withdrawn drugs by filtering for those that have passed phase 4 clinical trials in </w:t>
      </w:r>
      <w:proofErr w:type="gramStart"/>
      <w:r w:rsidR="00A61E36">
        <w:rPr>
          <w:rFonts w:cstheme="minorHAnsi"/>
          <w:color w:val="111111"/>
          <w:shd w:val="clear" w:color="auto" w:fill="FFFFFF"/>
        </w:rPr>
        <w:t>an indication</w:t>
      </w:r>
      <w:proofErr w:type="gramEnd"/>
      <w:r w:rsidR="00A61E36">
        <w:rPr>
          <w:rFonts w:cstheme="minorHAnsi"/>
          <w:color w:val="111111"/>
          <w:shd w:val="clear" w:color="auto" w:fill="FFFFFF"/>
        </w:rPr>
        <w:t>, but was withdrawn from the market; a total of 233 samples was retrieved.</w:t>
      </w:r>
    </w:p>
    <w:p w14:paraId="7359ADE0" w14:textId="5CEAC2F8" w:rsidR="00A2019B" w:rsidRDefault="00A2019B" w:rsidP="005C530C">
      <w:pPr>
        <w:pStyle w:val="Heading2"/>
        <w:spacing w:line="276" w:lineRule="auto"/>
      </w:pPr>
      <w:bookmarkStart w:id="14" w:name="_Toc6143134"/>
      <w:r>
        <w:t>Data Preprocessing</w:t>
      </w:r>
      <w:r w:rsidR="00DE39B2">
        <w:t xml:space="preserve"> and Dimension Reduction</w:t>
      </w:r>
      <w:bookmarkEnd w:id="14"/>
    </w:p>
    <w:p w14:paraId="08F551FD" w14:textId="10C25186" w:rsidR="00CB5C7D" w:rsidRDefault="003B4246" w:rsidP="0095777E">
      <w:pPr>
        <w:spacing w:line="276" w:lineRule="auto"/>
        <w:ind w:firstLine="360"/>
        <w:jc w:val="both"/>
      </w:pPr>
      <w:r>
        <w:t xml:space="preserve">All non-numeric features </w:t>
      </w:r>
      <w:proofErr w:type="gramStart"/>
      <w:r>
        <w:t>were removed</w:t>
      </w:r>
      <w:proofErr w:type="gramEnd"/>
      <w:r>
        <w:t xml:space="preserve"> from analysis to simplify algorithm comparisons</w:t>
      </w:r>
      <w:r w:rsidR="00DE39B2">
        <w:t>, resulting in 15 predictors</w:t>
      </w:r>
      <w:r>
        <w:t xml:space="preserve">. </w:t>
      </w:r>
      <w:r w:rsidR="00DE39B2">
        <w:t xml:space="preserve">Samples </w:t>
      </w:r>
      <w:proofErr w:type="gramStart"/>
      <w:r w:rsidR="00DE39B2">
        <w:t>were analyzed</w:t>
      </w:r>
      <w:proofErr w:type="gramEnd"/>
      <w:r w:rsidR="00DE39B2">
        <w:t xml:space="preserve"> for missing data; those with missing data in more than 5 features were excluded from the dataset</w:t>
      </w:r>
      <w:r w:rsidR="0095777E">
        <w:t xml:space="preserve">, reducing total samples in </w:t>
      </w:r>
      <w:r w:rsidR="0095777E">
        <w:lastRenderedPageBreak/>
        <w:t xml:space="preserve">approved drugs, non-approved drugs, and withdrawn drugs to 2,702, </w:t>
      </w:r>
      <w:r w:rsidR="0095777E" w:rsidRPr="0095777E">
        <w:t>1</w:t>
      </w:r>
      <w:r w:rsidR="0095777E">
        <w:t>,</w:t>
      </w:r>
      <w:r w:rsidR="0095777E" w:rsidRPr="0095777E">
        <w:t>668</w:t>
      </w:r>
      <w:r w:rsidR="0095777E">
        <w:t>,</w:t>
      </w:r>
      <w:r w:rsidR="0095777E" w:rsidRPr="0095777E">
        <w:t>411</w:t>
      </w:r>
      <w:r w:rsidR="0095777E">
        <w:t>, and 230, respectively</w:t>
      </w:r>
      <w:r w:rsidR="00DE39B2">
        <w:t>.</w:t>
      </w:r>
      <w:r w:rsidR="0095777E">
        <w:t xml:space="preserve"> </w:t>
      </w:r>
      <w:r w:rsidR="00DE39B2">
        <w:t>I replaced m</w:t>
      </w:r>
      <w:r w:rsidR="007443C1">
        <w:t xml:space="preserve">issing data </w:t>
      </w:r>
      <w:r w:rsidR="0059743D" w:rsidRPr="0059743D">
        <w:t xml:space="preserve">using generalized mean imputation on each </w:t>
      </w:r>
      <w:r w:rsidR="00DE39B2">
        <w:t>feature, including all classes (approved, non-approved, and withdrawn) in the mean calculations</w:t>
      </w:r>
      <w:r w:rsidR="0059743D" w:rsidRPr="0059743D">
        <w:t>.</w:t>
      </w:r>
      <w:r w:rsidR="0095777E">
        <w:t xml:space="preserve"> </w:t>
      </w:r>
    </w:p>
    <w:p w14:paraId="09BE3024" w14:textId="450A7EC6" w:rsidR="00A42DCB" w:rsidRDefault="00A10093" w:rsidP="0095777E">
      <w:pPr>
        <w:spacing w:line="276" w:lineRule="auto"/>
        <w:ind w:firstLine="360"/>
        <w:jc w:val="both"/>
      </w:pPr>
      <w:r>
        <w:t xml:space="preserve">Two datasets where created: approved vs. non-approved and approved vs. withdrawn. </w:t>
      </w:r>
      <w:r w:rsidR="00A42DCB">
        <w:t xml:space="preserve">Each dataset </w:t>
      </w:r>
      <w:proofErr w:type="gramStart"/>
      <w:r w:rsidR="00A42DCB">
        <w:t>was then balanced</w:t>
      </w:r>
      <w:proofErr w:type="gramEnd"/>
      <w:r w:rsidR="00A42DCB">
        <w:t xml:space="preserve"> using random under-sampling, where the majority class was sub-sampled to match the number of samples in the minority class. They </w:t>
      </w:r>
      <w:r w:rsidR="003E23C4">
        <w:t xml:space="preserve">were then split </w:t>
      </w:r>
      <w:r w:rsidR="00A42DCB">
        <w:t xml:space="preserve">using a random stratified </w:t>
      </w:r>
      <w:proofErr w:type="gramStart"/>
      <w:r w:rsidR="00A42DCB">
        <w:t>selection</w:t>
      </w:r>
      <w:proofErr w:type="gramEnd"/>
      <w:r w:rsidR="00A42DCB">
        <w:t xml:space="preserve"> of samples to achieve a 1:4 test to train</w:t>
      </w:r>
      <w:r w:rsidR="003E23C4">
        <w:t>ing data</w:t>
      </w:r>
      <w:r w:rsidR="00A42DCB">
        <w:t xml:space="preserve"> split, each balanced by class.</w:t>
      </w:r>
    </w:p>
    <w:p w14:paraId="35549CCD" w14:textId="3C77FD99" w:rsidR="00A50E39" w:rsidRPr="00CB5C7D" w:rsidRDefault="00CB5C7D" w:rsidP="00CB5C7D">
      <w:pPr>
        <w:spacing w:line="276" w:lineRule="auto"/>
        <w:ind w:firstLine="360"/>
        <w:jc w:val="both"/>
      </w:pPr>
      <w:r>
        <w:t>Using the training set, f</w:t>
      </w:r>
      <w:r w:rsidR="00395330">
        <w:t>eatures were mean centered and normalized</w:t>
      </w:r>
      <w:r w:rsidR="00F04409">
        <w:t xml:space="preserve"> in variance.</w:t>
      </w:r>
      <w:r>
        <w:t xml:space="preserve"> </w:t>
      </w:r>
      <w:r>
        <w:rPr>
          <w:rFonts w:cstheme="minorHAnsi"/>
          <w:color w:val="111111"/>
          <w:shd w:val="clear" w:color="auto" w:fill="FFFFFF"/>
        </w:rPr>
        <w:t xml:space="preserve">Following normalization, features </w:t>
      </w:r>
      <w:proofErr w:type="gramStart"/>
      <w:r>
        <w:rPr>
          <w:rFonts w:cstheme="minorHAnsi"/>
          <w:color w:val="111111"/>
          <w:shd w:val="clear" w:color="auto" w:fill="FFFFFF"/>
        </w:rPr>
        <w:t>were projected</w:t>
      </w:r>
      <w:proofErr w:type="gramEnd"/>
      <w:r>
        <w:rPr>
          <w:rFonts w:cstheme="minorHAnsi"/>
          <w:color w:val="111111"/>
          <w:shd w:val="clear" w:color="auto" w:fill="FFFFFF"/>
        </w:rPr>
        <w:t xml:space="preserve"> to less dimensions using PCA; the approved vs. non-approved dataset was reduced to 7 principal components to cover </w:t>
      </w:r>
      <w:r w:rsidRPr="00CB5C7D">
        <w:rPr>
          <w:rFonts w:cstheme="minorHAnsi"/>
          <w:color w:val="111111"/>
          <w:shd w:val="clear" w:color="auto" w:fill="FFFFFF"/>
        </w:rPr>
        <w:t>92</w:t>
      </w:r>
      <w:r>
        <w:rPr>
          <w:rFonts w:cstheme="minorHAnsi"/>
          <w:color w:val="111111"/>
          <w:shd w:val="clear" w:color="auto" w:fill="FFFFFF"/>
        </w:rPr>
        <w:t>.</w:t>
      </w:r>
      <w:r w:rsidR="001E063D">
        <w:rPr>
          <w:rFonts w:cstheme="minorHAnsi"/>
          <w:color w:val="111111"/>
          <w:shd w:val="clear" w:color="auto" w:fill="FFFFFF"/>
        </w:rPr>
        <w:t>8</w:t>
      </w:r>
      <w:r>
        <w:rPr>
          <w:rFonts w:cstheme="minorHAnsi"/>
          <w:color w:val="111111"/>
          <w:shd w:val="clear" w:color="auto" w:fill="FFFFFF"/>
        </w:rPr>
        <w:t xml:space="preserve">% of variance while the approved vs. withdrawn dataset was reduced to 6 principal components to cover </w:t>
      </w:r>
      <w:r w:rsidRPr="00CB5C7D">
        <w:rPr>
          <w:rFonts w:cstheme="minorHAnsi"/>
          <w:color w:val="111111"/>
          <w:shd w:val="clear" w:color="auto" w:fill="FFFFFF"/>
        </w:rPr>
        <w:t>91</w:t>
      </w:r>
      <w:r>
        <w:rPr>
          <w:rFonts w:cstheme="minorHAnsi"/>
          <w:color w:val="111111"/>
          <w:shd w:val="clear" w:color="auto" w:fill="FFFFFF"/>
        </w:rPr>
        <w:t>.</w:t>
      </w:r>
      <w:r w:rsidR="00E1235A">
        <w:rPr>
          <w:rFonts w:cstheme="minorHAnsi"/>
          <w:color w:val="111111"/>
          <w:shd w:val="clear" w:color="auto" w:fill="FFFFFF"/>
        </w:rPr>
        <w:t>8</w:t>
      </w:r>
      <w:r>
        <w:rPr>
          <w:rFonts w:cstheme="minorHAnsi"/>
          <w:color w:val="111111"/>
          <w:shd w:val="clear" w:color="auto" w:fill="FFFFFF"/>
        </w:rPr>
        <w:t>% of variance.</w:t>
      </w:r>
      <w:r w:rsidR="003E23C4">
        <w:rPr>
          <w:rFonts w:cstheme="minorHAnsi"/>
          <w:color w:val="111111"/>
          <w:shd w:val="clear" w:color="auto" w:fill="FFFFFF"/>
        </w:rPr>
        <w:t xml:space="preserve"> All testing set transformations </w:t>
      </w:r>
      <w:proofErr w:type="gramStart"/>
      <w:r w:rsidR="003E23C4">
        <w:rPr>
          <w:rFonts w:cstheme="minorHAnsi"/>
          <w:color w:val="111111"/>
          <w:shd w:val="clear" w:color="auto" w:fill="FFFFFF"/>
        </w:rPr>
        <w:t>were applied</w:t>
      </w:r>
      <w:proofErr w:type="gramEnd"/>
      <w:r w:rsidR="003E23C4">
        <w:rPr>
          <w:rFonts w:cstheme="minorHAnsi"/>
          <w:color w:val="111111"/>
          <w:shd w:val="clear" w:color="auto" w:fill="FFFFFF"/>
        </w:rPr>
        <w:t xml:space="preserve"> to the test set.</w:t>
      </w:r>
    </w:p>
    <w:p w14:paraId="4DC70826" w14:textId="7B69040A" w:rsidR="005035A6" w:rsidRDefault="00E57A3A" w:rsidP="005C530C">
      <w:pPr>
        <w:pStyle w:val="Heading2"/>
        <w:spacing w:line="276" w:lineRule="auto"/>
      </w:pPr>
      <w:bookmarkStart w:id="15" w:name="_Toc6143135"/>
      <w:r>
        <w:t xml:space="preserve">Hyperparameter </w:t>
      </w:r>
      <w:r w:rsidR="00782E1F">
        <w:t>and Model Validation</w:t>
      </w:r>
      <w:bookmarkEnd w:id="15"/>
    </w:p>
    <w:p w14:paraId="08C81CEA" w14:textId="22B23158" w:rsidR="00F04409" w:rsidRDefault="006C5146" w:rsidP="005C530C">
      <w:pPr>
        <w:spacing w:line="276" w:lineRule="auto"/>
        <w:ind w:firstLine="360"/>
        <w:jc w:val="both"/>
        <w:rPr>
          <w:rFonts w:cstheme="minorHAnsi"/>
          <w:color w:val="111111"/>
          <w:shd w:val="clear" w:color="auto" w:fill="FFFFFF"/>
        </w:rPr>
      </w:pPr>
      <w:r>
        <w:rPr>
          <w:rFonts w:cstheme="minorHAnsi"/>
          <w:color w:val="111111"/>
          <w:shd w:val="clear" w:color="auto" w:fill="FFFFFF"/>
        </w:rPr>
        <w:t xml:space="preserve">To determine the best hyperparameters </w:t>
      </w:r>
      <w:r w:rsidR="00893ABC">
        <w:rPr>
          <w:rFonts w:cstheme="minorHAnsi"/>
          <w:color w:val="111111"/>
          <w:shd w:val="clear" w:color="auto" w:fill="FFFFFF"/>
        </w:rPr>
        <w:t>for each approach</w:t>
      </w:r>
      <w:r w:rsidR="00CF457D">
        <w:rPr>
          <w:rFonts w:cstheme="minorHAnsi"/>
          <w:color w:val="111111"/>
          <w:shd w:val="clear" w:color="auto" w:fill="FFFFFF"/>
        </w:rPr>
        <w:t xml:space="preserve">, models with varying hyperparameter combinations </w:t>
      </w:r>
      <w:proofErr w:type="gramStart"/>
      <w:r w:rsidR="00CF457D">
        <w:rPr>
          <w:rFonts w:cstheme="minorHAnsi"/>
          <w:color w:val="111111"/>
          <w:shd w:val="clear" w:color="auto" w:fill="FFFFFF"/>
        </w:rPr>
        <w:t>were created</w:t>
      </w:r>
      <w:proofErr w:type="gramEnd"/>
      <w:r w:rsidR="00CF457D">
        <w:rPr>
          <w:rFonts w:cstheme="minorHAnsi"/>
          <w:color w:val="111111"/>
          <w:shd w:val="clear" w:color="auto" w:fill="FFFFFF"/>
        </w:rPr>
        <w:t xml:space="preserve"> and evaluated using 10-fold cross-validation</w:t>
      </w:r>
      <w:r w:rsidR="00C34986">
        <w:rPr>
          <w:rFonts w:cstheme="minorHAnsi"/>
          <w:color w:val="111111"/>
          <w:shd w:val="clear" w:color="auto" w:fill="FFFFFF"/>
        </w:rPr>
        <w:t xml:space="preserve"> on the testing set</w:t>
      </w:r>
      <w:r w:rsidR="00BD735E">
        <w:rPr>
          <w:rFonts w:cstheme="minorHAnsi"/>
          <w:color w:val="111111"/>
          <w:shd w:val="clear" w:color="auto" w:fill="FFFFFF"/>
        </w:rPr>
        <w:t>s</w:t>
      </w:r>
      <w:r w:rsidR="00CF457D">
        <w:rPr>
          <w:rFonts w:cstheme="minorHAnsi"/>
          <w:color w:val="111111"/>
          <w:shd w:val="clear" w:color="auto" w:fill="FFFFFF"/>
        </w:rPr>
        <w:t>.</w:t>
      </w:r>
      <w:r w:rsidR="00173830">
        <w:rPr>
          <w:rFonts w:cstheme="minorHAnsi"/>
          <w:color w:val="111111"/>
          <w:shd w:val="clear" w:color="auto" w:fill="FFFFFF"/>
        </w:rPr>
        <w:t xml:space="preserve"> To determine the best hyperparameter </w:t>
      </w:r>
      <w:proofErr w:type="gramStart"/>
      <w:r w:rsidR="00173830">
        <w:rPr>
          <w:rFonts w:cstheme="minorHAnsi"/>
          <w:color w:val="111111"/>
          <w:shd w:val="clear" w:color="auto" w:fill="FFFFFF"/>
        </w:rPr>
        <w:t>selection</w:t>
      </w:r>
      <w:proofErr w:type="gramEnd"/>
      <w:r w:rsidR="00173830">
        <w:rPr>
          <w:rFonts w:cstheme="minorHAnsi"/>
          <w:color w:val="111111"/>
          <w:shd w:val="clear" w:color="auto" w:fill="FFFFFF"/>
        </w:rPr>
        <w:t xml:space="preserve">, </w:t>
      </w:r>
      <w:r w:rsidR="00A04FE0">
        <w:rPr>
          <w:rFonts w:cstheme="minorHAnsi"/>
          <w:color w:val="111111"/>
          <w:shd w:val="clear" w:color="auto" w:fill="FFFFFF"/>
        </w:rPr>
        <w:t>the average F1 score of each combination was compared, and the greatest was selected.</w:t>
      </w:r>
    </w:p>
    <w:p w14:paraId="5580F335" w14:textId="222AD390" w:rsidR="00794B06" w:rsidRPr="008F11A2" w:rsidRDefault="001F091D" w:rsidP="00BC78FB">
      <w:pPr>
        <w:spacing w:line="276" w:lineRule="auto"/>
        <w:ind w:firstLine="360"/>
        <w:jc w:val="both"/>
        <w:rPr>
          <w:rFonts w:cstheme="minorHAnsi"/>
          <w:color w:val="111111"/>
          <w:shd w:val="clear" w:color="auto" w:fill="FFFFFF"/>
        </w:rPr>
      </w:pPr>
      <w:r>
        <w:rPr>
          <w:rFonts w:cstheme="minorHAnsi"/>
          <w:color w:val="111111"/>
          <w:shd w:val="clear" w:color="auto" w:fill="FFFFFF"/>
        </w:rPr>
        <w:t xml:space="preserve">Models </w:t>
      </w:r>
      <w:proofErr w:type="gramStart"/>
      <w:r>
        <w:rPr>
          <w:rFonts w:cstheme="minorHAnsi"/>
          <w:color w:val="111111"/>
          <w:shd w:val="clear" w:color="auto" w:fill="FFFFFF"/>
        </w:rPr>
        <w:t>were then trained</w:t>
      </w:r>
      <w:proofErr w:type="gramEnd"/>
      <w:r>
        <w:rPr>
          <w:rFonts w:cstheme="minorHAnsi"/>
          <w:color w:val="111111"/>
          <w:shd w:val="clear" w:color="auto" w:fill="FFFFFF"/>
        </w:rPr>
        <w:t xml:space="preserve"> on the complete training sets using the best hyperparameter combination</w:t>
      </w:r>
      <w:r w:rsidR="00E21DB3">
        <w:rPr>
          <w:rFonts w:cstheme="minorHAnsi"/>
          <w:color w:val="111111"/>
          <w:shd w:val="clear" w:color="auto" w:fill="FFFFFF"/>
        </w:rPr>
        <w:t xml:space="preserve"> and evaluated on</w:t>
      </w:r>
      <w:r w:rsidR="003157D1">
        <w:rPr>
          <w:rFonts w:cstheme="minorHAnsi"/>
          <w:color w:val="111111"/>
          <w:shd w:val="clear" w:color="auto" w:fill="FFFFFF"/>
        </w:rPr>
        <w:t xml:space="preserve"> the held-out test sets. </w:t>
      </w:r>
      <w:r w:rsidR="00961E01">
        <w:rPr>
          <w:rFonts w:cstheme="minorHAnsi"/>
          <w:color w:val="111111"/>
          <w:shd w:val="clear" w:color="auto" w:fill="FFFFFF"/>
        </w:rPr>
        <w:t xml:space="preserve">Final models </w:t>
      </w:r>
      <w:proofErr w:type="gramStart"/>
      <w:r w:rsidR="003157D1">
        <w:rPr>
          <w:rFonts w:cstheme="minorHAnsi"/>
          <w:color w:val="111111"/>
          <w:shd w:val="clear" w:color="auto" w:fill="FFFFFF"/>
        </w:rPr>
        <w:t xml:space="preserve">were </w:t>
      </w:r>
      <w:r w:rsidR="0077331C">
        <w:rPr>
          <w:rFonts w:cstheme="minorHAnsi"/>
          <w:color w:val="111111"/>
          <w:shd w:val="clear" w:color="auto" w:fill="FFFFFF"/>
        </w:rPr>
        <w:t>evaluated</w:t>
      </w:r>
      <w:proofErr w:type="gramEnd"/>
      <w:r w:rsidR="0077331C">
        <w:rPr>
          <w:rFonts w:cstheme="minorHAnsi"/>
          <w:color w:val="111111"/>
          <w:shd w:val="clear" w:color="auto" w:fill="FFFFFF"/>
        </w:rPr>
        <w:t xml:space="preserve"> and compared using </w:t>
      </w:r>
      <w:r w:rsidR="00E96F30">
        <w:rPr>
          <w:rFonts w:cstheme="minorHAnsi"/>
          <w:color w:val="111111"/>
          <w:shd w:val="clear" w:color="auto" w:fill="FFFFFF"/>
        </w:rPr>
        <w:t>precision</w:t>
      </w:r>
      <w:r w:rsidR="00340E43">
        <w:rPr>
          <w:rFonts w:cstheme="minorHAnsi"/>
          <w:color w:val="111111"/>
          <w:shd w:val="clear" w:color="auto" w:fill="FFFFFF"/>
        </w:rPr>
        <w:t xml:space="preserve">, recall, </w:t>
      </w:r>
      <w:r w:rsidR="002A4AD1">
        <w:rPr>
          <w:rFonts w:cstheme="minorHAnsi"/>
          <w:color w:val="111111"/>
          <w:shd w:val="clear" w:color="auto" w:fill="FFFFFF"/>
        </w:rPr>
        <w:t>F1</w:t>
      </w:r>
      <w:r w:rsidR="002B32FD">
        <w:rPr>
          <w:rFonts w:cstheme="minorHAnsi"/>
          <w:color w:val="111111"/>
          <w:shd w:val="clear" w:color="auto" w:fill="FFFFFF"/>
        </w:rPr>
        <w:t xml:space="preserve">, and </w:t>
      </w:r>
      <w:r w:rsidR="002B32FD" w:rsidRPr="002B32FD">
        <w:rPr>
          <w:rFonts w:cstheme="minorHAnsi"/>
          <w:color w:val="111111"/>
          <w:shd w:val="clear" w:color="auto" w:fill="FFFFFF"/>
        </w:rPr>
        <w:t xml:space="preserve">Cohen's kappa </w:t>
      </w:r>
      <w:r w:rsidR="002A4AD1">
        <w:rPr>
          <w:rFonts w:cstheme="minorHAnsi"/>
          <w:color w:val="111111"/>
          <w:shd w:val="clear" w:color="auto" w:fill="FFFFFF"/>
        </w:rPr>
        <w:t>score</w:t>
      </w:r>
      <w:r w:rsidR="004F3421">
        <w:rPr>
          <w:rFonts w:cstheme="minorHAnsi"/>
          <w:color w:val="111111"/>
          <w:shd w:val="clear" w:color="auto" w:fill="FFFFFF"/>
        </w:rPr>
        <w:t>s</w:t>
      </w:r>
      <w:r w:rsidR="002A4AD1">
        <w:rPr>
          <w:rFonts w:cstheme="minorHAnsi"/>
          <w:color w:val="111111"/>
          <w:shd w:val="clear" w:color="auto" w:fill="FFFFFF"/>
        </w:rPr>
        <w:t>.</w:t>
      </w:r>
      <w:r w:rsidR="00BC78FB">
        <w:rPr>
          <w:rFonts w:cstheme="minorHAnsi"/>
          <w:color w:val="111111"/>
          <w:shd w:val="clear" w:color="auto" w:fill="FFFFFF"/>
        </w:rPr>
        <w:t xml:space="preserve"> </w:t>
      </w:r>
      <w:r w:rsidR="0086326C">
        <w:rPr>
          <w:rFonts w:cstheme="minorHAnsi"/>
          <w:color w:val="111111"/>
          <w:shd w:val="clear" w:color="auto" w:fill="FFFFFF"/>
        </w:rPr>
        <w:t xml:space="preserve">All computational methods </w:t>
      </w:r>
      <w:proofErr w:type="gramStart"/>
      <w:r w:rsidR="0086326C">
        <w:rPr>
          <w:rFonts w:cstheme="minorHAnsi"/>
          <w:color w:val="111111"/>
          <w:shd w:val="clear" w:color="auto" w:fill="FFFFFF"/>
        </w:rPr>
        <w:t xml:space="preserve">were </w:t>
      </w:r>
      <w:r w:rsidR="00E43F97">
        <w:rPr>
          <w:rFonts w:cstheme="minorHAnsi"/>
          <w:color w:val="111111"/>
          <w:shd w:val="clear" w:color="auto" w:fill="FFFFFF"/>
        </w:rPr>
        <w:t>completed</w:t>
      </w:r>
      <w:proofErr w:type="gramEnd"/>
      <w:r w:rsidR="0086326C">
        <w:rPr>
          <w:rFonts w:cstheme="minorHAnsi"/>
          <w:color w:val="111111"/>
          <w:shd w:val="clear" w:color="auto" w:fill="FFFFFF"/>
        </w:rPr>
        <w:t xml:space="preserve"> in </w:t>
      </w:r>
      <w:r w:rsidR="00E43F97">
        <w:rPr>
          <w:rFonts w:cstheme="minorHAnsi"/>
          <w:color w:val="111111"/>
          <w:shd w:val="clear" w:color="auto" w:fill="FFFFFF"/>
        </w:rPr>
        <w:t>p</w:t>
      </w:r>
      <w:r w:rsidR="0086326C">
        <w:rPr>
          <w:rFonts w:cstheme="minorHAnsi"/>
          <w:color w:val="111111"/>
          <w:shd w:val="clear" w:color="auto" w:fill="FFFFFF"/>
        </w:rPr>
        <w:t xml:space="preserve">ython using the </w:t>
      </w:r>
      <w:r w:rsidR="00E43F97">
        <w:rPr>
          <w:rFonts w:cstheme="minorHAnsi"/>
          <w:color w:val="111111"/>
          <w:shd w:val="clear" w:color="auto" w:fill="FFFFFF"/>
        </w:rPr>
        <w:t>p</w:t>
      </w:r>
      <w:r w:rsidR="0086326C">
        <w:rPr>
          <w:rFonts w:cstheme="minorHAnsi"/>
          <w:color w:val="111111"/>
          <w:shd w:val="clear" w:color="auto" w:fill="FFFFFF"/>
        </w:rPr>
        <w:t xml:space="preserve">ython 3.7 </w:t>
      </w:r>
      <w:r w:rsidR="00E43F97">
        <w:rPr>
          <w:rFonts w:cstheme="minorHAnsi"/>
          <w:color w:val="111111"/>
          <w:shd w:val="clear" w:color="auto" w:fill="FFFFFF"/>
        </w:rPr>
        <w:t xml:space="preserve">interpreter. </w:t>
      </w:r>
      <w:r w:rsidR="00794B06">
        <w:rPr>
          <w:rFonts w:cstheme="minorHAnsi"/>
          <w:color w:val="111111"/>
          <w:shd w:val="clear" w:color="auto" w:fill="FFFFFF"/>
        </w:rPr>
        <w:t xml:space="preserve">All models </w:t>
      </w:r>
      <w:proofErr w:type="gramStart"/>
      <w:r w:rsidR="00794B06">
        <w:rPr>
          <w:rFonts w:cstheme="minorHAnsi"/>
          <w:color w:val="111111"/>
          <w:shd w:val="clear" w:color="auto" w:fill="FFFFFF"/>
        </w:rPr>
        <w:t>were created</w:t>
      </w:r>
      <w:proofErr w:type="gramEnd"/>
      <w:r w:rsidR="00794B06">
        <w:rPr>
          <w:rFonts w:cstheme="minorHAnsi"/>
          <w:color w:val="111111"/>
          <w:shd w:val="clear" w:color="auto" w:fill="FFFFFF"/>
        </w:rPr>
        <w:t xml:space="preserve"> using </w:t>
      </w:r>
      <w:proofErr w:type="spellStart"/>
      <w:r w:rsidR="006B49C8" w:rsidRPr="006B49C8">
        <w:rPr>
          <w:rFonts w:cstheme="minorHAnsi"/>
          <w:color w:val="111111"/>
          <w:shd w:val="clear" w:color="auto" w:fill="FFFFFF"/>
        </w:rPr>
        <w:t>scikit</w:t>
      </w:r>
      <w:proofErr w:type="spellEnd"/>
      <w:r w:rsidR="006B49C8" w:rsidRPr="006B49C8">
        <w:rPr>
          <w:rFonts w:cstheme="minorHAnsi"/>
          <w:color w:val="111111"/>
          <w:shd w:val="clear" w:color="auto" w:fill="FFFFFF"/>
        </w:rPr>
        <w:t>-learn</w:t>
      </w:r>
      <w:r w:rsidR="006B49C8">
        <w:rPr>
          <w:rFonts w:cstheme="minorHAnsi"/>
          <w:color w:val="111111"/>
          <w:shd w:val="clear" w:color="auto" w:fill="FFFFFF"/>
        </w:rPr>
        <w:t xml:space="preserve"> 0.2</w:t>
      </w:r>
      <w:r w:rsidR="00AF1BA2">
        <w:rPr>
          <w:rFonts w:cstheme="minorHAnsi"/>
          <w:color w:val="111111"/>
          <w:shd w:val="clear" w:color="auto" w:fill="FFFFFF"/>
        </w:rPr>
        <w:t>0.3.</w:t>
      </w:r>
    </w:p>
    <w:p w14:paraId="54C53EB7" w14:textId="7AFDDB55" w:rsidR="00D0796C" w:rsidRDefault="00D618E0" w:rsidP="005C530C">
      <w:pPr>
        <w:pStyle w:val="Heading1"/>
        <w:spacing w:line="276" w:lineRule="auto"/>
      </w:pPr>
      <w:bookmarkStart w:id="16" w:name="_Toc6143136"/>
      <w:r>
        <w:t>Results</w:t>
      </w:r>
      <w:bookmarkEnd w:id="16"/>
    </w:p>
    <w:p w14:paraId="4A3EC8C4" w14:textId="262B879A" w:rsidR="00D618E0" w:rsidRDefault="006D614D" w:rsidP="005C530C">
      <w:pPr>
        <w:pStyle w:val="Heading2"/>
        <w:spacing w:line="276" w:lineRule="auto"/>
      </w:pPr>
      <w:bookmarkStart w:id="17" w:name="_Toc6143137"/>
      <w:r>
        <w:t>ChEMBL Data Analysis</w:t>
      </w:r>
      <w:bookmarkEnd w:id="17"/>
    </w:p>
    <w:p w14:paraId="3291AAA4" w14:textId="07D2C12C" w:rsidR="00D0453B" w:rsidRPr="00F93FBE" w:rsidRDefault="006706F6" w:rsidP="00E818D2">
      <w:pPr>
        <w:spacing w:line="276" w:lineRule="auto"/>
        <w:ind w:firstLine="360"/>
        <w:jc w:val="both"/>
      </w:pPr>
      <w:r>
        <w:t>Most</w:t>
      </w:r>
      <w:r w:rsidR="00506F7F">
        <w:t xml:space="preserve"> samples in the ChEMBL dataset </w:t>
      </w:r>
      <w:r w:rsidR="00D1684F">
        <w:t>have complete data in all features evaluated</w:t>
      </w:r>
      <w:r w:rsidR="0093271C">
        <w:t xml:space="preserve"> features,</w:t>
      </w:r>
      <w:r w:rsidR="003C7D39">
        <w:t xml:space="preserve"> however, there are </w:t>
      </w:r>
      <w:r w:rsidR="0094712D">
        <w:t xml:space="preserve">some </w:t>
      </w:r>
      <w:r w:rsidR="0092272F">
        <w:t>samples</w:t>
      </w:r>
      <w:r w:rsidR="0093271C">
        <w:t xml:space="preserve"> missing 1</w:t>
      </w:r>
      <w:r w:rsidR="0094712D">
        <w:t xml:space="preserve"> – 4 </w:t>
      </w:r>
      <w:r w:rsidR="0093271C">
        <w:t>feature</w:t>
      </w:r>
      <w:r w:rsidR="0094712D">
        <w:t>s</w:t>
      </w:r>
      <w:r w:rsidR="0093271C">
        <w:t xml:space="preserve"> and some</w:t>
      </w:r>
      <w:r w:rsidR="0092272F">
        <w:t xml:space="preserve"> </w:t>
      </w:r>
      <w:r w:rsidR="0092272F">
        <w:t>present with 9 or more of the features missing data</w:t>
      </w:r>
      <w:r>
        <w:t xml:space="preserve"> (Fig. 1)</w:t>
      </w:r>
      <w:r w:rsidR="0092272F">
        <w:t xml:space="preserve">. </w:t>
      </w:r>
      <w:r w:rsidR="00265A92">
        <w:t>Amongst the features missing data, ACD</w:t>
      </w:r>
      <w:r w:rsidR="00915130">
        <w:t xml:space="preserve"> </w:t>
      </w:r>
      <w:proofErr w:type="spellStart"/>
      <w:r w:rsidR="00915130">
        <w:t>ApKa</w:t>
      </w:r>
      <w:proofErr w:type="spellEnd"/>
      <w:r w:rsidR="00493894">
        <w:t xml:space="preserve"> and </w:t>
      </w:r>
      <w:r w:rsidR="00915130">
        <w:t xml:space="preserve">ACD </w:t>
      </w:r>
      <w:proofErr w:type="spellStart"/>
      <w:r w:rsidR="00915130">
        <w:t>BpKa</w:t>
      </w:r>
      <w:proofErr w:type="spellEnd"/>
      <w:r w:rsidR="00493894">
        <w:t xml:space="preserve"> </w:t>
      </w:r>
      <w:r w:rsidR="00A95140">
        <w:t>are the highest amongst all data sets</w:t>
      </w:r>
      <w:r w:rsidR="00724611">
        <w:t>, though, in all features</w:t>
      </w:r>
      <w:r w:rsidR="00AD3A29">
        <w:t xml:space="preserve"> more than half of all</w:t>
      </w:r>
      <w:r w:rsidR="00724611">
        <w:t xml:space="preserve"> samples have data</w:t>
      </w:r>
      <w:r w:rsidR="00AD3A29">
        <w:t xml:space="preserve"> (Fig. </w:t>
      </w:r>
      <w:r w:rsidR="001D231F">
        <w:t>1</w:t>
      </w:r>
      <w:r w:rsidR="00AD3A29">
        <w:t>)</w:t>
      </w:r>
      <w:r w:rsidR="00724611">
        <w:t>.</w:t>
      </w:r>
    </w:p>
    <w:p w14:paraId="3E6B44A3" w14:textId="405070BC" w:rsidR="00CA355D" w:rsidRDefault="00683304" w:rsidP="005C530C">
      <w:pPr>
        <w:pStyle w:val="Heading2"/>
        <w:spacing w:line="276" w:lineRule="auto"/>
      </w:pPr>
      <w:bookmarkStart w:id="18" w:name="_Toc6143138"/>
      <w:r>
        <w:t>Algorithm Performance</w:t>
      </w:r>
      <w:bookmarkEnd w:id="18"/>
    </w:p>
    <w:p w14:paraId="6901A294" w14:textId="6882B2A3" w:rsidR="00F93FBE" w:rsidRPr="00E0210F" w:rsidRDefault="00354AEA" w:rsidP="00E0210F">
      <w:pPr>
        <w:pStyle w:val="Heading3"/>
      </w:pPr>
      <w:bookmarkStart w:id="19" w:name="_Toc6143139"/>
      <w:r w:rsidRPr="00E0210F">
        <w:t>Logistic Regression.</w:t>
      </w:r>
      <w:bookmarkEnd w:id="19"/>
    </w:p>
    <w:p w14:paraId="6B93861F" w14:textId="24D0AE82" w:rsidR="0014123E" w:rsidRDefault="00CE7E4B" w:rsidP="00CE7E4B">
      <w:pPr>
        <w:spacing w:line="276" w:lineRule="auto"/>
        <w:ind w:firstLine="360"/>
        <w:jc w:val="both"/>
      </w:pPr>
      <w:r>
        <w:t>For the approved vs. non-approved dataset</w:t>
      </w:r>
      <w:r w:rsidR="00DF407D">
        <w:t xml:space="preserve">, </w:t>
      </w:r>
      <w:r w:rsidR="00982625">
        <w:t xml:space="preserve">the </w:t>
      </w:r>
      <w:r w:rsidR="002C2014">
        <w:t>best model</w:t>
      </w:r>
      <w:r w:rsidR="00B14C8A">
        <w:t xml:space="preserve"> used an inverse regularization </w:t>
      </w:r>
      <w:r w:rsidR="00A73C5B">
        <w:t xml:space="preserve">strength </w:t>
      </w:r>
      <w:r w:rsidR="00B14C8A">
        <w:t xml:space="preserve">of </w:t>
      </w:r>
      <w:r w:rsidR="00997C46" w:rsidRPr="00997C46">
        <w:t>0.84</w:t>
      </w:r>
      <w:r w:rsidR="006A289F">
        <w:t xml:space="preserve">, though, </w:t>
      </w:r>
      <w:r w:rsidR="00FE134B">
        <w:t xml:space="preserve">changing the regularization parameter did not </w:t>
      </w:r>
      <w:r w:rsidR="003E00C6">
        <w:t>affect the model performance</w:t>
      </w:r>
      <w:r w:rsidR="006A289F">
        <w:t xml:space="preserve"> </w:t>
      </w:r>
      <w:r w:rsidR="006F279A">
        <w:t>(Fig. 3).</w:t>
      </w:r>
      <w:r w:rsidR="00135AEB">
        <w:t xml:space="preserve"> For the approved vs. withdrawn dataset, the best</w:t>
      </w:r>
      <w:r w:rsidR="00135AEB" w:rsidRPr="00135AEB">
        <w:t xml:space="preserve"> </w:t>
      </w:r>
      <w:r w:rsidR="00135AEB">
        <w:t xml:space="preserve">model used an inverse regularization </w:t>
      </w:r>
      <w:r w:rsidR="00A73C5B">
        <w:t>strength</w:t>
      </w:r>
      <w:r w:rsidR="00135AEB">
        <w:t xml:space="preserve"> of </w:t>
      </w:r>
      <w:r w:rsidR="001B7F19" w:rsidRPr="001B7F19">
        <w:t>3.68</w:t>
      </w:r>
      <w:r w:rsidR="00135AEB">
        <w:t xml:space="preserve">, though again, </w:t>
      </w:r>
      <w:r w:rsidR="00EB1658">
        <w:t>changing the regularization parameter did not affect the model performance (Fig. 3)</w:t>
      </w:r>
      <w:r w:rsidR="00DC0CC9">
        <w:t xml:space="preserve">. </w:t>
      </w:r>
    </w:p>
    <w:p w14:paraId="790BF433" w14:textId="2D4ABE13" w:rsidR="00354AEA" w:rsidRDefault="00DC0CC9" w:rsidP="00CE7E4B">
      <w:pPr>
        <w:spacing w:line="276" w:lineRule="auto"/>
        <w:ind w:firstLine="360"/>
        <w:jc w:val="both"/>
      </w:pPr>
      <w:r w:rsidRPr="00DC0CC9">
        <w:t>For the approved vs. non-approved dataset</w:t>
      </w:r>
      <w:r>
        <w:t xml:space="preserve">, logistic regression </w:t>
      </w:r>
      <w:r w:rsidR="007A2F4C">
        <w:t>selected approved drugs from the</w:t>
      </w:r>
      <w:r w:rsidR="0058100A">
        <w:t xml:space="preserve"> test set </w:t>
      </w:r>
      <w:r>
        <w:t>with a precision of 0.</w:t>
      </w:r>
      <w:r w:rsidR="00406E04">
        <w:t>81</w:t>
      </w:r>
      <w:r>
        <w:t>, recall of 0.</w:t>
      </w:r>
      <w:r w:rsidR="00406E04">
        <w:t>76</w:t>
      </w:r>
      <w:r>
        <w:t xml:space="preserve">, </w:t>
      </w:r>
      <w:r w:rsidR="00406E04">
        <w:t>F1 of 0.78, and a kappa of 0.58.</w:t>
      </w:r>
      <w:r w:rsidR="0014123E">
        <w:t xml:space="preserve"> </w:t>
      </w:r>
      <w:r w:rsidR="0014123E" w:rsidRPr="00DC0CC9">
        <w:t xml:space="preserve">For the approved vs. </w:t>
      </w:r>
      <w:r w:rsidR="00A63206">
        <w:t>withdrawn</w:t>
      </w:r>
      <w:r w:rsidR="0014123E" w:rsidRPr="00DC0CC9">
        <w:t xml:space="preserve"> dataset</w:t>
      </w:r>
      <w:r w:rsidR="0014123E">
        <w:t xml:space="preserve">, logistic regression </w:t>
      </w:r>
      <w:r w:rsidR="007A2F4C">
        <w:t xml:space="preserve">selected approved drugs </w:t>
      </w:r>
      <w:r w:rsidR="0014123E">
        <w:t>on the test set with a precision of 0.</w:t>
      </w:r>
      <w:r w:rsidR="00A63206" w:rsidRPr="00A63206">
        <w:t>60</w:t>
      </w:r>
      <w:r w:rsidR="0014123E">
        <w:t>, recall of 0.</w:t>
      </w:r>
      <w:r w:rsidR="00A63206">
        <w:t>4</w:t>
      </w:r>
      <w:r w:rsidR="0014123E">
        <w:t>6, F1 of 0.</w:t>
      </w:r>
      <w:r w:rsidR="000A32D7">
        <w:t>52</w:t>
      </w:r>
      <w:r w:rsidR="0014123E">
        <w:t>, and a kappa of 0.</w:t>
      </w:r>
      <w:r w:rsidR="000A32D7">
        <w:t>15</w:t>
      </w:r>
      <w:r w:rsidR="0014123E">
        <w:t>.</w:t>
      </w:r>
    </w:p>
    <w:p w14:paraId="400B1310" w14:textId="33D682F4" w:rsidR="00B74EFD" w:rsidRPr="00E0210F" w:rsidRDefault="00B74EFD" w:rsidP="00B74EFD">
      <w:pPr>
        <w:pStyle w:val="Heading3"/>
      </w:pPr>
      <w:bookmarkStart w:id="20" w:name="_Toc6143140"/>
      <w:r>
        <w:t>Support Vector Machine</w:t>
      </w:r>
      <w:r w:rsidRPr="00E0210F">
        <w:t>.</w:t>
      </w:r>
      <w:bookmarkEnd w:id="20"/>
    </w:p>
    <w:p w14:paraId="03E72CF3" w14:textId="6AD9728F" w:rsidR="00B74EFD" w:rsidRPr="00D5745D" w:rsidRDefault="00B74EFD" w:rsidP="00B74EFD">
      <w:pPr>
        <w:spacing w:line="276" w:lineRule="auto"/>
        <w:ind w:firstLine="360"/>
        <w:jc w:val="both"/>
      </w:pPr>
      <w:r w:rsidRPr="00D5745D">
        <w:t xml:space="preserve">For the approved vs. non-approved dataset, the best model used an inverse regularization </w:t>
      </w:r>
      <w:r w:rsidR="00A73C5B">
        <w:t xml:space="preserve">strength </w:t>
      </w:r>
      <w:r w:rsidRPr="00D5745D">
        <w:t xml:space="preserve">of </w:t>
      </w:r>
      <w:r w:rsidR="00602006" w:rsidRPr="00602006">
        <w:t>12.6</w:t>
      </w:r>
      <w:r w:rsidR="00602006">
        <w:t>1</w:t>
      </w:r>
      <w:r w:rsidR="004E4B09">
        <w:t xml:space="preserve"> </w:t>
      </w:r>
      <w:r w:rsidR="004E4B09" w:rsidRPr="00D5745D">
        <w:t>and a radial basis function kernel</w:t>
      </w:r>
      <w:r w:rsidR="004E4B09">
        <w:t>;</w:t>
      </w:r>
      <w:r w:rsidR="00F5604E" w:rsidRPr="00D5745D">
        <w:t xml:space="preserve"> gamma</w:t>
      </w:r>
      <w:r w:rsidR="001860DF" w:rsidRPr="00D5745D">
        <w:t xml:space="preserve"> </w:t>
      </w:r>
      <w:r w:rsidR="004E4B09">
        <w:t>was automatically determined</w:t>
      </w:r>
      <w:r w:rsidR="00CA71CE" w:rsidRPr="00D5745D">
        <w:t>.</w:t>
      </w:r>
      <w:r w:rsidR="006E3E34" w:rsidRPr="00D5745D">
        <w:t xml:space="preserve"> For the approved vs. withdrawn dataset, the best model used an inverse regularization </w:t>
      </w:r>
      <w:r w:rsidR="004E4B09">
        <w:t>strength</w:t>
      </w:r>
      <w:r w:rsidR="006E3E34" w:rsidRPr="00D5745D">
        <w:t xml:space="preserve"> of </w:t>
      </w:r>
      <w:r w:rsidR="004E7CCB" w:rsidRPr="004E7CCB">
        <w:t>100.35</w:t>
      </w:r>
      <w:r w:rsidR="004E4B09">
        <w:t xml:space="preserve"> </w:t>
      </w:r>
      <w:r w:rsidR="006E3E34" w:rsidRPr="00D5745D">
        <w:t>and a radial basis function kernel</w:t>
      </w:r>
      <w:r w:rsidR="004E4B09">
        <w:t>; again, gamma was automatically determined</w:t>
      </w:r>
      <w:r w:rsidR="006E3E34" w:rsidRPr="00D5745D">
        <w:t>.</w:t>
      </w:r>
      <w:r w:rsidR="009B6092" w:rsidRPr="00D5745D">
        <w:t xml:space="preserve"> For both datasets, c</w:t>
      </w:r>
      <w:r w:rsidRPr="00D5745D">
        <w:t>hanging the regularization parameter</w:t>
      </w:r>
      <w:r w:rsidR="0041025E">
        <w:t xml:space="preserve"> </w:t>
      </w:r>
      <w:r w:rsidRPr="00D5745D">
        <w:t>did not affect the model performance</w:t>
      </w:r>
      <w:r w:rsidR="00102300" w:rsidRPr="00D5745D">
        <w:t xml:space="preserve">, however, there was </w:t>
      </w:r>
      <w:r w:rsidR="003F2652">
        <w:t>a marginal</w:t>
      </w:r>
      <w:r w:rsidR="00102300" w:rsidRPr="00D5745D">
        <w:t xml:space="preserve"> improvement with the radial basis function kernel over the linear kernel</w:t>
      </w:r>
      <w:r w:rsidR="00960795">
        <w:t xml:space="preserve">, although, </w:t>
      </w:r>
      <w:r w:rsidR="003F2652">
        <w:t xml:space="preserve">the radial basis function kernel had </w:t>
      </w:r>
      <w:r w:rsidR="00960795">
        <w:t>more presence of overfitting</w:t>
      </w:r>
      <w:r w:rsidR="003F2652">
        <w:t xml:space="preserve"> as well</w:t>
      </w:r>
      <w:r w:rsidRPr="00D5745D">
        <w:t xml:space="preserve"> (Fig. </w:t>
      </w:r>
      <w:r w:rsidR="00D276EC">
        <w:t>4</w:t>
      </w:r>
      <w:r w:rsidRPr="00D5745D">
        <w:t>).</w:t>
      </w:r>
    </w:p>
    <w:p w14:paraId="276A9CB8" w14:textId="05AEB285" w:rsidR="00B74EFD" w:rsidRDefault="00B74EFD" w:rsidP="00B74EFD">
      <w:pPr>
        <w:spacing w:line="276" w:lineRule="auto"/>
        <w:ind w:firstLine="360"/>
        <w:jc w:val="both"/>
      </w:pPr>
      <w:r w:rsidRPr="005E3281">
        <w:t xml:space="preserve">For the approved vs. non-approved dataset, </w:t>
      </w:r>
      <w:r w:rsidR="00D7224D" w:rsidRPr="005E3281">
        <w:t xml:space="preserve">support </w:t>
      </w:r>
      <w:r w:rsidR="005E3281">
        <w:t>v</w:t>
      </w:r>
      <w:r w:rsidR="00D7224D" w:rsidRPr="005E3281">
        <w:t xml:space="preserve">ector machine </w:t>
      </w:r>
      <w:r w:rsidRPr="005E3281">
        <w:t>selected approved drugs from the test set with a precision of 0.8</w:t>
      </w:r>
      <w:r w:rsidR="00D7224D" w:rsidRPr="005E3281">
        <w:t>3</w:t>
      </w:r>
      <w:r w:rsidRPr="005E3281">
        <w:t>, recall of 0.</w:t>
      </w:r>
      <w:r w:rsidR="00D7224D" w:rsidRPr="005E3281">
        <w:t>80</w:t>
      </w:r>
      <w:r w:rsidRPr="005E3281">
        <w:t>, F1 of 0.</w:t>
      </w:r>
      <w:r w:rsidR="00D7224D" w:rsidRPr="005E3281">
        <w:t>8</w:t>
      </w:r>
      <w:r w:rsidR="00F03DD9">
        <w:t>2</w:t>
      </w:r>
      <w:r w:rsidRPr="005E3281">
        <w:t>, and a kappa of 0.</w:t>
      </w:r>
      <w:r w:rsidR="00D7224D" w:rsidRPr="005E3281">
        <w:t>6</w:t>
      </w:r>
      <w:r w:rsidR="00246305">
        <w:t>4</w:t>
      </w:r>
      <w:r w:rsidRPr="005E3281">
        <w:t xml:space="preserve">. For the approved vs. withdrawn dataset, </w:t>
      </w:r>
      <w:r w:rsidR="005E3281" w:rsidRPr="005E3281">
        <w:t xml:space="preserve">support </w:t>
      </w:r>
      <w:r w:rsidR="005E3281">
        <w:t>v</w:t>
      </w:r>
      <w:r w:rsidR="005E3281" w:rsidRPr="005E3281">
        <w:t xml:space="preserve">ector machine </w:t>
      </w:r>
      <w:r w:rsidRPr="005E3281">
        <w:t xml:space="preserve">selected approved drugs on the </w:t>
      </w:r>
      <w:r w:rsidRPr="005E3281">
        <w:lastRenderedPageBreak/>
        <w:t>test set with a precision of 0.6</w:t>
      </w:r>
      <w:r w:rsidR="00246305">
        <w:t>8</w:t>
      </w:r>
      <w:r w:rsidRPr="005E3281">
        <w:t>, recall of 0.</w:t>
      </w:r>
      <w:r w:rsidR="00D7224D" w:rsidRPr="005E3281">
        <w:t>59</w:t>
      </w:r>
      <w:r w:rsidRPr="005E3281">
        <w:t>, F1 of 0.</w:t>
      </w:r>
      <w:r w:rsidR="00D7224D" w:rsidRPr="005E3281">
        <w:t>6</w:t>
      </w:r>
      <w:r w:rsidR="00246305">
        <w:t>3</w:t>
      </w:r>
      <w:r w:rsidRPr="005E3281">
        <w:t>, and a kappa of 0.</w:t>
      </w:r>
      <w:r w:rsidR="005E3281" w:rsidRPr="005E3281">
        <w:t>3</w:t>
      </w:r>
      <w:r w:rsidR="00246305">
        <w:t>0</w:t>
      </w:r>
      <w:r w:rsidRPr="005E3281">
        <w:t>.</w:t>
      </w:r>
    </w:p>
    <w:p w14:paraId="0A0BC50C" w14:textId="4E0E211C" w:rsidR="005E3281" w:rsidRPr="00E0210F" w:rsidRDefault="002A0C75" w:rsidP="005E3281">
      <w:pPr>
        <w:pStyle w:val="Heading3"/>
      </w:pPr>
      <w:bookmarkStart w:id="21" w:name="_Toc6143141"/>
      <w:r w:rsidRPr="002A0C75">
        <w:t>Random Forest</w:t>
      </w:r>
      <w:r w:rsidR="005E3281" w:rsidRPr="00E0210F">
        <w:t>.</w:t>
      </w:r>
      <w:bookmarkEnd w:id="21"/>
    </w:p>
    <w:p w14:paraId="35A85D25" w14:textId="5426499C" w:rsidR="00FE093B" w:rsidRDefault="005E3281" w:rsidP="009335F7">
      <w:pPr>
        <w:spacing w:line="276" w:lineRule="auto"/>
        <w:ind w:firstLine="360"/>
        <w:jc w:val="both"/>
      </w:pPr>
      <w:r w:rsidRPr="00D5745D">
        <w:t xml:space="preserve">For the approved vs. non-approved dataset, the best model used </w:t>
      </w:r>
      <w:r w:rsidR="007417E7">
        <w:t>3</w:t>
      </w:r>
      <w:r w:rsidR="00AE77C4">
        <w:t>77</w:t>
      </w:r>
      <w:r w:rsidR="007417E7">
        <w:t xml:space="preserve"> estimators</w:t>
      </w:r>
      <w:r w:rsidRPr="00D5745D">
        <w:t>. For the approved vs. withdrawn dataset, the best model used</w:t>
      </w:r>
      <w:r w:rsidR="007417E7">
        <w:t xml:space="preserve"> </w:t>
      </w:r>
      <w:r w:rsidR="00AE77C4">
        <w:t>167</w:t>
      </w:r>
      <w:r w:rsidR="007417E7">
        <w:t xml:space="preserve"> estimators</w:t>
      </w:r>
      <w:r w:rsidRPr="00D5745D">
        <w:t xml:space="preserve">. For both datasets, </w:t>
      </w:r>
      <w:r w:rsidR="00D276EC">
        <w:t>increasing the number of estimators beyond 50 did not dramatically increase model performance</w:t>
      </w:r>
      <w:r w:rsidRPr="00D5745D">
        <w:t xml:space="preserve"> (Fig. </w:t>
      </w:r>
      <w:r w:rsidR="00D276EC">
        <w:t>5</w:t>
      </w:r>
      <w:r w:rsidRPr="00D5745D">
        <w:t>).</w:t>
      </w:r>
    </w:p>
    <w:p w14:paraId="26C59EB9" w14:textId="70F8389C" w:rsidR="005E3281" w:rsidRDefault="005E3281" w:rsidP="005E3281">
      <w:pPr>
        <w:spacing w:line="276" w:lineRule="auto"/>
        <w:ind w:firstLine="360"/>
        <w:jc w:val="both"/>
      </w:pPr>
      <w:r w:rsidRPr="005E3281">
        <w:t xml:space="preserve">For the approved vs. non-approved dataset, </w:t>
      </w:r>
      <w:r w:rsidR="002A0C75">
        <w:t>random forest</w:t>
      </w:r>
      <w:r w:rsidRPr="005E3281">
        <w:t xml:space="preserve"> selected approved drugs from the test set with a precision of 0.83, recall of 0.8</w:t>
      </w:r>
      <w:r w:rsidR="00C925E2">
        <w:t>2</w:t>
      </w:r>
      <w:r w:rsidRPr="005E3281">
        <w:t>, F1 of 0.8</w:t>
      </w:r>
      <w:r w:rsidR="00C925E2">
        <w:t>3</w:t>
      </w:r>
      <w:r w:rsidRPr="005E3281">
        <w:t>, and a kappa of 0.6</w:t>
      </w:r>
      <w:r w:rsidR="00D276EC">
        <w:t>5</w:t>
      </w:r>
      <w:r w:rsidRPr="005E3281">
        <w:t xml:space="preserve">. For the approved vs. withdrawn dataset, </w:t>
      </w:r>
      <w:r w:rsidR="002A0C75">
        <w:t xml:space="preserve">random forest </w:t>
      </w:r>
      <w:r w:rsidRPr="005E3281">
        <w:t>selected approved drugs on the test set with a precision of 0.6</w:t>
      </w:r>
      <w:r w:rsidR="00C925E2">
        <w:t>8</w:t>
      </w:r>
      <w:r w:rsidRPr="005E3281">
        <w:t>, recall of 0.5</w:t>
      </w:r>
      <w:r w:rsidR="00C925E2">
        <w:t>9</w:t>
      </w:r>
      <w:r w:rsidRPr="005E3281">
        <w:t>, F1 of 0.6</w:t>
      </w:r>
      <w:r w:rsidR="00C925E2">
        <w:t>3</w:t>
      </w:r>
      <w:r w:rsidRPr="005E3281">
        <w:t>, and a kappa of 0.</w:t>
      </w:r>
      <w:r w:rsidR="00C925E2">
        <w:t>30</w:t>
      </w:r>
      <w:r w:rsidRPr="005E3281">
        <w:t>.</w:t>
      </w:r>
    </w:p>
    <w:p w14:paraId="16BCA8C2" w14:textId="472C5B2E" w:rsidR="002B5E21" w:rsidRPr="00E0210F" w:rsidRDefault="002B5E21" w:rsidP="002B5E21">
      <w:pPr>
        <w:pStyle w:val="Heading3"/>
      </w:pPr>
      <w:bookmarkStart w:id="22" w:name="_Toc6143142"/>
      <w:r>
        <w:t>Multilayer Perceptron (Neural Network)</w:t>
      </w:r>
      <w:r w:rsidRPr="00E0210F">
        <w:t>.</w:t>
      </w:r>
      <w:bookmarkEnd w:id="22"/>
    </w:p>
    <w:p w14:paraId="5EA2D239" w14:textId="5AE5A8DD" w:rsidR="002B5E21" w:rsidRPr="00D5745D" w:rsidRDefault="002B5E21" w:rsidP="002B5E21">
      <w:pPr>
        <w:spacing w:line="276" w:lineRule="auto"/>
        <w:ind w:firstLine="360"/>
        <w:jc w:val="both"/>
      </w:pPr>
      <w:r w:rsidRPr="00D5745D">
        <w:t xml:space="preserve">For the approved vs. non-approved dataset, the best model used an </w:t>
      </w:r>
      <w:r w:rsidR="00BE1C56">
        <w:t>alpha</w:t>
      </w:r>
      <w:r w:rsidRPr="00D5745D">
        <w:t xml:space="preserve"> of </w:t>
      </w:r>
      <w:r w:rsidR="00E65EC9">
        <w:t>1</w:t>
      </w:r>
      <w:r w:rsidR="002B7D6D" w:rsidRPr="002B7D6D">
        <w:t>.</w:t>
      </w:r>
      <w:r w:rsidR="00E65EC9">
        <w:t>89</w:t>
      </w:r>
      <w:r w:rsidRPr="00D5745D">
        <w:t>, a</w:t>
      </w:r>
      <w:r w:rsidR="005C5752">
        <w:t xml:space="preserve">nd </w:t>
      </w:r>
      <w:r w:rsidR="00E65EC9">
        <w:t>1</w:t>
      </w:r>
      <w:r w:rsidR="005C5752">
        <w:t xml:space="preserve"> hidden layer of </w:t>
      </w:r>
      <w:r w:rsidR="002B7D6D">
        <w:t>100</w:t>
      </w:r>
      <w:r w:rsidR="005C5752">
        <w:t xml:space="preserve"> nodes. </w:t>
      </w:r>
      <w:r w:rsidRPr="00D5745D">
        <w:t xml:space="preserve">For the approved vs. withdrawn dataset, the best model used an </w:t>
      </w:r>
      <w:r w:rsidR="005C5752">
        <w:t>alpha</w:t>
      </w:r>
      <w:r w:rsidR="005C5752" w:rsidRPr="00D5745D">
        <w:t xml:space="preserve"> of </w:t>
      </w:r>
      <w:r w:rsidR="002F1124" w:rsidRPr="002B7D6D">
        <w:t>178.92</w:t>
      </w:r>
      <w:r w:rsidR="005C5752" w:rsidRPr="00D5745D">
        <w:t>, a</w:t>
      </w:r>
      <w:r w:rsidR="005C5752">
        <w:t xml:space="preserve">nd </w:t>
      </w:r>
      <w:r w:rsidR="002F1124">
        <w:t>3</w:t>
      </w:r>
      <w:r w:rsidR="005C5752">
        <w:t xml:space="preserve"> hidden </w:t>
      </w:r>
      <w:r w:rsidR="00E65EC9">
        <w:t>layers</w:t>
      </w:r>
      <w:r w:rsidR="00AD0998">
        <w:t xml:space="preserve"> </w:t>
      </w:r>
      <w:r w:rsidR="005C5752">
        <w:t xml:space="preserve">of </w:t>
      </w:r>
      <w:r w:rsidR="00AD0998">
        <w:t>100</w:t>
      </w:r>
      <w:r w:rsidR="005C5752">
        <w:t xml:space="preserve"> nodes</w:t>
      </w:r>
      <w:r w:rsidR="00E65EC9">
        <w:t xml:space="preserve"> each</w:t>
      </w:r>
      <w:r w:rsidRPr="00D5745D">
        <w:t xml:space="preserve">. For both datasets, </w:t>
      </w:r>
      <w:r w:rsidR="00907E3F">
        <w:t>altering alpha and the node structure wildly varied performance with no obvious trends present.</w:t>
      </w:r>
      <w:r w:rsidR="00D838F4">
        <w:t xml:space="preserve"> </w:t>
      </w:r>
      <w:r w:rsidRPr="00D5745D">
        <w:t xml:space="preserve">(Fig. </w:t>
      </w:r>
      <w:r w:rsidR="00D838F4">
        <w:t>6</w:t>
      </w:r>
      <w:r w:rsidRPr="00D5745D">
        <w:t>).</w:t>
      </w:r>
    </w:p>
    <w:p w14:paraId="2BBD42E9" w14:textId="57C9B17B" w:rsidR="002B5E21" w:rsidRDefault="002B5E21" w:rsidP="005E3281">
      <w:pPr>
        <w:spacing w:line="276" w:lineRule="auto"/>
        <w:ind w:firstLine="360"/>
        <w:jc w:val="both"/>
      </w:pPr>
      <w:r w:rsidRPr="005E3281">
        <w:t xml:space="preserve">For the approved vs. non-approved dataset, </w:t>
      </w:r>
      <w:r w:rsidR="004D0970">
        <w:t xml:space="preserve">the multilayer perceptron </w:t>
      </w:r>
      <w:r w:rsidRPr="005E3281">
        <w:t>selected approved drugs from the test set with a precision of 0.</w:t>
      </w:r>
      <w:r w:rsidR="00B86E3A">
        <w:t>79</w:t>
      </w:r>
      <w:r w:rsidRPr="005E3281">
        <w:t>, recall of 0.</w:t>
      </w:r>
      <w:r w:rsidR="004D0970">
        <w:t>7</w:t>
      </w:r>
      <w:r w:rsidR="00B86E3A">
        <w:t>2</w:t>
      </w:r>
      <w:r w:rsidRPr="005E3281">
        <w:t>, F1 of 0.</w:t>
      </w:r>
      <w:r w:rsidR="004D0970">
        <w:t>7</w:t>
      </w:r>
      <w:r w:rsidR="00B86E3A">
        <w:t>5</w:t>
      </w:r>
      <w:r w:rsidRPr="005E3281">
        <w:t>, and a kappa of 0.</w:t>
      </w:r>
      <w:r w:rsidR="00B86E3A">
        <w:t>52</w:t>
      </w:r>
      <w:r w:rsidRPr="005E3281">
        <w:t xml:space="preserve">. For the approved vs. withdrawn dataset, </w:t>
      </w:r>
      <w:r w:rsidR="004D0970">
        <w:t xml:space="preserve">the multilayer perceptron </w:t>
      </w:r>
      <w:r w:rsidRPr="005E3281">
        <w:t>selected approved drugs on the test set with a precision of 0.</w:t>
      </w:r>
      <w:r w:rsidR="00A70123">
        <w:t>5</w:t>
      </w:r>
      <w:r w:rsidR="00B86E3A">
        <w:t>0</w:t>
      </w:r>
      <w:r w:rsidRPr="005E3281">
        <w:t xml:space="preserve">, recall of </w:t>
      </w:r>
      <w:r w:rsidR="00B86E3A">
        <w:t>1</w:t>
      </w:r>
      <w:r w:rsidRPr="005E3281">
        <w:t>, F1 of 0.</w:t>
      </w:r>
      <w:r w:rsidR="00B86E3A">
        <w:t>67</w:t>
      </w:r>
      <w:r w:rsidRPr="005E3281">
        <w:t>, and a kappa of 0.</w:t>
      </w:r>
    </w:p>
    <w:p w14:paraId="6FFFF3FC" w14:textId="1539767F" w:rsidR="005079FD" w:rsidRPr="00E0210F" w:rsidRDefault="005079FD" w:rsidP="005079FD">
      <w:pPr>
        <w:pStyle w:val="Heading3"/>
      </w:pPr>
      <w:bookmarkStart w:id="23" w:name="_Toc6143143"/>
      <w:r>
        <w:t>Overall</w:t>
      </w:r>
      <w:r w:rsidRPr="00E0210F">
        <w:t>.</w:t>
      </w:r>
      <w:bookmarkEnd w:id="23"/>
    </w:p>
    <w:p w14:paraId="6418E11E" w14:textId="64373C99" w:rsidR="001C174E" w:rsidRPr="005E3281" w:rsidRDefault="009C3667" w:rsidP="00AF62CF">
      <w:pPr>
        <w:spacing w:line="276" w:lineRule="auto"/>
        <w:ind w:firstLine="360"/>
        <w:jc w:val="both"/>
      </w:pPr>
      <w:r w:rsidRPr="005E3281">
        <w:t xml:space="preserve">For </w:t>
      </w:r>
      <w:r w:rsidR="00A929B3">
        <w:t xml:space="preserve">both </w:t>
      </w:r>
      <w:r w:rsidRPr="005E3281">
        <w:t>the approved vs. non-approved dataset</w:t>
      </w:r>
      <w:r w:rsidR="00A929B3">
        <w:t xml:space="preserve"> and the </w:t>
      </w:r>
      <w:r w:rsidR="00A929B3" w:rsidRPr="005E3281">
        <w:t xml:space="preserve">approved vs. </w:t>
      </w:r>
      <w:r w:rsidR="00A929B3">
        <w:t>withdrawn</w:t>
      </w:r>
      <w:r w:rsidR="00A929B3" w:rsidRPr="005E3281">
        <w:t xml:space="preserve"> dataset</w:t>
      </w:r>
      <w:r>
        <w:t>, random forest performed the best</w:t>
      </w:r>
      <w:r w:rsidR="008F7664">
        <w:t xml:space="preserve"> on the test set </w:t>
      </w:r>
      <w:r w:rsidR="005079FD" w:rsidRPr="00D5745D">
        <w:t>(</w:t>
      </w:r>
      <w:r w:rsidR="008F7664">
        <w:t>Table 1</w:t>
      </w:r>
      <w:r w:rsidR="005079FD" w:rsidRPr="00D5745D">
        <w:t>)</w:t>
      </w:r>
      <w:r w:rsidR="004D1DB6">
        <w:t xml:space="preserve"> and </w:t>
      </w:r>
      <w:r w:rsidR="00DF213E">
        <w:t xml:space="preserve">achieved the best </w:t>
      </w:r>
      <w:r w:rsidR="004D1DB6">
        <w:t>cross-validation scores</w:t>
      </w:r>
      <w:r w:rsidR="00AF62CF">
        <w:t xml:space="preserve"> (Fig. 7)</w:t>
      </w:r>
      <w:r w:rsidR="005079FD" w:rsidRPr="00D5745D">
        <w:t>.</w:t>
      </w:r>
    </w:p>
    <w:p w14:paraId="2FFD3CFE" w14:textId="601092FB" w:rsidR="00B954B6" w:rsidRDefault="00B954B6" w:rsidP="005C530C">
      <w:pPr>
        <w:pStyle w:val="Heading1"/>
        <w:spacing w:line="276" w:lineRule="auto"/>
      </w:pPr>
      <w:bookmarkStart w:id="24" w:name="_Toc6143144"/>
      <w:r>
        <w:t>Discussion</w:t>
      </w:r>
      <w:bookmarkEnd w:id="24"/>
    </w:p>
    <w:p w14:paraId="6559ECD3" w14:textId="77777777" w:rsidR="006916C2" w:rsidRDefault="006916C2" w:rsidP="006916C2">
      <w:pPr>
        <w:pStyle w:val="Heading2"/>
        <w:spacing w:line="276" w:lineRule="auto"/>
      </w:pPr>
      <w:bookmarkStart w:id="25" w:name="_Toc6143145"/>
      <w:r>
        <w:t>Important Drug-like Properties</w:t>
      </w:r>
      <w:bookmarkEnd w:id="25"/>
    </w:p>
    <w:p w14:paraId="2433769B" w14:textId="3164115B" w:rsidR="006916C2" w:rsidRDefault="006916C2" w:rsidP="006916C2">
      <w:pPr>
        <w:spacing w:line="276" w:lineRule="auto"/>
        <w:ind w:firstLine="360"/>
        <w:jc w:val="both"/>
      </w:pPr>
      <w:r>
        <w:t xml:space="preserve">The ChEMBL database provides many samples of drugs and candidate drug compounds with each </w:t>
      </w:r>
      <w:proofErr w:type="gramStart"/>
      <w:r>
        <w:t>being connected</w:t>
      </w:r>
      <w:proofErr w:type="gramEnd"/>
      <w:r>
        <w:t xml:space="preserve"> to many features and properties. The set of </w:t>
      </w:r>
      <w:r>
        <w:t xml:space="preserve">features I used from the database were molecular properties that were readily available, though, more data can </w:t>
      </w:r>
      <w:proofErr w:type="gramStart"/>
      <w:r>
        <w:t>be retrieved</w:t>
      </w:r>
      <w:proofErr w:type="gramEnd"/>
      <w:r>
        <w:t xml:space="preserve"> from looking at many assay results connected to a compound. With most compounds having data in most features (Fig. 1), this database is a good starting point for assessing the usage of simple drug-like properties in machine learning methods.</w:t>
      </w:r>
    </w:p>
    <w:p w14:paraId="24D4BCCD" w14:textId="1659C7A5" w:rsidR="002C6F1E" w:rsidRDefault="00FC60B3" w:rsidP="006916C2">
      <w:pPr>
        <w:spacing w:line="276" w:lineRule="auto"/>
        <w:ind w:firstLine="360"/>
        <w:jc w:val="both"/>
      </w:pPr>
      <w:r>
        <w:t xml:space="preserve">After transforming the data using PCA, </w:t>
      </w:r>
      <w:r w:rsidR="00683C07">
        <w:t xml:space="preserve">we can see some features are correlated in their importance towards the top two principal components (Fig. </w:t>
      </w:r>
      <w:r w:rsidR="00132A4C">
        <w:t>2</w:t>
      </w:r>
      <w:r w:rsidR="00683C07">
        <w:t xml:space="preserve">). </w:t>
      </w:r>
      <w:r w:rsidR="00A66793">
        <w:t xml:space="preserve">A clear trend appears as </w:t>
      </w:r>
      <w:r w:rsidR="002347DB">
        <w:t>three</w:t>
      </w:r>
      <w:r w:rsidR="00A66793">
        <w:t xml:space="preserve"> </w:t>
      </w:r>
      <w:r w:rsidR="00CD0934">
        <w:t>clusters</w:t>
      </w:r>
      <w:r w:rsidR="00A66793">
        <w:t>, general polarity of a compound (</w:t>
      </w:r>
      <w:r w:rsidR="003D6656">
        <w:t xml:space="preserve">polar surface area and hydrogen bond donor and acceptors), </w:t>
      </w:r>
      <w:r w:rsidR="00C30E91">
        <w:t xml:space="preserve">the structure of </w:t>
      </w:r>
      <w:r w:rsidR="00941CBD">
        <w:t>a</w:t>
      </w:r>
      <w:r w:rsidR="00C30E91">
        <w:t xml:space="preserve"> compound (rotatable bonds, molecular weight, number of heavy atoms), </w:t>
      </w:r>
      <w:r w:rsidR="002347DB">
        <w:t xml:space="preserve">and </w:t>
      </w:r>
      <w:r w:rsidR="00941CBD">
        <w:t>the aromaticity of a compound</w:t>
      </w:r>
      <w:r w:rsidR="002347DB">
        <w:t xml:space="preserve">. The number of bioactivities, number of targets, ACD </w:t>
      </w:r>
      <w:proofErr w:type="spellStart"/>
      <w:r w:rsidR="002347DB">
        <w:t>BpKa</w:t>
      </w:r>
      <w:proofErr w:type="spellEnd"/>
      <w:r w:rsidR="002347DB">
        <w:t xml:space="preserve">, and ACD </w:t>
      </w:r>
      <w:proofErr w:type="spellStart"/>
      <w:r w:rsidR="002347DB">
        <w:t>ApKa</w:t>
      </w:r>
      <w:proofErr w:type="spellEnd"/>
      <w:r w:rsidR="002347DB">
        <w:t xml:space="preserve"> do not appear to contribute much to</w:t>
      </w:r>
      <w:r w:rsidR="00D838B5">
        <w:t>wards</w:t>
      </w:r>
      <w:r w:rsidR="002347DB">
        <w:t xml:space="preserve"> the top two principal components.</w:t>
      </w:r>
      <w:r w:rsidR="00DD1475">
        <w:t xml:space="preserve"> </w:t>
      </w:r>
    </w:p>
    <w:p w14:paraId="195742FE" w14:textId="0D8B8E8E" w:rsidR="006916C2" w:rsidRDefault="00DD1475" w:rsidP="006916C2">
      <w:pPr>
        <w:spacing w:line="276" w:lineRule="auto"/>
        <w:ind w:firstLine="360"/>
        <w:jc w:val="both"/>
      </w:pPr>
      <w:r>
        <w:t xml:space="preserve">The presence of these correlated structures may </w:t>
      </w:r>
      <w:proofErr w:type="gramStart"/>
      <w:r>
        <w:t>provide</w:t>
      </w:r>
      <w:proofErr w:type="gramEnd"/>
      <w:r>
        <w:t xml:space="preserve"> a starting point in searching for important drug-like properties that can be used to distinguish compounds from one</w:t>
      </w:r>
      <w:r w:rsidR="00E8071E">
        <w:t>-another.</w:t>
      </w:r>
      <w:r w:rsidR="002C6F1E">
        <w:t xml:space="preserve"> For example, the polarity of a compound may</w:t>
      </w:r>
      <w:r w:rsidR="00556D03">
        <w:t xml:space="preserve"> play a role in its </w:t>
      </w:r>
      <w:r w:rsidR="0022001C">
        <w:t xml:space="preserve">solubility, </w:t>
      </w:r>
      <w:r w:rsidR="005E0979">
        <w:t xml:space="preserve">which </w:t>
      </w:r>
      <w:r w:rsidR="00FE4710">
        <w:t>has</w:t>
      </w:r>
      <w:r w:rsidR="005E0979">
        <w:t xml:space="preserve"> an i</w:t>
      </w:r>
      <w:r w:rsidR="002C6F1E">
        <w:t xml:space="preserve">mportant </w:t>
      </w:r>
      <w:r w:rsidR="00FE4710">
        <w:t>impact</w:t>
      </w:r>
      <w:r w:rsidR="005E0979">
        <w:t xml:space="preserve"> </w:t>
      </w:r>
      <w:r w:rsidR="002C6F1E">
        <w:t>as oral drugs</w:t>
      </w:r>
      <w:r w:rsidR="00006321">
        <w:t xml:space="preserve"> need to </w:t>
      </w:r>
      <w:r w:rsidR="00FE4710">
        <w:t xml:space="preserve">have enough polarity to become </w:t>
      </w:r>
      <w:r w:rsidR="008865D9">
        <w:t>soluble</w:t>
      </w:r>
      <w:r w:rsidR="00FE4710">
        <w:t xml:space="preserve"> in </w:t>
      </w:r>
      <w:r w:rsidR="008865D9">
        <w:t>aqueous</w:t>
      </w:r>
      <w:r w:rsidR="00FE4710">
        <w:t xml:space="preserve"> solution, but not too much that they cannot pass the membrane</w:t>
      </w:r>
      <w:r w:rsidR="008865D9">
        <w:t xml:space="preserve"> </w:t>
      </w:r>
      <w:r w:rsidR="001B7463">
        <w:fldChar w:fldCharType="begin" w:fldLock="1"/>
      </w:r>
      <w:r w:rsidR="00F1208C">
        <w:instrText>ADDIN CSL_CITATION {"citationItems":[{"id":"ITEM-1","itemData":{"DOI":"10.1016/S0169-409X(02)00008-X","ISBN":"0169-409X","ISSN":"0169409X","author":[{"dropping-particle":"","family":"Jorgensen","given":"William L.","non-dropping-particle":"","parse-names":false,"suffix":""},{"dropping-particle":"","family":"Duffy","given":"Erin M.","non-dropping-particle":"","parse-names":false,"suffix":""}],"container-title":"Advanced Drug Delivery Reviews","id":"ITEM-1","issue":"3","issued":{"date-parts":[["2002","3"]]},"page":"355-366","title":"Prediction of drug solubility from structure","type":"article-journal","volume":"54"},"uris":["http://www.mendeley.com/documents/?uuid=9e0448c1-bb07-4c7a-8fa8-3285b3360af1"]}],"mendeley":{"formattedCitation":"[8]","plainTextFormattedCitation":"[8]","previouslyFormattedCitation":"[8]"},"properties":{"noteIndex":0},"schema":"https://github.com/citation-style-language/schema/raw/master/csl-citation.json"}</w:instrText>
      </w:r>
      <w:r w:rsidR="001B7463">
        <w:fldChar w:fldCharType="separate"/>
      </w:r>
      <w:r w:rsidR="001B7463" w:rsidRPr="001B7463">
        <w:rPr>
          <w:noProof/>
        </w:rPr>
        <w:t>[8]</w:t>
      </w:r>
      <w:r w:rsidR="001B7463">
        <w:fldChar w:fldCharType="end"/>
      </w:r>
      <w:r w:rsidR="001B7463">
        <w:t>.</w:t>
      </w:r>
    </w:p>
    <w:p w14:paraId="13D872A5" w14:textId="23C6FF0E" w:rsidR="00B954B6" w:rsidRDefault="00F834F7" w:rsidP="005C530C">
      <w:pPr>
        <w:pStyle w:val="Heading2"/>
        <w:spacing w:line="276" w:lineRule="auto"/>
      </w:pPr>
      <w:bookmarkStart w:id="26" w:name="_Toc6143146"/>
      <w:r>
        <w:t>Approved</w:t>
      </w:r>
      <w:r w:rsidR="00D06916">
        <w:t xml:space="preserve"> Drug Prediction</w:t>
      </w:r>
      <w:bookmarkEnd w:id="26"/>
    </w:p>
    <w:p w14:paraId="470369BD" w14:textId="73D585D3" w:rsidR="004D1B87" w:rsidRDefault="00A978B1" w:rsidP="005C530C">
      <w:pPr>
        <w:spacing w:line="276" w:lineRule="auto"/>
        <w:ind w:firstLine="360"/>
        <w:jc w:val="both"/>
      </w:pPr>
      <w:r>
        <w:t xml:space="preserve">In the task of predicting an approved drug from a non-approved drug, </w:t>
      </w:r>
      <w:r w:rsidR="002B7B3E">
        <w:t>random forest performed the best, followed closely by support vector machine (Table 1).</w:t>
      </w:r>
      <w:r w:rsidR="00783C04">
        <w:t xml:space="preserve"> However,</w:t>
      </w:r>
      <w:r w:rsidR="00F663F9">
        <w:t xml:space="preserve"> the best</w:t>
      </w:r>
      <w:r w:rsidR="00FD6EC5">
        <w:t xml:space="preserve"> random forest</w:t>
      </w:r>
      <w:r w:rsidR="00F663F9">
        <w:t xml:space="preserve"> model only had a precision of 83% and a recall of 8</w:t>
      </w:r>
      <w:r w:rsidR="009E57CC">
        <w:t>2</w:t>
      </w:r>
      <w:r w:rsidR="00F663F9">
        <w:t>%</w:t>
      </w:r>
      <w:r w:rsidR="00476024">
        <w:t xml:space="preserve"> on the test set</w:t>
      </w:r>
      <w:r w:rsidR="00F663F9">
        <w:t xml:space="preserve">. While this is </w:t>
      </w:r>
      <w:r w:rsidR="004817F2">
        <w:t xml:space="preserve">better than guessing (50% due to a balanced dataset), </w:t>
      </w:r>
      <w:r w:rsidR="00370F07">
        <w:t>it leaves much room for error which can be expensive and dangerous in drug discovery.</w:t>
      </w:r>
    </w:p>
    <w:p w14:paraId="4373A1AD" w14:textId="0B757A51" w:rsidR="00776C1C" w:rsidRDefault="004D1B87" w:rsidP="005C530C">
      <w:pPr>
        <w:spacing w:line="276" w:lineRule="auto"/>
        <w:ind w:firstLine="360"/>
        <w:jc w:val="both"/>
      </w:pPr>
      <w:r>
        <w:t>T</w:t>
      </w:r>
      <w:r w:rsidR="00D51A8D">
        <w:t xml:space="preserve">here was a presence of overfitting in the cross-validation </w:t>
      </w:r>
      <w:r w:rsidR="00AC0B69">
        <w:t>results</w:t>
      </w:r>
      <w:r w:rsidR="005057BB">
        <w:t xml:space="preserve"> (Fig. </w:t>
      </w:r>
      <w:r w:rsidR="00F45B6C">
        <w:t>4; Fig. 5</w:t>
      </w:r>
      <w:r w:rsidR="005057BB">
        <w:t>)</w:t>
      </w:r>
      <w:r w:rsidR="00D51A8D">
        <w:t>.</w:t>
      </w:r>
      <w:r w:rsidR="00AC0B69">
        <w:t xml:space="preserve"> </w:t>
      </w:r>
      <w:r>
        <w:t>R</w:t>
      </w:r>
      <w:r w:rsidR="00AC0B69">
        <w:t xml:space="preserve">andom forest </w:t>
      </w:r>
      <w:r w:rsidR="00F45B6C">
        <w:t xml:space="preserve">and support vector machine </w:t>
      </w:r>
      <w:r w:rsidR="00AC0B69">
        <w:t>could perform better on this task with more samples</w:t>
      </w:r>
      <w:r w:rsidR="005057BB">
        <w:t xml:space="preserve">, though, on </w:t>
      </w:r>
      <w:r>
        <w:t>the</w:t>
      </w:r>
      <w:r w:rsidR="005057BB">
        <w:t xml:space="preserve"> other approaches, </w:t>
      </w:r>
      <w:r w:rsidR="005A2659">
        <w:t xml:space="preserve">there was no overfitting present, </w:t>
      </w:r>
      <w:proofErr w:type="gramStart"/>
      <w:r w:rsidR="005A2659">
        <w:t>indicating</w:t>
      </w:r>
      <w:proofErr w:type="gramEnd"/>
      <w:r w:rsidR="005A2659">
        <w:t xml:space="preserve"> that more predictive features may be needed</w:t>
      </w:r>
      <w:r>
        <w:t xml:space="preserve"> or</w:t>
      </w:r>
      <w:r w:rsidR="00E818D2">
        <w:t xml:space="preserve"> </w:t>
      </w:r>
      <w:r>
        <w:lastRenderedPageBreak/>
        <w:t>alterations to the approaches may be required</w:t>
      </w:r>
      <w:r w:rsidR="00417A82">
        <w:t xml:space="preserve"> (Fig. 3</w:t>
      </w:r>
      <w:r>
        <w:t xml:space="preserve">; Fig. </w:t>
      </w:r>
      <w:r w:rsidR="00417A82">
        <w:t>6)</w:t>
      </w:r>
      <w:r w:rsidR="005A2659">
        <w:t>.</w:t>
      </w:r>
    </w:p>
    <w:p w14:paraId="2ABF88BF" w14:textId="29B77C02" w:rsidR="00DD04FE" w:rsidRPr="00F93FBE" w:rsidRDefault="00514011" w:rsidP="005C530C">
      <w:pPr>
        <w:spacing w:line="276" w:lineRule="auto"/>
        <w:ind w:firstLine="360"/>
        <w:jc w:val="both"/>
      </w:pPr>
      <w:r>
        <w:t xml:space="preserve">While </w:t>
      </w:r>
      <w:r w:rsidR="00111BFE">
        <w:t xml:space="preserve">there is some error in the models, they all perform </w:t>
      </w:r>
      <w:r w:rsidR="00885739">
        <w:t xml:space="preserve">better than simply using </w:t>
      </w:r>
      <w:r w:rsidR="00CD1D93" w:rsidRPr="008E5EA2">
        <w:rPr>
          <w:rFonts w:cstheme="minorHAnsi"/>
          <w:color w:val="111111"/>
          <w:shd w:val="clear" w:color="auto" w:fill="FFFFFF"/>
        </w:rPr>
        <w:t xml:space="preserve">Lipinski's rule of </w:t>
      </w:r>
      <w:r w:rsidR="00CD1D93">
        <w:rPr>
          <w:rFonts w:cstheme="minorHAnsi"/>
          <w:color w:val="111111"/>
          <w:shd w:val="clear" w:color="auto" w:fill="FFFFFF"/>
        </w:rPr>
        <w:t>5 to determine an approved drug from a non-approved drug</w:t>
      </w:r>
      <w:r w:rsidR="00CD1D93">
        <w:t xml:space="preserve">. </w:t>
      </w:r>
      <w:r w:rsidR="00854121">
        <w:t>Using the test set and s</w:t>
      </w:r>
      <w:r w:rsidR="008B34C3">
        <w:t>electing</w:t>
      </w:r>
      <w:r w:rsidR="00854121">
        <w:t xml:space="preserve"> approved</w:t>
      </w:r>
      <w:r w:rsidR="008B34C3">
        <w:t xml:space="preserve"> drugs as those with less than two violations</w:t>
      </w:r>
      <w:r w:rsidR="00935B55">
        <w:t xml:space="preserve"> </w:t>
      </w:r>
      <w:r w:rsidR="00F1208C">
        <w:fldChar w:fldCharType="begin" w:fldLock="1"/>
      </w:r>
      <w:r w:rsidR="00F1208C">
        <w:instrText>ADDIN CSL_CITATION {"citationItems":[{"id":"ITEM-1","itemData":{"DOI":"10.1016/J.ADDR.2012.09.019","ISBN":"0169-409X (Print) 0169-409X (Linking)","ISSN":"0169-409X","PMID":"11259830","abstract":"Experimental and computational approaches to estimate solubility and permeability in discovery and development settings are described. In the discovery setting ‘the rule of 5’ predicts that poor absorption or permeation is more likely when there are more than 5 H-bond donors, 10 H-bond acceptors, the molecular weight (MWT) is greater than 500 and the calculated Log P (CLogP) is greater than 5 (or MlogP&gt;4.15). Computational methodology for the rule-based Moriguchi Log P (MLogP) calculation is described. Turbidimetric solubility measurement is described and applied to known drugs. High throughput screening (HTS) leads tend to have higher MWT and Log P and lower turbidimetric solubility than leads in the pre-HTS era. In the development setting, solubility calculations focus on exact value prediction and are difficult because of polymorphism. Recent work on linear free energy relationships and Log P approaches are critically reviewed. Useful predictions are possible in closely related analog series when coupled with experimental thermodynamic solubility measurements.","author":[{"dropping-particle":"","family":"Lipinski","given":"Christopher A.","non-dropping-particle":"","parse-names":false,"suffix":""},{"dropping-particle":"","family":"Lombardo","given":"Franco","non-dropping-particle":"","parse-names":false,"suffix":""},{"dropping-particle":"","family":"Dominy","given":"Beryl W.","non-dropping-particle":"","parse-names":false,"suffix":""},{"dropping-particle":"","family":"Feeney","given":"Paul J.","non-dropping-particle":"","parse-names":false,"suffix":""}],"container-title":"Advanced Drug Delivery Reviews","id":"ITEM-1","issue":"SUPPL.","issued":{"date-parts":[["2012","12","1"]]},"page":"4-17","publisher":"Elsevier","title":"Experimental and computational approaches to estimate solubility and permeability in drug discovery and development settings","type":"article-journal","volume":"64"},"uris":["http://www.mendeley.com/documents/?uuid=10c0f1d7-122f-4760-b338-f5cd81540f2c"]}],"mendeley":{"formattedCitation":"[3]","plainTextFormattedCitation":"[3]"},"properties":{"noteIndex":0},"schema":"https://github.com/citation-style-language/schema/raw/master/csl-citation.json"}</w:instrText>
      </w:r>
      <w:r w:rsidR="00F1208C">
        <w:fldChar w:fldCharType="separate"/>
      </w:r>
      <w:r w:rsidR="00F1208C" w:rsidRPr="00F1208C">
        <w:rPr>
          <w:noProof/>
        </w:rPr>
        <w:t>[3]</w:t>
      </w:r>
      <w:r w:rsidR="00F1208C">
        <w:fldChar w:fldCharType="end"/>
      </w:r>
      <w:r w:rsidR="008B34C3">
        <w:t xml:space="preserve"> results in a precision of </w:t>
      </w:r>
      <w:r w:rsidR="008B34C3" w:rsidRPr="008B34C3">
        <w:t>0.51</w:t>
      </w:r>
      <w:r w:rsidR="008B34C3">
        <w:t>% and a recall of 0</w:t>
      </w:r>
      <w:r w:rsidR="008B34C3" w:rsidRPr="008B34C3">
        <w:t>.46</w:t>
      </w:r>
      <w:r w:rsidR="008B34C3">
        <w:t>%</w:t>
      </w:r>
      <w:r w:rsidR="00854121">
        <w:t xml:space="preserve">, </w:t>
      </w:r>
      <w:r w:rsidR="00244388">
        <w:t>significantly</w:t>
      </w:r>
      <w:r w:rsidR="00854121">
        <w:t xml:space="preserve"> worse than</w:t>
      </w:r>
      <w:r w:rsidR="00244388">
        <w:t xml:space="preserve"> the machine learning models’ predictions</w:t>
      </w:r>
      <w:r w:rsidR="00935B55">
        <w:t xml:space="preserve"> (Table 1)</w:t>
      </w:r>
      <w:r w:rsidR="00244388">
        <w:t>.</w:t>
      </w:r>
    </w:p>
    <w:p w14:paraId="7CBA0A11" w14:textId="5D5FDC6F" w:rsidR="00D06916" w:rsidRDefault="00DD414F" w:rsidP="005C530C">
      <w:pPr>
        <w:pStyle w:val="Heading2"/>
        <w:spacing w:line="276" w:lineRule="auto"/>
      </w:pPr>
      <w:bookmarkStart w:id="27" w:name="_Toc6143147"/>
      <w:r>
        <w:t>Withdrawn Drug Prediction</w:t>
      </w:r>
      <w:bookmarkEnd w:id="27"/>
    </w:p>
    <w:p w14:paraId="79F5107A" w14:textId="3F181592" w:rsidR="00FE093B" w:rsidRDefault="003F77E5" w:rsidP="00935B55">
      <w:pPr>
        <w:spacing w:line="276" w:lineRule="auto"/>
        <w:ind w:firstLine="360"/>
        <w:jc w:val="both"/>
      </w:pPr>
      <w:r>
        <w:t>In the task of predicting an approved drug from a withdrawn drug,</w:t>
      </w:r>
      <w:r w:rsidR="006F3494" w:rsidRPr="006F3494">
        <w:t xml:space="preserve"> </w:t>
      </w:r>
      <w:r w:rsidR="006F3494">
        <w:t>random forest and</w:t>
      </w:r>
      <w:r>
        <w:t xml:space="preserve"> support vector machine performed </w:t>
      </w:r>
      <w:r w:rsidR="006F3494">
        <w:t>the best on the test set</w:t>
      </w:r>
      <w:r w:rsidR="00AC5B66">
        <w:t xml:space="preserve"> (Table 1). The best </w:t>
      </w:r>
      <w:r w:rsidR="006F3494">
        <w:t>random forest</w:t>
      </w:r>
      <w:r w:rsidR="00AC5B66">
        <w:t xml:space="preserve"> model only had a precision of 6</w:t>
      </w:r>
      <w:r w:rsidR="00F832D7">
        <w:t>8</w:t>
      </w:r>
      <w:r w:rsidR="00AC5B66">
        <w:t>% and a recall of 59% on the test set, which is only marginally better than guessing (50% due to a balanced dataset).</w:t>
      </w:r>
    </w:p>
    <w:p w14:paraId="6C65E775" w14:textId="22241BEC" w:rsidR="00561A48" w:rsidRDefault="005B6208" w:rsidP="00A57414">
      <w:pPr>
        <w:spacing w:line="276" w:lineRule="auto"/>
        <w:ind w:firstLine="360"/>
        <w:jc w:val="both"/>
      </w:pPr>
      <w:r>
        <w:t>Like</w:t>
      </w:r>
      <w:r w:rsidR="00561A48">
        <w:t xml:space="preserve"> the </w:t>
      </w:r>
      <w:r>
        <w:t>earlier</w:t>
      </w:r>
      <w:r w:rsidR="00561A48">
        <w:t xml:space="preserve"> task, </w:t>
      </w:r>
      <w:r w:rsidR="002E3165">
        <w:t>t</w:t>
      </w:r>
      <w:r w:rsidR="00561A48">
        <w:t xml:space="preserve">here was a presence of overfitting in the cross-validation results (Fig. 4; Fig. 5). </w:t>
      </w:r>
      <w:r w:rsidR="002E3165">
        <w:t xml:space="preserve">As mentioned above, </w:t>
      </w:r>
      <w:r w:rsidR="00561A48">
        <w:t>support vector machine</w:t>
      </w:r>
      <w:r w:rsidR="002E3165">
        <w:t xml:space="preserve"> and random forest</w:t>
      </w:r>
      <w:r w:rsidR="00561A48">
        <w:t xml:space="preserve"> could perform better on this task with more samples, though, on the other approaches, there was no overfitting present, </w:t>
      </w:r>
      <w:r>
        <w:t>showing</w:t>
      </w:r>
      <w:r w:rsidR="00561A48">
        <w:t xml:space="preserve"> that more predictive features may </w:t>
      </w:r>
      <w:proofErr w:type="gramStart"/>
      <w:r w:rsidR="00561A48">
        <w:t>be needed</w:t>
      </w:r>
      <w:proofErr w:type="gramEnd"/>
      <w:r w:rsidR="00561A48">
        <w:t xml:space="preserve"> or alterations to the approaches may be </w:t>
      </w:r>
      <w:r>
        <w:t>needed</w:t>
      </w:r>
      <w:r w:rsidR="00561A48">
        <w:t xml:space="preserve"> (Fig. 3; Fig. 6).</w:t>
      </w:r>
    </w:p>
    <w:p w14:paraId="5E4FE35B" w14:textId="0CBB4B05" w:rsidR="00FA5033" w:rsidRDefault="00FA5033" w:rsidP="0064290B">
      <w:pPr>
        <w:spacing w:line="276" w:lineRule="auto"/>
        <w:ind w:firstLine="360"/>
        <w:jc w:val="both"/>
      </w:pPr>
      <w:r>
        <w:t xml:space="preserve">While there is some error in the models, they all perform better than simply using </w:t>
      </w:r>
      <w:r w:rsidRPr="008E5EA2">
        <w:rPr>
          <w:rFonts w:cstheme="minorHAnsi"/>
          <w:color w:val="111111"/>
          <w:shd w:val="clear" w:color="auto" w:fill="FFFFFF"/>
        </w:rPr>
        <w:t xml:space="preserve">Lipinski's rule of </w:t>
      </w:r>
      <w:r>
        <w:rPr>
          <w:rFonts w:cstheme="minorHAnsi"/>
          <w:color w:val="111111"/>
          <w:shd w:val="clear" w:color="auto" w:fill="FFFFFF"/>
        </w:rPr>
        <w:t>5 to determine an approved drug from a withdrawn drug</w:t>
      </w:r>
      <w:r>
        <w:t xml:space="preserve">. Using the test set and selecting approved drugs as those with less than two violations </w:t>
      </w:r>
      <w:r>
        <w:fldChar w:fldCharType="begin" w:fldLock="1"/>
      </w:r>
      <w:r>
        <w:instrText>ADDIN CSL_CITATION {"citationItems":[{"id":"ITEM-1","itemData":{"DOI":"10.1016/J.ADDR.2012.09.019","ISBN":"0169-409X (Print) 0169-409X (Linking)","ISSN":"0169-409X","PMID":"11259830","abstract":"Experimental and computational approaches to estimate solubility and permeability in discovery and development settings are described. In the discovery setting ‘the rule of 5’ predicts that poor absorption or permeation is more likely when there are more than 5 H-bond donors, 10 H-bond acceptors, the molecular weight (MWT) is greater than 500 and the calculated Log P (CLogP) is greater than 5 (or MlogP&gt;4.15). Computational methodology for the rule-based Moriguchi Log P (MLogP) calculation is described. Turbidimetric solubility measurement is described and applied to known drugs. High throughput screening (HTS) leads tend to have higher MWT and Log P and lower turbidimetric solubility than leads in the pre-HTS era. In the development setting, solubility calculations focus on exact value prediction and are difficult because of polymorphism. Recent work on linear free energy relationships and Log P approaches are critically reviewed. Useful predictions are possible in closely related analog series when coupled with experimental thermodynamic solubility measurements.","author":[{"dropping-particle":"","family":"Lipinski","given":"Christopher A.","non-dropping-particle":"","parse-names":false,"suffix":""},{"dropping-particle":"","family":"Lombardo","given":"Franco","non-dropping-particle":"","parse-names":false,"suffix":""},{"dropping-particle":"","family":"Dominy","given":"Beryl W.","non-dropping-particle":"","parse-names":false,"suffix":""},{"dropping-particle":"","family":"Feeney","given":"Paul J.","non-dropping-particle":"","parse-names":false,"suffix":""}],"container-title":"Advanced Drug Delivery Reviews","id":"ITEM-1","issue":"SUPPL.","issued":{"date-parts":[["2012","12","1"]]},"page":"4-17","publisher":"Elsevier","title":"Experimental and computational approaches to estimate solubility and permeability in drug discovery and development settings","type":"article-journal","volume":"64"},"uris":["http://www.mendeley.com/documents/?uuid=10c0f1d7-122f-4760-b338-f5cd81540f2c"]}],"mendeley":{"formattedCitation":"[3]","plainTextFormattedCitation":"[3]"},"properties":{"noteIndex":0},"schema":"https://github.com/citation-style-language/schema/raw/master/csl-citation.json"}</w:instrText>
      </w:r>
      <w:r>
        <w:fldChar w:fldCharType="separate"/>
      </w:r>
      <w:r w:rsidRPr="00F1208C">
        <w:rPr>
          <w:noProof/>
        </w:rPr>
        <w:t>[3]</w:t>
      </w:r>
      <w:r>
        <w:fldChar w:fldCharType="end"/>
      </w:r>
      <w:r>
        <w:t xml:space="preserve"> results in a precision of </w:t>
      </w:r>
      <w:r w:rsidRPr="008B34C3">
        <w:t>0.51</w:t>
      </w:r>
      <w:r>
        <w:t>% and a recall of 0</w:t>
      </w:r>
      <w:r w:rsidRPr="008B34C3">
        <w:t>.4</w:t>
      </w:r>
      <w:r>
        <w:t>8%, worse than the machine learning models’ predictions (Table 1).</w:t>
      </w:r>
    </w:p>
    <w:p w14:paraId="0839C57A" w14:textId="48728259" w:rsidR="00D415FF" w:rsidRDefault="00F15408" w:rsidP="00D415FF">
      <w:pPr>
        <w:pStyle w:val="Heading2"/>
      </w:pPr>
      <w:bookmarkStart w:id="28" w:name="_Toc6143148"/>
      <w:r>
        <w:t>Case Studies: Model Selections</w:t>
      </w:r>
      <w:bookmarkEnd w:id="28"/>
    </w:p>
    <w:p w14:paraId="6BFF6E37" w14:textId="3F1777D5" w:rsidR="00F15408" w:rsidRDefault="00F15408" w:rsidP="00F15408">
      <w:pPr>
        <w:pStyle w:val="Heading3"/>
      </w:pPr>
      <w:bookmarkStart w:id="29" w:name="_Toc6143149"/>
      <w:r>
        <w:t xml:space="preserve">Approved vs. </w:t>
      </w:r>
      <w:r w:rsidR="0067040B">
        <w:t>non-approved</w:t>
      </w:r>
      <w:bookmarkEnd w:id="29"/>
    </w:p>
    <w:p w14:paraId="7D1E309A" w14:textId="16FC365B" w:rsidR="00665F45" w:rsidRDefault="00536E2E" w:rsidP="00953057">
      <w:pPr>
        <w:ind w:firstLine="360"/>
        <w:jc w:val="both"/>
      </w:pPr>
      <w:r>
        <w:t xml:space="preserve">Using the top performing random forest model, </w:t>
      </w:r>
      <w:r w:rsidR="00E05674">
        <w:t xml:space="preserve">the top five compounds from the test set selected as having the highest probability of being an approved drug were </w:t>
      </w:r>
      <w:r w:rsidR="001544B9" w:rsidRPr="00E05674">
        <w:t>sulfanilamide</w:t>
      </w:r>
      <w:r w:rsidR="001544B9">
        <w:t xml:space="preserve">, </w:t>
      </w:r>
      <w:r w:rsidR="001544B9" w:rsidRPr="001544B9">
        <w:t>norepinephrine</w:t>
      </w:r>
      <w:r w:rsidR="001544B9">
        <w:t xml:space="preserve">, </w:t>
      </w:r>
      <w:r w:rsidR="001544B9" w:rsidRPr="001544B9">
        <w:t>idoxuridine</w:t>
      </w:r>
      <w:r w:rsidR="001544B9">
        <w:t xml:space="preserve">, </w:t>
      </w:r>
      <w:r w:rsidR="001544B9" w:rsidRPr="001544B9">
        <w:t>pralidoxime chloride</w:t>
      </w:r>
      <w:r w:rsidR="001544B9">
        <w:t xml:space="preserve">, and </w:t>
      </w:r>
      <w:r w:rsidR="001544B9" w:rsidRPr="001544B9">
        <w:t>cimetidine</w:t>
      </w:r>
      <w:r w:rsidR="001544B9">
        <w:t xml:space="preserve">. </w:t>
      </w:r>
      <w:r w:rsidR="00953057">
        <w:t>All</w:t>
      </w:r>
      <w:r w:rsidR="001544B9">
        <w:t xml:space="preserve"> these compounds have passed phase IV trials, acting as an approved treatment for some conditions.</w:t>
      </w:r>
      <w:r w:rsidR="00953057">
        <w:t xml:space="preserve"> </w:t>
      </w:r>
      <w:r w:rsidR="00665F45">
        <w:t xml:space="preserve">Some </w:t>
      </w:r>
      <w:r w:rsidR="00267B72">
        <w:t xml:space="preserve">common observations between these top five compounds are that they </w:t>
      </w:r>
      <w:r w:rsidR="003F7D2A">
        <w:t xml:space="preserve">all </w:t>
      </w:r>
      <w:r w:rsidR="0049115E">
        <w:t>have</w:t>
      </w:r>
      <w:r w:rsidR="003F7D2A">
        <w:t xml:space="preserve"> </w:t>
      </w:r>
      <w:r w:rsidR="003F7D2A">
        <w:t xml:space="preserve">one </w:t>
      </w:r>
      <w:r w:rsidR="00055889">
        <w:t>p</w:t>
      </w:r>
      <w:r w:rsidR="00055889" w:rsidRPr="00055889">
        <w:t>henyl</w:t>
      </w:r>
      <w:r w:rsidR="00055889">
        <w:t xml:space="preserve"> or phenyl derivative group</w:t>
      </w:r>
      <w:r w:rsidR="0049115E">
        <w:t xml:space="preserve">, they </w:t>
      </w:r>
      <w:r w:rsidR="00BA6FCA">
        <w:t xml:space="preserve">have only a few if any atoms that are not </w:t>
      </w:r>
      <w:r w:rsidR="008077E4">
        <w:t xml:space="preserve">the typical atoms in an organic molecule such as </w:t>
      </w:r>
      <w:r w:rsidR="00BA6FCA">
        <w:t xml:space="preserve">carbon, </w:t>
      </w:r>
      <w:r w:rsidR="006773F9">
        <w:t xml:space="preserve">hydrogen, </w:t>
      </w:r>
      <w:r w:rsidR="00BA6FCA">
        <w:t xml:space="preserve">nitrogen, </w:t>
      </w:r>
      <w:r w:rsidR="006773F9">
        <w:t>or oxygen</w:t>
      </w:r>
      <w:r w:rsidR="002F6674">
        <w:t xml:space="preserve">, and they all have </w:t>
      </w:r>
      <w:r w:rsidR="00953057">
        <w:t>low</w:t>
      </w:r>
      <w:r w:rsidR="002F6674">
        <w:t xml:space="preserve"> molecular weights</w:t>
      </w:r>
      <w:r w:rsidR="00930D96">
        <w:t xml:space="preserve"> (Fig. 8)</w:t>
      </w:r>
      <w:r w:rsidR="002F6674">
        <w:t>.</w:t>
      </w:r>
    </w:p>
    <w:p w14:paraId="22EE624B" w14:textId="63FC16AB" w:rsidR="00DC767A" w:rsidRDefault="0040794B" w:rsidP="00953057">
      <w:pPr>
        <w:ind w:firstLine="360"/>
        <w:jc w:val="both"/>
      </w:pPr>
      <w:r>
        <w:t xml:space="preserve">The bottom five compounds with the lowest probability of being an approved drug in the test set were </w:t>
      </w:r>
      <w:r w:rsidR="005F523A">
        <w:t>all unnamed compounds</w:t>
      </w:r>
      <w:r w:rsidR="00901528">
        <w:t xml:space="preserve"> that have not </w:t>
      </w:r>
      <w:proofErr w:type="gramStart"/>
      <w:r w:rsidR="00782E5F">
        <w:t>been tested</w:t>
      </w:r>
      <w:proofErr w:type="gramEnd"/>
      <w:r w:rsidR="00782E5F">
        <w:t xml:space="preserve"> in any clinical trials.</w:t>
      </w:r>
      <w:r w:rsidR="00953057">
        <w:t xml:space="preserve"> </w:t>
      </w:r>
      <w:r w:rsidR="00DC767A">
        <w:t xml:space="preserve">Some common observations between these bottom five compounds are that they all have many ring structures, they have </w:t>
      </w:r>
      <w:r w:rsidR="00F62A91">
        <w:t>one or more halogen atoms</w:t>
      </w:r>
      <w:r w:rsidR="00DC767A">
        <w:t xml:space="preserve">, and they all have </w:t>
      </w:r>
      <w:r w:rsidR="00953057">
        <w:t>significantly higher</w:t>
      </w:r>
      <w:r w:rsidR="00DC767A">
        <w:t xml:space="preserve"> molecular weights</w:t>
      </w:r>
      <w:r w:rsidR="00953057">
        <w:t xml:space="preserve"> than the top five</w:t>
      </w:r>
      <w:r w:rsidR="00DC767A">
        <w:t xml:space="preserve"> (Fig. </w:t>
      </w:r>
      <w:r w:rsidR="00953057">
        <w:t>9</w:t>
      </w:r>
      <w:r w:rsidR="00DC767A">
        <w:t>).</w:t>
      </w:r>
    </w:p>
    <w:p w14:paraId="562A5CC4" w14:textId="2520CEFE" w:rsidR="0067040B" w:rsidRDefault="0067040B" w:rsidP="0067040B">
      <w:pPr>
        <w:pStyle w:val="Heading3"/>
      </w:pPr>
      <w:bookmarkStart w:id="30" w:name="_Toc6143150"/>
      <w:r>
        <w:t>Approved vs. withdrawn</w:t>
      </w:r>
      <w:bookmarkEnd w:id="30"/>
    </w:p>
    <w:p w14:paraId="34C7A49A" w14:textId="70DD0812" w:rsidR="0052291B" w:rsidRDefault="00E957CA" w:rsidP="00E957CA">
      <w:pPr>
        <w:ind w:firstLine="360"/>
        <w:jc w:val="both"/>
      </w:pPr>
      <w:r>
        <w:t>Using the top performing random forest model, the top five compounds from the test set selected as having the highest probability of being an approved drug</w:t>
      </w:r>
      <w:r w:rsidR="009853A6">
        <w:t xml:space="preserve"> (that has not </w:t>
      </w:r>
      <w:proofErr w:type="gramStart"/>
      <w:r w:rsidR="009853A6">
        <w:t>been withdrawn</w:t>
      </w:r>
      <w:proofErr w:type="gramEnd"/>
      <w:r w:rsidR="00366B7D">
        <w:t>)</w:t>
      </w:r>
      <w:r>
        <w:t xml:space="preserve"> were</w:t>
      </w:r>
      <w:r w:rsidR="00367A9B">
        <w:t xml:space="preserve"> </w:t>
      </w:r>
      <w:r w:rsidR="00367A9B" w:rsidRPr="00367A9B">
        <w:t>pamidronic acid, carbenicillin phenyl,</w:t>
      </w:r>
      <w:r w:rsidR="00367A9B">
        <w:t xml:space="preserve"> </w:t>
      </w:r>
      <w:r w:rsidR="00367A9B" w:rsidRPr="00367A9B">
        <w:t>meprednisone,</w:t>
      </w:r>
      <w:r w:rsidR="00367A9B">
        <w:t xml:space="preserve"> </w:t>
      </w:r>
      <w:r w:rsidR="00367A9B" w:rsidRPr="00367A9B">
        <w:t>levocabastine hydrochloride, and edoxaban tosylate.</w:t>
      </w:r>
      <w:r w:rsidR="008F2116">
        <w:t xml:space="preserve"> None of these compounds </w:t>
      </w:r>
      <w:proofErr w:type="gramStart"/>
      <w:r w:rsidR="008F2116">
        <w:t>were withdrawn</w:t>
      </w:r>
      <w:proofErr w:type="gramEnd"/>
      <w:r w:rsidR="008F2116">
        <w:t>.</w:t>
      </w:r>
    </w:p>
    <w:p w14:paraId="4F1B3BB5" w14:textId="345FABFA" w:rsidR="00E957CA" w:rsidRDefault="00E957CA" w:rsidP="00E957CA">
      <w:pPr>
        <w:ind w:firstLine="360"/>
        <w:jc w:val="both"/>
      </w:pPr>
      <w:r>
        <w:t xml:space="preserve"> The bottom five compounds with the </w:t>
      </w:r>
      <w:r w:rsidR="00970F16">
        <w:t>highest</w:t>
      </w:r>
      <w:r>
        <w:t xml:space="preserve"> probability of being </w:t>
      </w:r>
      <w:r w:rsidR="004B084A">
        <w:t>a</w:t>
      </w:r>
      <w:r>
        <w:t xml:space="preserve"> </w:t>
      </w:r>
      <w:r w:rsidR="00970F16">
        <w:t>withdrawn</w:t>
      </w:r>
      <w:r>
        <w:t xml:space="preserve"> drug in the test set were </w:t>
      </w:r>
      <w:proofErr w:type="spellStart"/>
      <w:r w:rsidR="00A97074" w:rsidRPr="00D805AB">
        <w:t>sulfadoxine</w:t>
      </w:r>
      <w:proofErr w:type="spellEnd"/>
      <w:r w:rsidR="00A97074">
        <w:t xml:space="preserve">, </w:t>
      </w:r>
      <w:r w:rsidR="00A97074" w:rsidRPr="00A97074">
        <w:t>fenfluramine hydrochloride</w:t>
      </w:r>
      <w:r w:rsidR="00A97074">
        <w:t xml:space="preserve">, </w:t>
      </w:r>
      <w:proofErr w:type="spellStart"/>
      <w:r w:rsidR="00A97074" w:rsidRPr="00A97074">
        <w:t>levomethadyl</w:t>
      </w:r>
      <w:proofErr w:type="spellEnd"/>
      <w:r w:rsidR="00A97074" w:rsidRPr="00A97074">
        <w:t xml:space="preserve"> acetate</w:t>
      </w:r>
      <w:r w:rsidR="00A97074">
        <w:t xml:space="preserve">, </w:t>
      </w:r>
      <w:r w:rsidR="00A97074" w:rsidRPr="00A97074">
        <w:t>oxyphenbutazone</w:t>
      </w:r>
      <w:r w:rsidR="00A97074">
        <w:t xml:space="preserve">, and </w:t>
      </w:r>
      <w:r w:rsidR="00A97074" w:rsidRPr="00A97074">
        <w:t>fluorescein</w:t>
      </w:r>
      <w:r w:rsidR="00A97074">
        <w:t>.</w:t>
      </w:r>
      <w:r w:rsidR="00764229">
        <w:t xml:space="preserve"> </w:t>
      </w:r>
      <w:proofErr w:type="spellStart"/>
      <w:r w:rsidR="00764229" w:rsidRPr="00D805AB">
        <w:t>Sulfadoxine</w:t>
      </w:r>
      <w:proofErr w:type="spellEnd"/>
      <w:r w:rsidR="00764229">
        <w:t xml:space="preserve"> and </w:t>
      </w:r>
      <w:r w:rsidR="00764229" w:rsidRPr="00A97074">
        <w:t>fluorescein</w:t>
      </w:r>
      <w:r w:rsidR="00764229">
        <w:t xml:space="preserve"> </w:t>
      </w:r>
      <w:proofErr w:type="gramStart"/>
      <w:r w:rsidR="00764229">
        <w:t>were not withdrawn</w:t>
      </w:r>
      <w:proofErr w:type="gramEnd"/>
      <w:r w:rsidR="00764229">
        <w:t xml:space="preserve">, </w:t>
      </w:r>
      <w:r w:rsidR="00330F00">
        <w:t>however</w:t>
      </w:r>
      <w:r w:rsidR="00764229">
        <w:t>, the other three were withdrawn in at least one market</w:t>
      </w:r>
      <w:r w:rsidR="00330F00">
        <w:t xml:space="preserve"> for </w:t>
      </w:r>
      <w:r w:rsidR="001C36C1">
        <w:t>toxicity.</w:t>
      </w:r>
    </w:p>
    <w:p w14:paraId="4B00AD3D" w14:textId="77777777" w:rsidR="005E6F96" w:rsidRDefault="005E6F96" w:rsidP="005C530C">
      <w:pPr>
        <w:pStyle w:val="Heading2"/>
        <w:spacing w:line="276" w:lineRule="auto"/>
      </w:pPr>
      <w:bookmarkStart w:id="31" w:name="_Toc6143151"/>
      <w:r>
        <w:t>Next Steps</w:t>
      </w:r>
      <w:bookmarkEnd w:id="31"/>
    </w:p>
    <w:p w14:paraId="4AC6669A" w14:textId="75BB7F7A" w:rsidR="00F93FBE" w:rsidRDefault="00C5734E" w:rsidP="005C530C">
      <w:pPr>
        <w:spacing w:line="276" w:lineRule="auto"/>
        <w:ind w:firstLine="360"/>
        <w:jc w:val="both"/>
      </w:pPr>
      <w:r>
        <w:t>While these molecular properties</w:t>
      </w:r>
      <w:r w:rsidR="00BD1746">
        <w:t>, with the sample sizes available</w:t>
      </w:r>
      <w:r w:rsidR="00F21557">
        <w:t>,</w:t>
      </w:r>
      <w:r>
        <w:t xml:space="preserve"> did </w:t>
      </w:r>
      <w:r w:rsidR="001359A7">
        <w:t xml:space="preserve">not </w:t>
      </w:r>
      <w:r w:rsidR="00F21557">
        <w:t>supply</w:t>
      </w:r>
      <w:r>
        <w:t xml:space="preserve"> </w:t>
      </w:r>
      <w:r w:rsidR="00A434E4">
        <w:t xml:space="preserve">enough information to </w:t>
      </w:r>
      <w:r w:rsidR="003F15ED">
        <w:t>achieve high performing</w:t>
      </w:r>
      <w:r w:rsidR="006F4F36">
        <w:t xml:space="preserve"> </w:t>
      </w:r>
      <w:r w:rsidR="00A434E4">
        <w:t>separat</w:t>
      </w:r>
      <w:r w:rsidR="003F15ED">
        <w:t>ion</w:t>
      </w:r>
      <w:r w:rsidR="009B0CDF">
        <w:t>, they do shed some light on the viability of machine learning in drug discovery</w:t>
      </w:r>
      <w:r w:rsidR="00D37FF1">
        <w:t xml:space="preserve"> using publicly accessible databases.</w:t>
      </w:r>
      <w:r w:rsidR="00F62DED">
        <w:t xml:space="preserve"> The models perform better than simply using </w:t>
      </w:r>
      <w:r w:rsidR="00BF221E">
        <w:t>Lipinski’s</w:t>
      </w:r>
      <w:r w:rsidR="00F62DED">
        <w:t xml:space="preserve"> rule of five</w:t>
      </w:r>
      <w:r w:rsidR="00BF221E">
        <w:t>, so they may be a step in the right direction.</w:t>
      </w:r>
      <w:r w:rsidR="00D37FF1">
        <w:t xml:space="preserve"> To create more reliable models, more features will need to </w:t>
      </w:r>
      <w:proofErr w:type="gramStart"/>
      <w:r w:rsidR="00D37FF1">
        <w:t>be evaluated</w:t>
      </w:r>
      <w:proofErr w:type="gramEnd"/>
      <w:r w:rsidR="00D37FF1">
        <w:t xml:space="preserve">, and </w:t>
      </w:r>
      <w:r w:rsidR="00FA40CD">
        <w:t>new</w:t>
      </w:r>
      <w:r w:rsidR="009D0B05">
        <w:t xml:space="preserve"> </w:t>
      </w:r>
      <w:r w:rsidR="00FA40CD">
        <w:t>algorithms</w:t>
      </w:r>
      <w:r w:rsidR="009D0B05">
        <w:t xml:space="preserve"> which perform better on smaller sample sizes</w:t>
      </w:r>
      <w:r w:rsidR="00FA40CD">
        <w:t xml:space="preserve"> should be explored</w:t>
      </w:r>
      <w:r w:rsidR="009D0B05">
        <w:t>.</w:t>
      </w:r>
    </w:p>
    <w:p w14:paraId="2FC8E8AD" w14:textId="35166D79" w:rsidR="00446C81" w:rsidRDefault="009D0B05" w:rsidP="00A57414">
      <w:pPr>
        <w:spacing w:line="276" w:lineRule="auto"/>
        <w:ind w:firstLine="360"/>
        <w:jc w:val="both"/>
        <w:sectPr w:rsidR="00446C81" w:rsidSect="00446C81">
          <w:pgSz w:w="12240" w:h="15840"/>
          <w:pgMar w:top="720" w:right="720" w:bottom="720" w:left="720" w:header="720" w:footer="720" w:gutter="0"/>
          <w:cols w:num="2" w:space="720"/>
          <w:docGrid w:linePitch="360"/>
        </w:sectPr>
      </w:pPr>
      <w:bookmarkStart w:id="32" w:name="_GoBack"/>
      <w:r>
        <w:t xml:space="preserve">The creation of </w:t>
      </w:r>
      <w:r w:rsidR="008F2ACC">
        <w:t>reliable models in drug prediction could speed up the</w:t>
      </w:r>
      <w:r w:rsidR="00AA2126">
        <w:t xml:space="preserve"> drug discovery</w:t>
      </w:r>
      <w:r w:rsidR="008F2ACC">
        <w:t xml:space="preserve"> process significantly</w:t>
      </w:r>
      <w:r w:rsidR="00AA2126">
        <w:t xml:space="preserve">, </w:t>
      </w:r>
      <w:r w:rsidR="008F2ACC">
        <w:t xml:space="preserve">reduce </w:t>
      </w:r>
      <w:r w:rsidR="00C004A2">
        <w:t xml:space="preserve">any unnecessary costs </w:t>
      </w:r>
      <w:r w:rsidR="00AA2126">
        <w:t>attached to</w:t>
      </w:r>
      <w:r w:rsidR="00C004A2">
        <w:t xml:space="preserve"> continuing </w:t>
      </w:r>
      <w:r w:rsidR="00AA2126">
        <w:t xml:space="preserve">development </w:t>
      </w:r>
      <w:r w:rsidR="00C004A2">
        <w:t>with a poor drug candidate</w:t>
      </w:r>
      <w:r w:rsidR="00AA2126">
        <w:t>, and most importantly, reduce the probability that poor or harmful compounds reach late phase trials or the public market</w:t>
      </w:r>
      <w:r w:rsidR="00200FD6">
        <w:t>.</w:t>
      </w:r>
    </w:p>
    <w:p w14:paraId="29DEE565" w14:textId="1320F60C" w:rsidR="00877B2F" w:rsidRPr="00166B0E" w:rsidRDefault="004F03C9" w:rsidP="00200FD6">
      <w:pPr>
        <w:pStyle w:val="Heading1"/>
        <w:spacing w:before="240" w:line="276" w:lineRule="auto"/>
      </w:pPr>
      <w:bookmarkStart w:id="33" w:name="_Toc6143152"/>
      <w:bookmarkEnd w:id="32"/>
      <w:r w:rsidRPr="00166B0E">
        <w:lastRenderedPageBreak/>
        <w:t>References</w:t>
      </w:r>
      <w:bookmarkEnd w:id="33"/>
    </w:p>
    <w:p w14:paraId="5F7F1CF4" w14:textId="406E033B" w:rsidR="00F1208C" w:rsidRPr="00F1208C" w:rsidRDefault="0085769A" w:rsidP="00F1208C">
      <w:pPr>
        <w:widowControl w:val="0"/>
        <w:autoSpaceDE w:val="0"/>
        <w:autoSpaceDN w:val="0"/>
        <w:adjustRightInd w:val="0"/>
        <w:spacing w:line="240" w:lineRule="auto"/>
        <w:ind w:left="640" w:hanging="640"/>
        <w:rPr>
          <w:rFonts w:ascii="Calibri" w:hAnsi="Calibri" w:cs="Calibri"/>
          <w:noProof/>
          <w:szCs w:val="24"/>
        </w:rPr>
      </w:pPr>
      <w:r>
        <w:rPr>
          <w:rFonts w:cstheme="minorHAnsi"/>
          <w:color w:val="111111"/>
          <w:shd w:val="clear" w:color="auto" w:fill="FFFFFF"/>
        </w:rPr>
        <w:fldChar w:fldCharType="begin" w:fldLock="1"/>
      </w:r>
      <w:r>
        <w:rPr>
          <w:rFonts w:cstheme="minorHAnsi"/>
          <w:color w:val="111111"/>
          <w:shd w:val="clear" w:color="auto" w:fill="FFFFFF"/>
        </w:rPr>
        <w:instrText xml:space="preserve">ADDIN Mendeley Bibliography CSL_BIBLIOGRAPHY </w:instrText>
      </w:r>
      <w:r>
        <w:rPr>
          <w:rFonts w:cstheme="minorHAnsi"/>
          <w:color w:val="111111"/>
          <w:shd w:val="clear" w:color="auto" w:fill="FFFFFF"/>
        </w:rPr>
        <w:fldChar w:fldCharType="separate"/>
      </w:r>
      <w:r w:rsidR="00F1208C" w:rsidRPr="00F1208C">
        <w:rPr>
          <w:rFonts w:ascii="Calibri" w:hAnsi="Calibri" w:cs="Calibri"/>
          <w:noProof/>
          <w:szCs w:val="24"/>
        </w:rPr>
        <w:t>[1]</w:t>
      </w:r>
      <w:r w:rsidR="00F1208C" w:rsidRPr="00F1208C">
        <w:rPr>
          <w:rFonts w:ascii="Calibri" w:hAnsi="Calibri" w:cs="Calibri"/>
          <w:noProof/>
          <w:szCs w:val="24"/>
        </w:rPr>
        <w:tab/>
        <w:t xml:space="preserve">H. van de Waterbeemd and E. Gifford, “ADMET in silico modelling: Towards prediction paradise?,” </w:t>
      </w:r>
      <w:r w:rsidR="00F1208C" w:rsidRPr="00F1208C">
        <w:rPr>
          <w:rFonts w:ascii="Calibri" w:hAnsi="Calibri" w:cs="Calibri"/>
          <w:i/>
          <w:iCs/>
          <w:noProof/>
          <w:szCs w:val="24"/>
        </w:rPr>
        <w:t>Nat. Rev. Drug Discov.</w:t>
      </w:r>
      <w:r w:rsidR="00F1208C" w:rsidRPr="00F1208C">
        <w:rPr>
          <w:rFonts w:ascii="Calibri" w:hAnsi="Calibri" w:cs="Calibri"/>
          <w:noProof/>
          <w:szCs w:val="24"/>
        </w:rPr>
        <w:t>, vol. 2, no. 3, pp. 192–204, 2003.</w:t>
      </w:r>
    </w:p>
    <w:p w14:paraId="2A86A5D7" w14:textId="77777777" w:rsidR="00F1208C" w:rsidRPr="00F1208C" w:rsidRDefault="00F1208C" w:rsidP="00F1208C">
      <w:pPr>
        <w:widowControl w:val="0"/>
        <w:autoSpaceDE w:val="0"/>
        <w:autoSpaceDN w:val="0"/>
        <w:adjustRightInd w:val="0"/>
        <w:spacing w:line="240" w:lineRule="auto"/>
        <w:ind w:left="640" w:hanging="640"/>
        <w:rPr>
          <w:rFonts w:ascii="Calibri" w:hAnsi="Calibri" w:cs="Calibri"/>
          <w:noProof/>
          <w:szCs w:val="24"/>
        </w:rPr>
      </w:pPr>
      <w:r w:rsidRPr="00F1208C">
        <w:rPr>
          <w:rFonts w:ascii="Calibri" w:hAnsi="Calibri" w:cs="Calibri"/>
          <w:noProof/>
          <w:szCs w:val="24"/>
        </w:rPr>
        <w:t>[2]</w:t>
      </w:r>
      <w:r w:rsidRPr="00F1208C">
        <w:rPr>
          <w:rFonts w:ascii="Calibri" w:hAnsi="Calibri" w:cs="Calibri"/>
          <w:noProof/>
          <w:szCs w:val="24"/>
        </w:rPr>
        <w:tab/>
        <w:t xml:space="preserve">D. Schuster, C. Laggner, and T. Langer, “Why Drugs Fail - A Study on Side Effects in New Chemical Entities,” </w:t>
      </w:r>
      <w:r w:rsidRPr="00F1208C">
        <w:rPr>
          <w:rFonts w:ascii="Calibri" w:hAnsi="Calibri" w:cs="Calibri"/>
          <w:i/>
          <w:iCs/>
          <w:noProof/>
          <w:szCs w:val="24"/>
        </w:rPr>
        <w:t>Curr. Pharm. Des.</w:t>
      </w:r>
      <w:r w:rsidRPr="00F1208C">
        <w:rPr>
          <w:rFonts w:ascii="Calibri" w:hAnsi="Calibri" w:cs="Calibri"/>
          <w:noProof/>
          <w:szCs w:val="24"/>
        </w:rPr>
        <w:t>, vol. 11, no. 27, pp. 3545–3559, Oct. 2005.</w:t>
      </w:r>
    </w:p>
    <w:p w14:paraId="0A9503D9" w14:textId="77777777" w:rsidR="00F1208C" w:rsidRPr="00F1208C" w:rsidRDefault="00F1208C" w:rsidP="00F1208C">
      <w:pPr>
        <w:widowControl w:val="0"/>
        <w:autoSpaceDE w:val="0"/>
        <w:autoSpaceDN w:val="0"/>
        <w:adjustRightInd w:val="0"/>
        <w:spacing w:line="240" w:lineRule="auto"/>
        <w:ind w:left="640" w:hanging="640"/>
        <w:rPr>
          <w:rFonts w:ascii="Calibri" w:hAnsi="Calibri" w:cs="Calibri"/>
          <w:noProof/>
          <w:szCs w:val="24"/>
        </w:rPr>
      </w:pPr>
      <w:r w:rsidRPr="00F1208C">
        <w:rPr>
          <w:rFonts w:ascii="Calibri" w:hAnsi="Calibri" w:cs="Calibri"/>
          <w:noProof/>
          <w:szCs w:val="24"/>
        </w:rPr>
        <w:t>[3]</w:t>
      </w:r>
      <w:r w:rsidRPr="00F1208C">
        <w:rPr>
          <w:rFonts w:ascii="Calibri" w:hAnsi="Calibri" w:cs="Calibri"/>
          <w:noProof/>
          <w:szCs w:val="24"/>
        </w:rPr>
        <w:tab/>
        <w:t xml:space="preserve">C. A. Lipinski, F. Lombardo, B. W. Dominy, and P. J. Feeney, “Experimental and computational approaches to estimate solubility and permeability in drug discovery and development settings,” </w:t>
      </w:r>
      <w:r w:rsidRPr="00F1208C">
        <w:rPr>
          <w:rFonts w:ascii="Calibri" w:hAnsi="Calibri" w:cs="Calibri"/>
          <w:i/>
          <w:iCs/>
          <w:noProof/>
          <w:szCs w:val="24"/>
        </w:rPr>
        <w:t>Adv. Drug Deliv. Rev.</w:t>
      </w:r>
      <w:r w:rsidRPr="00F1208C">
        <w:rPr>
          <w:rFonts w:ascii="Calibri" w:hAnsi="Calibri" w:cs="Calibri"/>
          <w:noProof/>
          <w:szCs w:val="24"/>
        </w:rPr>
        <w:t>, vol. 64, no. SUPPL., pp. 4–17, Dec. 2012.</w:t>
      </w:r>
    </w:p>
    <w:p w14:paraId="11C14E0A" w14:textId="77777777" w:rsidR="00F1208C" w:rsidRPr="00F1208C" w:rsidRDefault="00F1208C" w:rsidP="00F1208C">
      <w:pPr>
        <w:widowControl w:val="0"/>
        <w:autoSpaceDE w:val="0"/>
        <w:autoSpaceDN w:val="0"/>
        <w:adjustRightInd w:val="0"/>
        <w:spacing w:line="240" w:lineRule="auto"/>
        <w:ind w:left="640" w:hanging="640"/>
        <w:rPr>
          <w:rFonts w:ascii="Calibri" w:hAnsi="Calibri" w:cs="Calibri"/>
          <w:noProof/>
          <w:szCs w:val="24"/>
        </w:rPr>
      </w:pPr>
      <w:r w:rsidRPr="00F1208C">
        <w:rPr>
          <w:rFonts w:ascii="Calibri" w:hAnsi="Calibri" w:cs="Calibri"/>
          <w:noProof/>
          <w:szCs w:val="24"/>
        </w:rPr>
        <w:t>[4]</w:t>
      </w:r>
      <w:r w:rsidRPr="00F1208C">
        <w:rPr>
          <w:rFonts w:ascii="Calibri" w:hAnsi="Calibri" w:cs="Calibri"/>
          <w:noProof/>
          <w:szCs w:val="24"/>
        </w:rPr>
        <w:tab/>
        <w:t xml:space="preserve">P. D. Leeson and B. Springthorpe, “The influence of drug-like concepts on decision-making in medicinal chemistry,” </w:t>
      </w:r>
      <w:r w:rsidRPr="00F1208C">
        <w:rPr>
          <w:rFonts w:ascii="Calibri" w:hAnsi="Calibri" w:cs="Calibri"/>
          <w:i/>
          <w:iCs/>
          <w:noProof/>
          <w:szCs w:val="24"/>
        </w:rPr>
        <w:t>Nat. Rev. Drug Discov.</w:t>
      </w:r>
      <w:r w:rsidRPr="00F1208C">
        <w:rPr>
          <w:rFonts w:ascii="Calibri" w:hAnsi="Calibri" w:cs="Calibri"/>
          <w:noProof/>
          <w:szCs w:val="24"/>
        </w:rPr>
        <w:t>, vol. 6, no. 11, pp. 881–890, 2007.</w:t>
      </w:r>
    </w:p>
    <w:p w14:paraId="3FDB7D92" w14:textId="77777777" w:rsidR="00F1208C" w:rsidRPr="00F1208C" w:rsidRDefault="00F1208C" w:rsidP="00F1208C">
      <w:pPr>
        <w:widowControl w:val="0"/>
        <w:autoSpaceDE w:val="0"/>
        <w:autoSpaceDN w:val="0"/>
        <w:adjustRightInd w:val="0"/>
        <w:spacing w:line="240" w:lineRule="auto"/>
        <w:ind w:left="640" w:hanging="640"/>
        <w:rPr>
          <w:rFonts w:ascii="Calibri" w:hAnsi="Calibri" w:cs="Calibri"/>
          <w:noProof/>
          <w:szCs w:val="24"/>
        </w:rPr>
      </w:pPr>
      <w:r w:rsidRPr="00F1208C">
        <w:rPr>
          <w:rFonts w:ascii="Calibri" w:hAnsi="Calibri" w:cs="Calibri"/>
          <w:noProof/>
          <w:szCs w:val="24"/>
        </w:rPr>
        <w:t>[5]</w:t>
      </w:r>
      <w:r w:rsidRPr="00F1208C">
        <w:rPr>
          <w:rFonts w:ascii="Calibri" w:hAnsi="Calibri" w:cs="Calibri"/>
          <w:noProof/>
          <w:szCs w:val="24"/>
        </w:rPr>
        <w:tab/>
        <w:t xml:space="preserve">I. Yusof and M. D. Segall, “Considering the impact drug-like properties have on the chance of success,” </w:t>
      </w:r>
      <w:r w:rsidRPr="00F1208C">
        <w:rPr>
          <w:rFonts w:ascii="Calibri" w:hAnsi="Calibri" w:cs="Calibri"/>
          <w:i/>
          <w:iCs/>
          <w:noProof/>
          <w:szCs w:val="24"/>
        </w:rPr>
        <w:t>Drug Discov. Today</w:t>
      </w:r>
      <w:r w:rsidRPr="00F1208C">
        <w:rPr>
          <w:rFonts w:ascii="Calibri" w:hAnsi="Calibri" w:cs="Calibri"/>
          <w:noProof/>
          <w:szCs w:val="24"/>
        </w:rPr>
        <w:t>, vol. 18, no. 13–14, pp. 659–666, 2013.</w:t>
      </w:r>
    </w:p>
    <w:p w14:paraId="626D1CC2" w14:textId="77777777" w:rsidR="00F1208C" w:rsidRPr="00F1208C" w:rsidRDefault="00F1208C" w:rsidP="00F1208C">
      <w:pPr>
        <w:widowControl w:val="0"/>
        <w:autoSpaceDE w:val="0"/>
        <w:autoSpaceDN w:val="0"/>
        <w:adjustRightInd w:val="0"/>
        <w:spacing w:line="240" w:lineRule="auto"/>
        <w:ind w:left="640" w:hanging="640"/>
        <w:rPr>
          <w:rFonts w:ascii="Calibri" w:hAnsi="Calibri" w:cs="Calibri"/>
          <w:noProof/>
          <w:szCs w:val="24"/>
        </w:rPr>
      </w:pPr>
      <w:r w:rsidRPr="00F1208C">
        <w:rPr>
          <w:rFonts w:ascii="Calibri" w:hAnsi="Calibri" w:cs="Calibri"/>
          <w:noProof/>
          <w:szCs w:val="24"/>
        </w:rPr>
        <w:t>[6]</w:t>
      </w:r>
      <w:r w:rsidRPr="00F1208C">
        <w:rPr>
          <w:rFonts w:ascii="Calibri" w:hAnsi="Calibri" w:cs="Calibri"/>
          <w:noProof/>
          <w:szCs w:val="24"/>
        </w:rPr>
        <w:tab/>
        <w:t xml:space="preserve">G. R. Bickerton, G. V Paolini, J. Besnard, S. Muresan, and A. L. Hopkins, “Quantifying the chemical beauty of drugs,” </w:t>
      </w:r>
      <w:r w:rsidRPr="00F1208C">
        <w:rPr>
          <w:rFonts w:ascii="Calibri" w:hAnsi="Calibri" w:cs="Calibri"/>
          <w:i/>
          <w:iCs/>
          <w:noProof/>
          <w:szCs w:val="24"/>
        </w:rPr>
        <w:t>Nat. Chem.</w:t>
      </w:r>
      <w:r w:rsidRPr="00F1208C">
        <w:rPr>
          <w:rFonts w:ascii="Calibri" w:hAnsi="Calibri" w:cs="Calibri"/>
          <w:noProof/>
          <w:szCs w:val="24"/>
        </w:rPr>
        <w:t>, vol. 4, no. 2, pp. 90–98, Feb. 2012.</w:t>
      </w:r>
    </w:p>
    <w:p w14:paraId="0EF52CB3" w14:textId="77777777" w:rsidR="00F1208C" w:rsidRPr="00F1208C" w:rsidRDefault="00F1208C" w:rsidP="00F1208C">
      <w:pPr>
        <w:widowControl w:val="0"/>
        <w:autoSpaceDE w:val="0"/>
        <w:autoSpaceDN w:val="0"/>
        <w:adjustRightInd w:val="0"/>
        <w:spacing w:line="240" w:lineRule="auto"/>
        <w:ind w:left="640" w:hanging="640"/>
        <w:rPr>
          <w:rFonts w:ascii="Calibri" w:hAnsi="Calibri" w:cs="Calibri"/>
          <w:noProof/>
          <w:szCs w:val="24"/>
        </w:rPr>
      </w:pPr>
      <w:r w:rsidRPr="00F1208C">
        <w:rPr>
          <w:rFonts w:ascii="Calibri" w:hAnsi="Calibri" w:cs="Calibri"/>
          <w:noProof/>
          <w:szCs w:val="24"/>
        </w:rPr>
        <w:t>[7]</w:t>
      </w:r>
      <w:r w:rsidRPr="00F1208C">
        <w:rPr>
          <w:rFonts w:ascii="Calibri" w:hAnsi="Calibri" w:cs="Calibri"/>
          <w:noProof/>
          <w:szCs w:val="24"/>
        </w:rPr>
        <w:tab/>
        <w:t xml:space="preserve">J. Panteleev, H. Gao, and L. Jia, “Recent applications of machine learning in medicinal chemistry,” </w:t>
      </w:r>
      <w:r w:rsidRPr="00F1208C">
        <w:rPr>
          <w:rFonts w:ascii="Calibri" w:hAnsi="Calibri" w:cs="Calibri"/>
          <w:i/>
          <w:iCs/>
          <w:noProof/>
          <w:szCs w:val="24"/>
        </w:rPr>
        <w:t>Bioorganic Med. Chem. Lett.</w:t>
      </w:r>
      <w:r w:rsidRPr="00F1208C">
        <w:rPr>
          <w:rFonts w:ascii="Calibri" w:hAnsi="Calibri" w:cs="Calibri"/>
          <w:noProof/>
          <w:szCs w:val="24"/>
        </w:rPr>
        <w:t>, vol. 28, no. 17, pp. 2807–2815, 2018.</w:t>
      </w:r>
    </w:p>
    <w:p w14:paraId="6EC089EB" w14:textId="77777777" w:rsidR="00F1208C" w:rsidRPr="00F1208C" w:rsidRDefault="00F1208C" w:rsidP="00F1208C">
      <w:pPr>
        <w:widowControl w:val="0"/>
        <w:autoSpaceDE w:val="0"/>
        <w:autoSpaceDN w:val="0"/>
        <w:adjustRightInd w:val="0"/>
        <w:spacing w:line="240" w:lineRule="auto"/>
        <w:ind w:left="640" w:hanging="640"/>
        <w:rPr>
          <w:rFonts w:ascii="Calibri" w:hAnsi="Calibri" w:cs="Calibri"/>
          <w:noProof/>
          <w:szCs w:val="24"/>
        </w:rPr>
      </w:pPr>
      <w:r w:rsidRPr="00F1208C">
        <w:rPr>
          <w:rFonts w:ascii="Calibri" w:hAnsi="Calibri" w:cs="Calibri"/>
          <w:noProof/>
          <w:szCs w:val="24"/>
        </w:rPr>
        <w:t>[8]</w:t>
      </w:r>
      <w:r w:rsidRPr="00F1208C">
        <w:rPr>
          <w:rFonts w:ascii="Calibri" w:hAnsi="Calibri" w:cs="Calibri"/>
          <w:noProof/>
          <w:szCs w:val="24"/>
        </w:rPr>
        <w:tab/>
        <w:t xml:space="preserve">W. L. Jorgensen and E. M. Duffy, “Prediction of drug solubility from structure,” </w:t>
      </w:r>
      <w:r w:rsidRPr="00F1208C">
        <w:rPr>
          <w:rFonts w:ascii="Calibri" w:hAnsi="Calibri" w:cs="Calibri"/>
          <w:i/>
          <w:iCs/>
          <w:noProof/>
          <w:szCs w:val="24"/>
        </w:rPr>
        <w:t>Adv. Drug Deliv. Rev.</w:t>
      </w:r>
      <w:r w:rsidRPr="00F1208C">
        <w:rPr>
          <w:rFonts w:ascii="Calibri" w:hAnsi="Calibri" w:cs="Calibri"/>
          <w:noProof/>
          <w:szCs w:val="24"/>
        </w:rPr>
        <w:t>, vol. 54, no. 3, pp. 355–366, Mar. 2002.</w:t>
      </w:r>
    </w:p>
    <w:p w14:paraId="6B77F3BB" w14:textId="77777777" w:rsidR="00F1208C" w:rsidRPr="00F1208C" w:rsidRDefault="00F1208C" w:rsidP="00F1208C">
      <w:pPr>
        <w:widowControl w:val="0"/>
        <w:autoSpaceDE w:val="0"/>
        <w:autoSpaceDN w:val="0"/>
        <w:adjustRightInd w:val="0"/>
        <w:spacing w:line="240" w:lineRule="auto"/>
        <w:ind w:left="640" w:hanging="640"/>
        <w:rPr>
          <w:rFonts w:ascii="Calibri" w:hAnsi="Calibri" w:cs="Calibri"/>
          <w:noProof/>
          <w:szCs w:val="24"/>
        </w:rPr>
      </w:pPr>
      <w:r w:rsidRPr="00F1208C">
        <w:rPr>
          <w:rFonts w:ascii="Calibri" w:hAnsi="Calibri" w:cs="Calibri"/>
          <w:noProof/>
          <w:szCs w:val="24"/>
        </w:rPr>
        <w:t>[9]</w:t>
      </w:r>
      <w:r w:rsidRPr="00F1208C">
        <w:rPr>
          <w:rFonts w:ascii="Calibri" w:hAnsi="Calibri" w:cs="Calibri"/>
          <w:noProof/>
          <w:szCs w:val="24"/>
        </w:rPr>
        <w:tab/>
        <w:t xml:space="preserve">A. Lavecchia, “Machine-learning approaches in drug discovery: Methods and applications,” </w:t>
      </w:r>
      <w:r w:rsidRPr="00F1208C">
        <w:rPr>
          <w:rFonts w:ascii="Calibri" w:hAnsi="Calibri" w:cs="Calibri"/>
          <w:i/>
          <w:iCs/>
          <w:noProof/>
          <w:szCs w:val="24"/>
        </w:rPr>
        <w:t>Drug Discov. Today</w:t>
      </w:r>
      <w:r w:rsidRPr="00F1208C">
        <w:rPr>
          <w:rFonts w:ascii="Calibri" w:hAnsi="Calibri" w:cs="Calibri"/>
          <w:noProof/>
          <w:szCs w:val="24"/>
        </w:rPr>
        <w:t>, vol. 20, no. 3, pp. 318–331, 2015.</w:t>
      </w:r>
    </w:p>
    <w:p w14:paraId="73CE3468" w14:textId="77777777" w:rsidR="00F1208C" w:rsidRPr="00F1208C" w:rsidRDefault="00F1208C" w:rsidP="00F1208C">
      <w:pPr>
        <w:widowControl w:val="0"/>
        <w:autoSpaceDE w:val="0"/>
        <w:autoSpaceDN w:val="0"/>
        <w:adjustRightInd w:val="0"/>
        <w:spacing w:line="240" w:lineRule="auto"/>
        <w:ind w:left="640" w:hanging="640"/>
        <w:rPr>
          <w:rFonts w:ascii="Calibri" w:hAnsi="Calibri" w:cs="Calibri"/>
          <w:noProof/>
          <w:szCs w:val="24"/>
        </w:rPr>
      </w:pPr>
      <w:r w:rsidRPr="00F1208C">
        <w:rPr>
          <w:rFonts w:ascii="Calibri" w:hAnsi="Calibri" w:cs="Calibri"/>
          <w:noProof/>
          <w:szCs w:val="24"/>
        </w:rPr>
        <w:t>[10]</w:t>
      </w:r>
      <w:r w:rsidRPr="00F1208C">
        <w:rPr>
          <w:rFonts w:ascii="Calibri" w:hAnsi="Calibri" w:cs="Calibri"/>
          <w:noProof/>
          <w:szCs w:val="24"/>
        </w:rPr>
        <w:tab/>
        <w:t xml:space="preserve">H. Chen, O. Engkvist, Y. Wang, M. Olivecrona, and T. Blaschke, “The rise of deep learning in drug discovery,” </w:t>
      </w:r>
      <w:r w:rsidRPr="00F1208C">
        <w:rPr>
          <w:rFonts w:ascii="Calibri" w:hAnsi="Calibri" w:cs="Calibri"/>
          <w:i/>
          <w:iCs/>
          <w:noProof/>
          <w:szCs w:val="24"/>
        </w:rPr>
        <w:t>Drug Discov. Today</w:t>
      </w:r>
      <w:r w:rsidRPr="00F1208C">
        <w:rPr>
          <w:rFonts w:ascii="Calibri" w:hAnsi="Calibri" w:cs="Calibri"/>
          <w:noProof/>
          <w:szCs w:val="24"/>
        </w:rPr>
        <w:t>, vol. 23, no. 6, pp. 1241–1250, 2018.</w:t>
      </w:r>
    </w:p>
    <w:p w14:paraId="48BD7424" w14:textId="77777777" w:rsidR="00F1208C" w:rsidRPr="00F1208C" w:rsidRDefault="00F1208C" w:rsidP="00F1208C">
      <w:pPr>
        <w:widowControl w:val="0"/>
        <w:autoSpaceDE w:val="0"/>
        <w:autoSpaceDN w:val="0"/>
        <w:adjustRightInd w:val="0"/>
        <w:spacing w:line="240" w:lineRule="auto"/>
        <w:ind w:left="640" w:hanging="640"/>
        <w:rPr>
          <w:rFonts w:ascii="Calibri" w:hAnsi="Calibri" w:cs="Calibri"/>
          <w:noProof/>
          <w:szCs w:val="24"/>
        </w:rPr>
      </w:pPr>
      <w:r w:rsidRPr="00F1208C">
        <w:rPr>
          <w:rFonts w:ascii="Calibri" w:hAnsi="Calibri" w:cs="Calibri"/>
          <w:noProof/>
          <w:szCs w:val="24"/>
        </w:rPr>
        <w:t>[11]</w:t>
      </w:r>
      <w:r w:rsidRPr="00F1208C">
        <w:rPr>
          <w:rFonts w:ascii="Calibri" w:hAnsi="Calibri" w:cs="Calibri"/>
          <w:noProof/>
          <w:szCs w:val="24"/>
        </w:rPr>
        <w:tab/>
        <w:t xml:space="preserve">H. Altae-Tran, B. Ramsundar, A. S. Pappu, and V. Pande, “Low Data Drug Discovery with One-Shot Learning,” </w:t>
      </w:r>
      <w:r w:rsidRPr="00F1208C">
        <w:rPr>
          <w:rFonts w:ascii="Calibri" w:hAnsi="Calibri" w:cs="Calibri"/>
          <w:i/>
          <w:iCs/>
          <w:noProof/>
          <w:szCs w:val="24"/>
        </w:rPr>
        <w:t>ACS Cent. Sci.</w:t>
      </w:r>
      <w:r w:rsidRPr="00F1208C">
        <w:rPr>
          <w:rFonts w:ascii="Calibri" w:hAnsi="Calibri" w:cs="Calibri"/>
          <w:noProof/>
          <w:szCs w:val="24"/>
        </w:rPr>
        <w:t>, vol. 3, no. 4, pp. 283–293, Apr. 2017.</w:t>
      </w:r>
    </w:p>
    <w:p w14:paraId="271D5462" w14:textId="77777777" w:rsidR="00F1208C" w:rsidRPr="00F1208C" w:rsidRDefault="00F1208C" w:rsidP="00F1208C">
      <w:pPr>
        <w:widowControl w:val="0"/>
        <w:autoSpaceDE w:val="0"/>
        <w:autoSpaceDN w:val="0"/>
        <w:adjustRightInd w:val="0"/>
        <w:spacing w:line="240" w:lineRule="auto"/>
        <w:ind w:left="640" w:hanging="640"/>
        <w:rPr>
          <w:rFonts w:ascii="Calibri" w:hAnsi="Calibri" w:cs="Calibri"/>
          <w:noProof/>
        </w:rPr>
      </w:pPr>
      <w:r w:rsidRPr="00F1208C">
        <w:rPr>
          <w:rFonts w:ascii="Calibri" w:hAnsi="Calibri" w:cs="Calibri"/>
          <w:noProof/>
          <w:szCs w:val="24"/>
        </w:rPr>
        <w:t>[12]</w:t>
      </w:r>
      <w:r w:rsidRPr="00F1208C">
        <w:rPr>
          <w:rFonts w:ascii="Calibri" w:hAnsi="Calibri" w:cs="Calibri"/>
          <w:noProof/>
          <w:szCs w:val="24"/>
        </w:rPr>
        <w:tab/>
        <w:t xml:space="preserve">A. Gaulton </w:t>
      </w:r>
      <w:r w:rsidRPr="00F1208C">
        <w:rPr>
          <w:rFonts w:ascii="Calibri" w:hAnsi="Calibri" w:cs="Calibri"/>
          <w:i/>
          <w:iCs/>
          <w:noProof/>
          <w:szCs w:val="24"/>
        </w:rPr>
        <w:t>et al.</w:t>
      </w:r>
      <w:r w:rsidRPr="00F1208C">
        <w:rPr>
          <w:rFonts w:ascii="Calibri" w:hAnsi="Calibri" w:cs="Calibri"/>
          <w:noProof/>
          <w:szCs w:val="24"/>
        </w:rPr>
        <w:t xml:space="preserve">, “ChEMBL: A large-scale bioactivity database for drug discovery,” </w:t>
      </w:r>
      <w:r w:rsidRPr="00F1208C">
        <w:rPr>
          <w:rFonts w:ascii="Calibri" w:hAnsi="Calibri" w:cs="Calibri"/>
          <w:i/>
          <w:iCs/>
          <w:noProof/>
          <w:szCs w:val="24"/>
        </w:rPr>
        <w:t>Nucleic Acids Res.</w:t>
      </w:r>
      <w:r w:rsidRPr="00F1208C">
        <w:rPr>
          <w:rFonts w:ascii="Calibri" w:hAnsi="Calibri" w:cs="Calibri"/>
          <w:noProof/>
          <w:szCs w:val="24"/>
        </w:rPr>
        <w:t>, vol. 40, no. D1, pp. 1100–1107, 2012.</w:t>
      </w:r>
    </w:p>
    <w:p w14:paraId="68A1C410" w14:textId="6ED75DAB" w:rsidR="00D228A2" w:rsidRDefault="0085769A" w:rsidP="00210CA0">
      <w:pPr>
        <w:spacing w:after="0" w:line="276" w:lineRule="auto"/>
        <w:jc w:val="both"/>
      </w:pPr>
      <w:r>
        <w:rPr>
          <w:rFonts w:cstheme="minorHAnsi"/>
          <w:color w:val="111111"/>
          <w:shd w:val="clear" w:color="auto" w:fill="FFFFFF"/>
        </w:rPr>
        <w:lastRenderedPageBreak/>
        <w:fldChar w:fldCharType="end"/>
      </w:r>
      <w:r w:rsidR="00510429" w:rsidRPr="00510429">
        <w:t xml:space="preserve"> </w:t>
      </w:r>
      <w:r w:rsidR="008F5995" w:rsidRPr="008F5995">
        <w:rPr>
          <w:noProof/>
        </w:rPr>
        <w:drawing>
          <wp:inline distT="0" distB="0" distL="0" distR="0" wp14:anchorId="1CD1C997" wp14:editId="5D65AB07">
            <wp:extent cx="2114551" cy="3383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4551" cy="3383280"/>
                    </a:xfrm>
                    <a:prstGeom prst="rect">
                      <a:avLst/>
                    </a:prstGeom>
                  </pic:spPr>
                </pic:pic>
              </a:graphicData>
            </a:graphic>
          </wp:inline>
        </w:drawing>
      </w:r>
      <w:r w:rsidR="00510429" w:rsidRPr="00510429">
        <w:t xml:space="preserve"> </w:t>
      </w:r>
      <w:r w:rsidR="00510429" w:rsidRPr="00822C2A">
        <w:rPr>
          <w:noProof/>
        </w:rPr>
        <w:drawing>
          <wp:inline distT="0" distB="0" distL="0" distR="0" wp14:anchorId="3E8EF465" wp14:editId="4B0BC3A5">
            <wp:extent cx="4511788" cy="33832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11788" cy="3383280"/>
                    </a:xfrm>
                    <a:prstGeom prst="rect">
                      <a:avLst/>
                    </a:prstGeom>
                  </pic:spPr>
                </pic:pic>
              </a:graphicData>
            </a:graphic>
          </wp:inline>
        </w:drawing>
      </w:r>
    </w:p>
    <w:p w14:paraId="38FE9E86" w14:textId="12A1FFD8" w:rsidR="00132A4C" w:rsidRDefault="00FA683E" w:rsidP="00BD5EED">
      <w:pPr>
        <w:spacing w:line="276" w:lineRule="auto"/>
        <w:jc w:val="both"/>
      </w:pPr>
      <w:r w:rsidRPr="00CF4C37">
        <w:rPr>
          <w:b/>
        </w:rPr>
        <w:t>Figure 1</w:t>
      </w:r>
      <w:r>
        <w:t>: Analysis of the retrieved data from the ChEMBL database.</w:t>
      </w:r>
      <w:r w:rsidR="001D231F">
        <w:t xml:space="preserve"> </w:t>
      </w:r>
      <w:r w:rsidR="004C0BB2">
        <w:t xml:space="preserve">Data </w:t>
      </w:r>
      <w:proofErr w:type="gramStart"/>
      <w:r w:rsidR="004C0BB2">
        <w:t xml:space="preserve">were </w:t>
      </w:r>
      <w:r w:rsidR="00BD5EED">
        <w:t>analyzed</w:t>
      </w:r>
      <w:proofErr w:type="gramEnd"/>
      <w:r w:rsidR="00BD5EED">
        <w:t xml:space="preserve"> separately by their dataset: approved drugs, non-approved drugs, and withdrawn drugs</w:t>
      </w:r>
      <w:r w:rsidR="00FD2740">
        <w:t>.</w:t>
      </w:r>
    </w:p>
    <w:p w14:paraId="6BE0C13B" w14:textId="77777777" w:rsidR="00EE2643" w:rsidRDefault="00EE2643" w:rsidP="00BD5EED">
      <w:pPr>
        <w:spacing w:line="276" w:lineRule="auto"/>
        <w:jc w:val="both"/>
      </w:pPr>
    </w:p>
    <w:p w14:paraId="3AA569A8" w14:textId="75419FF8" w:rsidR="005A5525" w:rsidRDefault="005A5525" w:rsidP="00741F79">
      <w:pPr>
        <w:spacing w:after="0" w:line="276" w:lineRule="auto"/>
        <w:jc w:val="center"/>
        <w:rPr>
          <w:rFonts w:cstheme="minorHAnsi"/>
          <w:color w:val="111111"/>
          <w:shd w:val="clear" w:color="auto" w:fill="FFFFFF"/>
        </w:rPr>
      </w:pPr>
      <w:r w:rsidRPr="005A5525">
        <w:rPr>
          <w:rFonts w:cstheme="minorHAnsi"/>
          <w:noProof/>
          <w:color w:val="111111"/>
          <w:shd w:val="clear" w:color="auto" w:fill="FFFFFF"/>
        </w:rPr>
        <w:drawing>
          <wp:inline distT="0" distB="0" distL="0" distR="0" wp14:anchorId="7F505F51" wp14:editId="7C92CB53">
            <wp:extent cx="341376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3760" cy="2560320"/>
                    </a:xfrm>
                    <a:prstGeom prst="rect">
                      <a:avLst/>
                    </a:prstGeom>
                  </pic:spPr>
                </pic:pic>
              </a:graphicData>
            </a:graphic>
          </wp:inline>
        </w:drawing>
      </w:r>
      <w:r w:rsidR="000127B7" w:rsidRPr="000127B7">
        <w:rPr>
          <w:rFonts w:cstheme="minorHAnsi"/>
          <w:noProof/>
          <w:color w:val="111111"/>
          <w:shd w:val="clear" w:color="auto" w:fill="FFFFFF"/>
        </w:rPr>
        <w:drawing>
          <wp:inline distT="0" distB="0" distL="0" distR="0" wp14:anchorId="14CA0609" wp14:editId="4CD0BC41">
            <wp:extent cx="341376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3760" cy="2560320"/>
                    </a:xfrm>
                    <a:prstGeom prst="rect">
                      <a:avLst/>
                    </a:prstGeom>
                  </pic:spPr>
                </pic:pic>
              </a:graphicData>
            </a:graphic>
          </wp:inline>
        </w:drawing>
      </w:r>
    </w:p>
    <w:p w14:paraId="32F1732B" w14:textId="7CA8FEA7" w:rsidR="006C717F" w:rsidRDefault="006C717F" w:rsidP="006C717F">
      <w:pPr>
        <w:spacing w:line="276" w:lineRule="auto"/>
        <w:jc w:val="both"/>
      </w:pPr>
      <w:r w:rsidRPr="00CF4C37">
        <w:rPr>
          <w:b/>
        </w:rPr>
        <w:t xml:space="preserve">Figure </w:t>
      </w:r>
      <w:r>
        <w:rPr>
          <w:b/>
        </w:rPr>
        <w:t>2</w:t>
      </w:r>
      <w:r>
        <w:t xml:space="preserve">: PCA </w:t>
      </w:r>
      <w:r w:rsidR="00AF6CBB">
        <w:t xml:space="preserve">biplot </w:t>
      </w:r>
      <w:r>
        <w:t>of two</w:t>
      </w:r>
      <w:r w:rsidR="00BB6122">
        <w:t xml:space="preserve"> joint datasets: approved vs. non-approved (left) and approved vs. withdrawn (right)</w:t>
      </w:r>
      <w:r>
        <w:t>.</w:t>
      </w:r>
      <w:r w:rsidR="00AF6CBB">
        <w:t xml:space="preserve"> </w:t>
      </w:r>
      <w:r w:rsidR="00694D68">
        <w:t>Direction of arrows show the feature</w:t>
      </w:r>
      <w:r w:rsidR="005964A4">
        <w:t>s’</w:t>
      </w:r>
      <w:r w:rsidR="00694D68">
        <w:t xml:space="preserve"> contribution to that principal </w:t>
      </w:r>
      <w:proofErr w:type="gramStart"/>
      <w:r w:rsidR="00694D68">
        <w:t>component</w:t>
      </w:r>
      <w:proofErr w:type="gramEnd"/>
      <w:r w:rsidR="00694D68">
        <w:t xml:space="preserve">. </w:t>
      </w:r>
      <w:r w:rsidR="00AF6CBB">
        <w:t xml:space="preserve">Lengths of arrows show the </w:t>
      </w:r>
      <w:r w:rsidR="005964A4">
        <w:t>amount</w:t>
      </w:r>
      <w:r w:rsidR="00AF6CBB">
        <w:t xml:space="preserve"> of </w:t>
      </w:r>
      <w:r w:rsidR="005964A4">
        <w:t>the</w:t>
      </w:r>
      <w:r w:rsidR="00AF6CBB">
        <w:t xml:space="preserve"> feature</w:t>
      </w:r>
      <w:r w:rsidR="005964A4">
        <w:t>s’ contribution to the principal components.</w:t>
      </w:r>
    </w:p>
    <w:p w14:paraId="71A2D637" w14:textId="77777777" w:rsidR="006C717F" w:rsidRDefault="006C717F" w:rsidP="000127B7">
      <w:pPr>
        <w:spacing w:line="276" w:lineRule="auto"/>
        <w:rPr>
          <w:rFonts w:cstheme="minorHAnsi"/>
          <w:color w:val="111111"/>
          <w:shd w:val="clear" w:color="auto" w:fill="FFFFFF"/>
        </w:rPr>
      </w:pPr>
    </w:p>
    <w:p w14:paraId="4CD94CBA" w14:textId="236BD426" w:rsidR="000127B7" w:rsidRDefault="00156252" w:rsidP="00741F79">
      <w:pPr>
        <w:spacing w:after="0" w:line="276" w:lineRule="auto"/>
        <w:jc w:val="center"/>
        <w:rPr>
          <w:noProof/>
        </w:rPr>
      </w:pPr>
      <w:r w:rsidRPr="00156252">
        <w:rPr>
          <w:noProof/>
        </w:rPr>
        <w:lastRenderedPageBreak/>
        <w:drawing>
          <wp:inline distT="0" distB="0" distL="0" distR="0" wp14:anchorId="5040F702" wp14:editId="5F32FDCD">
            <wp:extent cx="3383280" cy="25374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3280" cy="2537460"/>
                    </a:xfrm>
                    <a:prstGeom prst="rect">
                      <a:avLst/>
                    </a:prstGeom>
                  </pic:spPr>
                </pic:pic>
              </a:graphicData>
            </a:graphic>
          </wp:inline>
        </w:drawing>
      </w:r>
      <w:r w:rsidR="000127B7" w:rsidRPr="000127B7">
        <w:rPr>
          <w:noProof/>
        </w:rPr>
        <w:t xml:space="preserve"> </w:t>
      </w:r>
      <w:r w:rsidR="00DD6B6E" w:rsidRPr="00DD6B6E">
        <w:rPr>
          <w:noProof/>
        </w:rPr>
        <w:drawing>
          <wp:inline distT="0" distB="0" distL="0" distR="0" wp14:anchorId="7AB6793D" wp14:editId="32B5D5F8">
            <wp:extent cx="3383280" cy="25374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3280" cy="2537460"/>
                    </a:xfrm>
                    <a:prstGeom prst="rect">
                      <a:avLst/>
                    </a:prstGeom>
                  </pic:spPr>
                </pic:pic>
              </a:graphicData>
            </a:graphic>
          </wp:inline>
        </w:drawing>
      </w:r>
    </w:p>
    <w:p w14:paraId="10950733" w14:textId="3630FD79" w:rsidR="00420B64" w:rsidRDefault="00F84473" w:rsidP="003E66B2">
      <w:pPr>
        <w:spacing w:line="276" w:lineRule="auto"/>
        <w:jc w:val="both"/>
      </w:pPr>
      <w:r w:rsidRPr="00CF4C37">
        <w:rPr>
          <w:b/>
        </w:rPr>
        <w:t xml:space="preserve">Figure </w:t>
      </w:r>
      <w:r>
        <w:rPr>
          <w:b/>
        </w:rPr>
        <w:t>3</w:t>
      </w:r>
      <w:r>
        <w:t xml:space="preserve">: </w:t>
      </w:r>
      <w:r w:rsidR="003E66B2">
        <w:t xml:space="preserve">Logistic regression </w:t>
      </w:r>
      <w:r>
        <w:t>10-fold cross validation results of two joint datasets: approved vs. non-approved (left) and approved vs. withdrawn (right).</w:t>
      </w:r>
      <w:r w:rsidR="003F1080">
        <w:t xml:space="preserve"> Models with varying </w:t>
      </w:r>
      <w:r w:rsidR="00741F79">
        <w:t xml:space="preserve">inverse regularization </w:t>
      </w:r>
      <w:r w:rsidR="009836D1">
        <w:t>strengths</w:t>
      </w:r>
      <w:r w:rsidR="00741F79">
        <w:t xml:space="preserve"> </w:t>
      </w:r>
      <w:proofErr w:type="gramStart"/>
      <w:r w:rsidR="003F1080">
        <w:t>were evaluated</w:t>
      </w:r>
      <w:proofErr w:type="gramEnd"/>
      <w:r w:rsidR="003F1080">
        <w:t xml:space="preserve"> on their F1 score.</w:t>
      </w:r>
    </w:p>
    <w:p w14:paraId="3BAE4387" w14:textId="77777777" w:rsidR="00420B64" w:rsidRDefault="00420B64" w:rsidP="003E66B2">
      <w:pPr>
        <w:spacing w:line="276" w:lineRule="auto"/>
        <w:jc w:val="both"/>
        <w:rPr>
          <w:noProof/>
        </w:rPr>
      </w:pPr>
    </w:p>
    <w:p w14:paraId="1537FB1B" w14:textId="180DFA9B" w:rsidR="007F38E2" w:rsidRDefault="006416C9" w:rsidP="00741F79">
      <w:pPr>
        <w:spacing w:after="0" w:line="276" w:lineRule="auto"/>
        <w:jc w:val="center"/>
        <w:rPr>
          <w:rFonts w:cstheme="minorHAnsi"/>
          <w:color w:val="111111"/>
          <w:shd w:val="clear" w:color="auto" w:fill="FFFFFF"/>
        </w:rPr>
      </w:pPr>
      <w:r w:rsidRPr="006416C9">
        <w:rPr>
          <w:rFonts w:cstheme="minorHAnsi"/>
          <w:noProof/>
          <w:color w:val="111111"/>
          <w:shd w:val="clear" w:color="auto" w:fill="FFFFFF"/>
        </w:rPr>
        <w:drawing>
          <wp:inline distT="0" distB="0" distL="0" distR="0" wp14:anchorId="3981F0A9" wp14:editId="7670FA1F">
            <wp:extent cx="3383280" cy="25374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3280" cy="2537460"/>
                    </a:xfrm>
                    <a:prstGeom prst="rect">
                      <a:avLst/>
                    </a:prstGeom>
                  </pic:spPr>
                </pic:pic>
              </a:graphicData>
            </a:graphic>
          </wp:inline>
        </w:drawing>
      </w:r>
      <w:r w:rsidRPr="006416C9">
        <w:rPr>
          <w:rFonts w:cstheme="minorHAnsi"/>
          <w:color w:val="111111"/>
          <w:shd w:val="clear" w:color="auto" w:fill="FFFFFF"/>
        </w:rPr>
        <w:t xml:space="preserve"> </w:t>
      </w:r>
      <w:r w:rsidRPr="006416C9">
        <w:rPr>
          <w:rFonts w:cstheme="minorHAnsi"/>
          <w:noProof/>
          <w:color w:val="111111"/>
          <w:shd w:val="clear" w:color="auto" w:fill="FFFFFF"/>
        </w:rPr>
        <w:drawing>
          <wp:inline distT="0" distB="0" distL="0" distR="0" wp14:anchorId="6B53DD87" wp14:editId="3A126792">
            <wp:extent cx="3383280" cy="25374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3280" cy="2537460"/>
                    </a:xfrm>
                    <a:prstGeom prst="rect">
                      <a:avLst/>
                    </a:prstGeom>
                  </pic:spPr>
                </pic:pic>
              </a:graphicData>
            </a:graphic>
          </wp:inline>
        </w:drawing>
      </w:r>
    </w:p>
    <w:p w14:paraId="3BD0400F" w14:textId="774F683C" w:rsidR="00741F79" w:rsidRDefault="00741F79" w:rsidP="00420B64">
      <w:pPr>
        <w:spacing w:line="276" w:lineRule="auto"/>
        <w:jc w:val="both"/>
      </w:pPr>
      <w:r w:rsidRPr="00CF4C37">
        <w:rPr>
          <w:b/>
        </w:rPr>
        <w:t xml:space="preserve">Figure </w:t>
      </w:r>
      <w:r w:rsidR="00171C8E">
        <w:rPr>
          <w:b/>
        </w:rPr>
        <w:t>4</w:t>
      </w:r>
      <w:r>
        <w:t xml:space="preserve">: Support vector machine 10-fold cross validation results of two joint datasets: approved vs. non-approved (left) and approved vs. withdrawn (right). Models with varying inverse regularization </w:t>
      </w:r>
      <w:r w:rsidR="00B7130C">
        <w:t>strengths</w:t>
      </w:r>
      <w:r w:rsidR="00171C8E">
        <w:t xml:space="preserve"> and kernels</w:t>
      </w:r>
      <w:r>
        <w:t xml:space="preserve"> </w:t>
      </w:r>
      <w:proofErr w:type="gramStart"/>
      <w:r>
        <w:t>were evaluated</w:t>
      </w:r>
      <w:proofErr w:type="gramEnd"/>
      <w:r>
        <w:t xml:space="preserve"> on their F1 score.</w:t>
      </w:r>
    </w:p>
    <w:p w14:paraId="26D777C6" w14:textId="77777777" w:rsidR="00EE2643" w:rsidRPr="00420B64" w:rsidRDefault="00EE2643" w:rsidP="00420B64">
      <w:pPr>
        <w:spacing w:line="276" w:lineRule="auto"/>
        <w:jc w:val="both"/>
        <w:rPr>
          <w:noProof/>
        </w:rPr>
      </w:pPr>
    </w:p>
    <w:p w14:paraId="14098620" w14:textId="4A069518" w:rsidR="007F38E2" w:rsidRDefault="00B7130C" w:rsidP="00171C8E">
      <w:pPr>
        <w:spacing w:after="0" w:line="276" w:lineRule="auto"/>
        <w:jc w:val="center"/>
        <w:rPr>
          <w:noProof/>
        </w:rPr>
      </w:pPr>
      <w:r w:rsidRPr="00B7130C">
        <w:rPr>
          <w:noProof/>
        </w:rPr>
        <w:lastRenderedPageBreak/>
        <w:drawing>
          <wp:inline distT="0" distB="0" distL="0" distR="0" wp14:anchorId="20F5BD82" wp14:editId="4F8158A9">
            <wp:extent cx="3383280" cy="253746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3280" cy="2537460"/>
                    </a:xfrm>
                    <a:prstGeom prst="rect">
                      <a:avLst/>
                    </a:prstGeom>
                  </pic:spPr>
                </pic:pic>
              </a:graphicData>
            </a:graphic>
          </wp:inline>
        </w:drawing>
      </w:r>
      <w:r w:rsidR="007944BE" w:rsidRPr="007944BE">
        <w:rPr>
          <w:noProof/>
        </w:rPr>
        <w:t xml:space="preserve"> </w:t>
      </w:r>
      <w:r w:rsidRPr="00B7130C">
        <w:rPr>
          <w:noProof/>
        </w:rPr>
        <w:drawing>
          <wp:inline distT="0" distB="0" distL="0" distR="0" wp14:anchorId="79928A1D" wp14:editId="38934EF4">
            <wp:extent cx="3383280" cy="253746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3280" cy="2537460"/>
                    </a:xfrm>
                    <a:prstGeom prst="rect">
                      <a:avLst/>
                    </a:prstGeom>
                  </pic:spPr>
                </pic:pic>
              </a:graphicData>
            </a:graphic>
          </wp:inline>
        </w:drawing>
      </w:r>
    </w:p>
    <w:p w14:paraId="19CB29D5" w14:textId="17AA3716" w:rsidR="00937AF8" w:rsidRDefault="00171C8E" w:rsidP="00420B64">
      <w:pPr>
        <w:spacing w:line="276" w:lineRule="auto"/>
        <w:jc w:val="both"/>
      </w:pPr>
      <w:r w:rsidRPr="00CF4C37">
        <w:rPr>
          <w:b/>
        </w:rPr>
        <w:t xml:space="preserve">Figure </w:t>
      </w:r>
      <w:r>
        <w:rPr>
          <w:b/>
        </w:rPr>
        <w:t>5</w:t>
      </w:r>
      <w:r>
        <w:t xml:space="preserve">: Random forest 10-fold cross validation results of two joint datasets: approved vs. non-approved (left) and approved vs. withdrawn (right). Models with varying </w:t>
      </w:r>
      <w:r w:rsidR="003A7864">
        <w:t>number of estimators</w:t>
      </w:r>
      <w:r>
        <w:t xml:space="preserve"> </w:t>
      </w:r>
      <w:proofErr w:type="gramStart"/>
      <w:r>
        <w:t>were evaluated</w:t>
      </w:r>
      <w:proofErr w:type="gramEnd"/>
      <w:r>
        <w:t xml:space="preserve"> on their F1 score.</w:t>
      </w:r>
    </w:p>
    <w:p w14:paraId="5E05A637" w14:textId="77777777" w:rsidR="00937AF8" w:rsidRDefault="00937AF8" w:rsidP="00420B64">
      <w:pPr>
        <w:spacing w:line="276" w:lineRule="auto"/>
        <w:jc w:val="both"/>
      </w:pPr>
    </w:p>
    <w:p w14:paraId="679BB89B" w14:textId="31E0E0B6" w:rsidR="0052627A" w:rsidRDefault="009836D1" w:rsidP="003A7864">
      <w:pPr>
        <w:spacing w:after="0" w:line="276" w:lineRule="auto"/>
        <w:jc w:val="center"/>
      </w:pPr>
      <w:r>
        <w:rPr>
          <w:noProof/>
        </w:rPr>
        <w:drawing>
          <wp:inline distT="0" distB="0" distL="0" distR="0" wp14:anchorId="7BA41991" wp14:editId="5C519416">
            <wp:extent cx="3383280" cy="394716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3280" cy="3947160"/>
                    </a:xfrm>
                    <a:prstGeom prst="rect">
                      <a:avLst/>
                    </a:prstGeom>
                    <a:noFill/>
                  </pic:spPr>
                </pic:pic>
              </a:graphicData>
            </a:graphic>
          </wp:inline>
        </w:drawing>
      </w:r>
      <w:r w:rsidR="00872DEC" w:rsidRPr="00872DEC">
        <w:t xml:space="preserve"> </w:t>
      </w:r>
      <w:r w:rsidRPr="009836D1">
        <w:rPr>
          <w:noProof/>
        </w:rPr>
        <w:drawing>
          <wp:inline distT="0" distB="0" distL="0" distR="0" wp14:anchorId="1B196B81" wp14:editId="623BACFB">
            <wp:extent cx="3383280" cy="394716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3280" cy="3947160"/>
                    </a:xfrm>
                    <a:prstGeom prst="rect">
                      <a:avLst/>
                    </a:prstGeom>
                  </pic:spPr>
                </pic:pic>
              </a:graphicData>
            </a:graphic>
          </wp:inline>
        </w:drawing>
      </w:r>
    </w:p>
    <w:p w14:paraId="7DCCF706" w14:textId="3E9D7E97" w:rsidR="00937AF8" w:rsidRDefault="003A7864" w:rsidP="00EE2643">
      <w:pPr>
        <w:spacing w:line="276" w:lineRule="auto"/>
        <w:jc w:val="both"/>
      </w:pPr>
      <w:r w:rsidRPr="00CF4C37">
        <w:rPr>
          <w:b/>
        </w:rPr>
        <w:t xml:space="preserve">Figure </w:t>
      </w:r>
      <w:r>
        <w:rPr>
          <w:b/>
        </w:rPr>
        <w:t>6</w:t>
      </w:r>
      <w:r>
        <w:t xml:space="preserve">: Multilayer Perceptron 10-fold cross validation results of two joint datasets: approved vs. non-approved (left) and approved vs. withdrawn (right). Models with varying </w:t>
      </w:r>
      <w:r w:rsidR="004C2926">
        <w:t>alphas</w:t>
      </w:r>
      <w:r>
        <w:t xml:space="preserve"> and </w:t>
      </w:r>
      <w:r w:rsidR="00460BA0">
        <w:t>hidden layer structures</w:t>
      </w:r>
      <w:r>
        <w:t xml:space="preserve"> </w:t>
      </w:r>
      <w:proofErr w:type="gramStart"/>
      <w:r>
        <w:t>were evaluated</w:t>
      </w:r>
      <w:proofErr w:type="gramEnd"/>
      <w:r>
        <w:t xml:space="preserve"> on their F1 score.</w:t>
      </w:r>
    </w:p>
    <w:p w14:paraId="1537E6B7" w14:textId="1C9AAD5C" w:rsidR="00EE2643" w:rsidRDefault="00EE2643" w:rsidP="00EE2643">
      <w:pPr>
        <w:spacing w:line="276" w:lineRule="auto"/>
        <w:jc w:val="both"/>
      </w:pPr>
    </w:p>
    <w:p w14:paraId="0CE93F77" w14:textId="6B346423" w:rsidR="00EE2643" w:rsidRDefault="00EE2643" w:rsidP="00EE2643">
      <w:pPr>
        <w:spacing w:line="276" w:lineRule="auto"/>
        <w:jc w:val="both"/>
      </w:pPr>
    </w:p>
    <w:p w14:paraId="53F27D7D" w14:textId="18C4F81C" w:rsidR="00EE2643" w:rsidRDefault="00EE2643" w:rsidP="00EE2643">
      <w:pPr>
        <w:spacing w:line="276" w:lineRule="auto"/>
        <w:jc w:val="both"/>
      </w:pPr>
    </w:p>
    <w:p w14:paraId="082D7F11" w14:textId="07DDF3C1" w:rsidR="00A65B16" w:rsidRDefault="00A65B16" w:rsidP="00624E8E">
      <w:pPr>
        <w:spacing w:line="276" w:lineRule="auto"/>
      </w:pPr>
    </w:p>
    <w:p w14:paraId="2AFFA8C9" w14:textId="15D9E185" w:rsidR="00435C6F" w:rsidRDefault="00DD1EAB" w:rsidP="00DD1EAB">
      <w:pPr>
        <w:spacing w:line="276" w:lineRule="auto"/>
        <w:jc w:val="center"/>
        <w:rPr>
          <w:b/>
        </w:rPr>
      </w:pPr>
      <w:r w:rsidRPr="00DD1EAB">
        <w:rPr>
          <w:b/>
          <w:noProof/>
        </w:rPr>
        <w:drawing>
          <wp:inline distT="0" distB="0" distL="0" distR="0" wp14:anchorId="62AD562C" wp14:editId="57921E8B">
            <wp:extent cx="4572000" cy="3429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0" cy="3429000"/>
                    </a:xfrm>
                    <a:prstGeom prst="rect">
                      <a:avLst/>
                    </a:prstGeom>
                  </pic:spPr>
                </pic:pic>
              </a:graphicData>
            </a:graphic>
          </wp:inline>
        </w:drawing>
      </w:r>
    </w:p>
    <w:p w14:paraId="621A1727" w14:textId="04F27F43" w:rsidR="00435C6F" w:rsidRDefault="00435C6F" w:rsidP="00F5442A">
      <w:pPr>
        <w:spacing w:line="276" w:lineRule="auto"/>
        <w:jc w:val="center"/>
      </w:pPr>
      <w:r w:rsidRPr="00CF4C37">
        <w:rPr>
          <w:b/>
        </w:rPr>
        <w:t xml:space="preserve">Figure </w:t>
      </w:r>
      <w:r>
        <w:rPr>
          <w:b/>
        </w:rPr>
        <w:t>7</w:t>
      </w:r>
      <w:r>
        <w:t>: Cross-validation scores of the best models for each</w:t>
      </w:r>
      <w:r w:rsidR="00514993">
        <w:t xml:space="preserve"> machine learning approach.</w:t>
      </w:r>
    </w:p>
    <w:p w14:paraId="608D6E1B" w14:textId="77777777" w:rsidR="00435C6F" w:rsidRDefault="00435C6F" w:rsidP="00514993">
      <w:pPr>
        <w:spacing w:after="0" w:line="276" w:lineRule="auto"/>
      </w:pPr>
    </w:p>
    <w:p w14:paraId="3F48ACCD" w14:textId="77777777" w:rsidR="00435C6F" w:rsidRDefault="00435C6F" w:rsidP="00514993">
      <w:pPr>
        <w:spacing w:after="0" w:line="276" w:lineRule="auto"/>
      </w:pPr>
    </w:p>
    <w:p w14:paraId="7ED191A7" w14:textId="2CC5E757" w:rsidR="00F6728B" w:rsidRDefault="00002D68" w:rsidP="00F6728B">
      <w:pPr>
        <w:spacing w:after="0" w:line="276" w:lineRule="auto"/>
        <w:jc w:val="center"/>
      </w:pPr>
      <w:r>
        <w:rPr>
          <w:noProof/>
        </w:rPr>
        <w:drawing>
          <wp:inline distT="0" distB="0" distL="0" distR="0" wp14:anchorId="7C135853" wp14:editId="6E0ED42E">
            <wp:extent cx="1828800" cy="182880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solidFill>
                        <a:schemeClr val="tx1"/>
                      </a:solidFill>
                    </a:ln>
                  </pic:spPr>
                </pic:pic>
              </a:graphicData>
            </a:graphic>
          </wp:inline>
        </w:drawing>
      </w:r>
      <w:r>
        <w:rPr>
          <w:noProof/>
        </w:rPr>
        <w:drawing>
          <wp:inline distT="0" distB="0" distL="0" distR="0" wp14:anchorId="01288842" wp14:editId="6B5F024A">
            <wp:extent cx="1828800" cy="1828800"/>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solidFill>
                        <a:schemeClr val="tx1"/>
                      </a:solidFill>
                    </a:ln>
                  </pic:spPr>
                </pic:pic>
              </a:graphicData>
            </a:graphic>
          </wp:inline>
        </w:drawing>
      </w:r>
      <w:r w:rsidR="001F20F1">
        <w:rPr>
          <w:noProof/>
        </w:rPr>
        <w:drawing>
          <wp:inline distT="0" distB="0" distL="0" distR="0" wp14:anchorId="7F39C654" wp14:editId="74B1FD28">
            <wp:extent cx="1828800" cy="182880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solidFill>
                        <a:schemeClr val="tx1"/>
                      </a:solidFill>
                    </a:ln>
                  </pic:spPr>
                </pic:pic>
              </a:graphicData>
            </a:graphic>
          </wp:inline>
        </w:drawing>
      </w:r>
      <w:r>
        <w:rPr>
          <w:noProof/>
        </w:rPr>
        <w:drawing>
          <wp:inline distT="0" distB="0" distL="0" distR="0" wp14:anchorId="1FA76CDF" wp14:editId="098EB430">
            <wp:extent cx="1828800" cy="182880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solidFill>
                        <a:schemeClr val="tx1"/>
                      </a:solidFill>
                    </a:ln>
                  </pic:spPr>
                </pic:pic>
              </a:graphicData>
            </a:graphic>
          </wp:inline>
        </w:drawing>
      </w:r>
      <w:r w:rsidR="00F6728B" w:rsidRPr="00872DEC">
        <w:t xml:space="preserve"> </w:t>
      </w:r>
      <w:r w:rsidR="009F671B">
        <w:rPr>
          <w:noProof/>
        </w:rPr>
        <w:drawing>
          <wp:inline distT="0" distB="0" distL="0" distR="0" wp14:anchorId="26ED7C5A" wp14:editId="0DE90268">
            <wp:extent cx="1828800" cy="18288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solidFill>
                        <a:schemeClr val="tx1"/>
                      </a:solidFill>
                    </a:ln>
                  </pic:spPr>
                </pic:pic>
              </a:graphicData>
            </a:graphic>
          </wp:inline>
        </w:drawing>
      </w:r>
    </w:p>
    <w:p w14:paraId="48CDA5DC" w14:textId="1540AB29" w:rsidR="00F6728B" w:rsidRDefault="00F6728B" w:rsidP="00F6728B">
      <w:pPr>
        <w:spacing w:line="276" w:lineRule="auto"/>
        <w:jc w:val="both"/>
      </w:pPr>
      <w:r w:rsidRPr="00CF4C37">
        <w:rPr>
          <w:b/>
        </w:rPr>
        <w:t xml:space="preserve">Figure </w:t>
      </w:r>
      <w:r>
        <w:rPr>
          <w:b/>
        </w:rPr>
        <w:t>8</w:t>
      </w:r>
      <w:r>
        <w:t>: Chemical structure of</w:t>
      </w:r>
      <w:r w:rsidR="00953057">
        <w:t xml:space="preserve"> the top five compounds likely to </w:t>
      </w:r>
      <w:proofErr w:type="gramStart"/>
      <w:r w:rsidR="00953057">
        <w:t>be approved</w:t>
      </w:r>
      <w:proofErr w:type="gramEnd"/>
      <w:r w:rsidR="00953057">
        <w:t xml:space="preserve"> drugs in the approved vs. non-approved </w:t>
      </w:r>
      <w:r w:rsidR="00275112">
        <w:t>test set. Pictures are</w:t>
      </w:r>
      <w:r>
        <w:t xml:space="preserve"> </w:t>
      </w:r>
      <w:r w:rsidRPr="00E05674">
        <w:t>sulfanilamide</w:t>
      </w:r>
      <w:r>
        <w:t xml:space="preserve">, </w:t>
      </w:r>
      <w:r w:rsidRPr="001544B9">
        <w:t>norepinephrine</w:t>
      </w:r>
      <w:r>
        <w:t xml:space="preserve">, </w:t>
      </w:r>
      <w:r w:rsidRPr="001544B9">
        <w:t>idoxuridine</w:t>
      </w:r>
      <w:r>
        <w:t xml:space="preserve">, </w:t>
      </w:r>
      <w:r w:rsidRPr="001544B9">
        <w:t>pralidoxime chloride</w:t>
      </w:r>
      <w:r>
        <w:t xml:space="preserve">, and </w:t>
      </w:r>
      <w:r w:rsidRPr="001544B9">
        <w:t>cimetidine</w:t>
      </w:r>
      <w:r w:rsidR="00F31B45">
        <w:t xml:space="preserve"> (from left to right).</w:t>
      </w:r>
    </w:p>
    <w:p w14:paraId="5A4D3694" w14:textId="5F33AB26" w:rsidR="00B24593" w:rsidRDefault="00B24593" w:rsidP="00F6728B">
      <w:pPr>
        <w:spacing w:line="276" w:lineRule="auto"/>
        <w:jc w:val="both"/>
      </w:pPr>
    </w:p>
    <w:p w14:paraId="2CA49E7C" w14:textId="5924BCA1" w:rsidR="00B24593" w:rsidRDefault="00B24593" w:rsidP="00B24593">
      <w:pPr>
        <w:spacing w:after="0" w:line="276" w:lineRule="auto"/>
        <w:jc w:val="center"/>
      </w:pPr>
      <w:r w:rsidRPr="00872DEC">
        <w:t xml:space="preserve"> </w:t>
      </w:r>
      <w:r w:rsidR="001E5295">
        <w:rPr>
          <w:noProof/>
        </w:rPr>
        <w:drawing>
          <wp:inline distT="0" distB="0" distL="0" distR="0" wp14:anchorId="21A7C68B" wp14:editId="2F432987">
            <wp:extent cx="1828800" cy="1828800"/>
            <wp:effectExtent l="19050" t="19050" r="1905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solidFill>
                        <a:schemeClr val="tx1"/>
                      </a:solidFill>
                    </a:ln>
                  </pic:spPr>
                </pic:pic>
              </a:graphicData>
            </a:graphic>
          </wp:inline>
        </w:drawing>
      </w:r>
      <w:r w:rsidR="001E5295">
        <w:rPr>
          <w:noProof/>
        </w:rPr>
        <w:drawing>
          <wp:inline distT="0" distB="0" distL="0" distR="0" wp14:anchorId="07050818" wp14:editId="23F95992">
            <wp:extent cx="1828800" cy="1828800"/>
            <wp:effectExtent l="19050" t="19050" r="1905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solidFill>
                        <a:schemeClr val="tx1"/>
                      </a:solidFill>
                    </a:ln>
                  </pic:spPr>
                </pic:pic>
              </a:graphicData>
            </a:graphic>
          </wp:inline>
        </w:drawing>
      </w:r>
      <w:r w:rsidR="001E5295">
        <w:rPr>
          <w:noProof/>
        </w:rPr>
        <w:drawing>
          <wp:inline distT="0" distB="0" distL="0" distR="0" wp14:anchorId="4C39474C" wp14:editId="556C1B64">
            <wp:extent cx="1828800" cy="1828800"/>
            <wp:effectExtent l="19050" t="19050" r="19050"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solidFill>
                        <a:schemeClr val="tx1"/>
                      </a:solidFill>
                    </a:ln>
                  </pic:spPr>
                </pic:pic>
              </a:graphicData>
            </a:graphic>
          </wp:inline>
        </w:drawing>
      </w:r>
      <w:r w:rsidR="001E5295">
        <w:rPr>
          <w:noProof/>
        </w:rPr>
        <w:drawing>
          <wp:inline distT="0" distB="0" distL="0" distR="0" wp14:anchorId="0EAEB4B2" wp14:editId="1E81C040">
            <wp:extent cx="1828800" cy="182880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solidFill>
                        <a:schemeClr val="tx1"/>
                      </a:solidFill>
                    </a:ln>
                  </pic:spPr>
                </pic:pic>
              </a:graphicData>
            </a:graphic>
          </wp:inline>
        </w:drawing>
      </w:r>
      <w:r w:rsidR="001E5295">
        <w:rPr>
          <w:noProof/>
        </w:rPr>
        <w:drawing>
          <wp:inline distT="0" distB="0" distL="0" distR="0" wp14:anchorId="79789945" wp14:editId="41CE9CDE">
            <wp:extent cx="1828800" cy="1828800"/>
            <wp:effectExtent l="19050" t="19050" r="19050"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solidFill>
                        <a:schemeClr val="tx1"/>
                      </a:solidFill>
                    </a:ln>
                  </pic:spPr>
                </pic:pic>
              </a:graphicData>
            </a:graphic>
          </wp:inline>
        </w:drawing>
      </w:r>
    </w:p>
    <w:p w14:paraId="23FB8993" w14:textId="1C4EBE03" w:rsidR="00514993" w:rsidRDefault="00B24593" w:rsidP="00444B2D">
      <w:pPr>
        <w:spacing w:line="276" w:lineRule="auto"/>
        <w:jc w:val="both"/>
      </w:pPr>
      <w:r w:rsidRPr="00CF4C37">
        <w:rPr>
          <w:b/>
        </w:rPr>
        <w:t xml:space="preserve">Figure </w:t>
      </w:r>
      <w:r>
        <w:rPr>
          <w:b/>
        </w:rPr>
        <w:t>9</w:t>
      </w:r>
      <w:r>
        <w:t xml:space="preserve">: </w:t>
      </w:r>
      <w:r w:rsidR="00275112">
        <w:t>Chemical structure of the top five compounds likely to be non-approved drugs in the approved vs. non-approved test set.</w:t>
      </w:r>
      <w:r w:rsidR="00B80EBA">
        <w:t xml:space="preserve"> All compounds are unnamed.</w:t>
      </w:r>
    </w:p>
    <w:p w14:paraId="4E4D1B65" w14:textId="7F20D617" w:rsidR="00514993" w:rsidRDefault="00514993" w:rsidP="00624E8E">
      <w:pPr>
        <w:spacing w:line="276" w:lineRule="auto"/>
      </w:pPr>
    </w:p>
    <w:p w14:paraId="1C181551" w14:textId="77777777" w:rsidR="00514993" w:rsidRDefault="00514993" w:rsidP="00514993">
      <w:pPr>
        <w:spacing w:line="276" w:lineRule="auto"/>
        <w:jc w:val="center"/>
      </w:pPr>
      <w:r w:rsidRPr="00342EF1">
        <w:rPr>
          <w:b/>
        </w:rPr>
        <w:t>Table 1</w:t>
      </w:r>
      <w:r>
        <w:t>: Performance on the Test Set using Multiple Evaluation Metrics.</w:t>
      </w:r>
    </w:p>
    <w:tbl>
      <w:tblPr>
        <w:tblStyle w:val="PlainTable3"/>
        <w:tblW w:w="0" w:type="auto"/>
        <w:jc w:val="center"/>
        <w:tblLook w:val="04A0" w:firstRow="1" w:lastRow="0" w:firstColumn="1" w:lastColumn="0" w:noHBand="0" w:noVBand="1"/>
      </w:tblPr>
      <w:tblGrid>
        <w:gridCol w:w="3168"/>
        <w:gridCol w:w="1296"/>
        <w:gridCol w:w="1296"/>
        <w:gridCol w:w="1296"/>
        <w:gridCol w:w="1296"/>
      </w:tblGrid>
      <w:tr w:rsidR="00514993" w:rsidRPr="00615210" w14:paraId="2DECD69B" w14:textId="77777777" w:rsidTr="0060063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3168" w:type="dxa"/>
            <w:noWrap/>
            <w:vAlign w:val="center"/>
            <w:hideMark/>
          </w:tcPr>
          <w:p w14:paraId="62F681B7" w14:textId="77777777" w:rsidR="00514993" w:rsidRPr="00615210" w:rsidRDefault="00514993" w:rsidP="00600639">
            <w:pPr>
              <w:jc w:val="center"/>
              <w:rPr>
                <w:rFonts w:ascii="Calibri" w:eastAsia="Times New Roman" w:hAnsi="Calibri" w:cs="Calibri"/>
                <w:color w:val="000000"/>
              </w:rPr>
            </w:pPr>
            <w:r w:rsidRPr="00615210">
              <w:rPr>
                <w:rFonts w:ascii="Calibri" w:eastAsia="Times New Roman" w:hAnsi="Calibri" w:cs="Calibri"/>
                <w:color w:val="000000"/>
              </w:rPr>
              <w:t>Approved vs. Non-Approved</w:t>
            </w:r>
          </w:p>
        </w:tc>
        <w:tc>
          <w:tcPr>
            <w:tcW w:w="1296" w:type="dxa"/>
            <w:noWrap/>
            <w:vAlign w:val="center"/>
            <w:hideMark/>
          </w:tcPr>
          <w:p w14:paraId="25DB39A6" w14:textId="77777777" w:rsidR="00514993" w:rsidRPr="00615210" w:rsidRDefault="00514993" w:rsidP="0060063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Precision</w:t>
            </w:r>
          </w:p>
        </w:tc>
        <w:tc>
          <w:tcPr>
            <w:tcW w:w="1296" w:type="dxa"/>
            <w:noWrap/>
            <w:vAlign w:val="center"/>
            <w:hideMark/>
          </w:tcPr>
          <w:p w14:paraId="663F6BEB" w14:textId="77777777" w:rsidR="00514993" w:rsidRPr="00615210" w:rsidRDefault="00514993" w:rsidP="0060063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Recall</w:t>
            </w:r>
          </w:p>
        </w:tc>
        <w:tc>
          <w:tcPr>
            <w:tcW w:w="1296" w:type="dxa"/>
            <w:noWrap/>
            <w:vAlign w:val="center"/>
            <w:hideMark/>
          </w:tcPr>
          <w:p w14:paraId="2A1C15AD" w14:textId="77777777" w:rsidR="00514993" w:rsidRPr="00615210" w:rsidRDefault="00514993" w:rsidP="0060063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F1</w:t>
            </w:r>
          </w:p>
        </w:tc>
        <w:tc>
          <w:tcPr>
            <w:tcW w:w="1296" w:type="dxa"/>
            <w:noWrap/>
            <w:vAlign w:val="center"/>
            <w:hideMark/>
          </w:tcPr>
          <w:p w14:paraId="127858A1" w14:textId="77777777" w:rsidR="00514993" w:rsidRPr="00615210" w:rsidRDefault="00514993" w:rsidP="0060063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Kappa</w:t>
            </w:r>
          </w:p>
        </w:tc>
      </w:tr>
      <w:tr w:rsidR="00514993" w:rsidRPr="00615210" w14:paraId="21CD8981" w14:textId="77777777" w:rsidTr="006006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hideMark/>
          </w:tcPr>
          <w:p w14:paraId="71F1C209" w14:textId="77777777" w:rsidR="00514993" w:rsidRPr="00615210" w:rsidRDefault="00514993" w:rsidP="00600639">
            <w:pPr>
              <w:jc w:val="right"/>
              <w:rPr>
                <w:rFonts w:ascii="Calibri" w:eastAsia="Times New Roman" w:hAnsi="Calibri" w:cs="Calibri"/>
                <w:color w:val="000000"/>
              </w:rPr>
            </w:pPr>
            <w:r w:rsidRPr="00615210">
              <w:rPr>
                <w:rFonts w:ascii="Calibri" w:eastAsia="Times New Roman" w:hAnsi="Calibri" w:cs="Calibri"/>
                <w:color w:val="000000"/>
              </w:rPr>
              <w:t>Logistic Regression</w:t>
            </w:r>
          </w:p>
        </w:tc>
        <w:tc>
          <w:tcPr>
            <w:tcW w:w="1296" w:type="dxa"/>
            <w:noWrap/>
            <w:vAlign w:val="center"/>
            <w:hideMark/>
          </w:tcPr>
          <w:p w14:paraId="62ADC948" w14:textId="77777777" w:rsidR="00514993" w:rsidRPr="00615210"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0.81</w:t>
            </w:r>
          </w:p>
        </w:tc>
        <w:tc>
          <w:tcPr>
            <w:tcW w:w="1296" w:type="dxa"/>
            <w:noWrap/>
            <w:vAlign w:val="center"/>
            <w:hideMark/>
          </w:tcPr>
          <w:p w14:paraId="400FAC4B" w14:textId="77777777" w:rsidR="00514993" w:rsidRPr="00615210"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0.76</w:t>
            </w:r>
          </w:p>
        </w:tc>
        <w:tc>
          <w:tcPr>
            <w:tcW w:w="1296" w:type="dxa"/>
            <w:noWrap/>
            <w:vAlign w:val="center"/>
            <w:hideMark/>
          </w:tcPr>
          <w:p w14:paraId="34518A9F" w14:textId="77777777" w:rsidR="00514993" w:rsidRPr="00615210"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0.78</w:t>
            </w:r>
          </w:p>
        </w:tc>
        <w:tc>
          <w:tcPr>
            <w:tcW w:w="1296" w:type="dxa"/>
            <w:noWrap/>
            <w:vAlign w:val="center"/>
            <w:hideMark/>
          </w:tcPr>
          <w:p w14:paraId="373FB347" w14:textId="77777777" w:rsidR="00514993" w:rsidRPr="00615210"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0.58</w:t>
            </w:r>
          </w:p>
        </w:tc>
      </w:tr>
      <w:tr w:rsidR="00514993" w:rsidRPr="00615210" w14:paraId="3517661B" w14:textId="77777777" w:rsidTr="00600639">
        <w:trPr>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hideMark/>
          </w:tcPr>
          <w:p w14:paraId="6520E41E" w14:textId="77777777" w:rsidR="00514993" w:rsidRPr="00615210" w:rsidRDefault="00514993" w:rsidP="00600639">
            <w:pPr>
              <w:jc w:val="right"/>
              <w:rPr>
                <w:rFonts w:ascii="Calibri" w:eastAsia="Times New Roman" w:hAnsi="Calibri" w:cs="Calibri"/>
                <w:color w:val="000000"/>
              </w:rPr>
            </w:pPr>
            <w:r w:rsidRPr="00615210">
              <w:rPr>
                <w:rFonts w:ascii="Calibri" w:eastAsia="Times New Roman" w:hAnsi="Calibri" w:cs="Calibri"/>
                <w:color w:val="000000"/>
              </w:rPr>
              <w:t>Support Vector Machine</w:t>
            </w:r>
          </w:p>
        </w:tc>
        <w:tc>
          <w:tcPr>
            <w:tcW w:w="1296" w:type="dxa"/>
            <w:noWrap/>
            <w:vAlign w:val="center"/>
            <w:hideMark/>
          </w:tcPr>
          <w:p w14:paraId="39DC2CF7" w14:textId="77777777" w:rsidR="00514993" w:rsidRPr="00615210"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615210">
              <w:rPr>
                <w:rFonts w:ascii="Calibri" w:eastAsia="Times New Roman" w:hAnsi="Calibri" w:cs="Calibri"/>
                <w:b/>
                <w:color w:val="000000"/>
              </w:rPr>
              <w:t>0.83</w:t>
            </w:r>
          </w:p>
        </w:tc>
        <w:tc>
          <w:tcPr>
            <w:tcW w:w="1296" w:type="dxa"/>
            <w:noWrap/>
            <w:vAlign w:val="center"/>
            <w:hideMark/>
          </w:tcPr>
          <w:p w14:paraId="4EB5BFF2" w14:textId="77777777" w:rsidR="00514993" w:rsidRPr="00615210"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0.80</w:t>
            </w:r>
          </w:p>
        </w:tc>
        <w:tc>
          <w:tcPr>
            <w:tcW w:w="1296" w:type="dxa"/>
            <w:noWrap/>
            <w:vAlign w:val="center"/>
            <w:hideMark/>
          </w:tcPr>
          <w:p w14:paraId="2D9173F1" w14:textId="77777777" w:rsidR="00514993" w:rsidRPr="005909EE"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909EE">
              <w:rPr>
                <w:rFonts w:ascii="Calibri" w:eastAsia="Times New Roman" w:hAnsi="Calibri" w:cs="Calibri"/>
                <w:color w:val="000000"/>
              </w:rPr>
              <w:t>0.82</w:t>
            </w:r>
          </w:p>
        </w:tc>
        <w:tc>
          <w:tcPr>
            <w:tcW w:w="1296" w:type="dxa"/>
            <w:noWrap/>
            <w:vAlign w:val="center"/>
            <w:hideMark/>
          </w:tcPr>
          <w:p w14:paraId="4019B3E6" w14:textId="77777777" w:rsidR="00514993" w:rsidRPr="00615210"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0.6</w:t>
            </w:r>
            <w:r>
              <w:rPr>
                <w:rFonts w:ascii="Calibri" w:eastAsia="Times New Roman" w:hAnsi="Calibri" w:cs="Calibri"/>
                <w:color w:val="000000"/>
              </w:rPr>
              <w:t>4</w:t>
            </w:r>
          </w:p>
        </w:tc>
      </w:tr>
      <w:tr w:rsidR="00514993" w:rsidRPr="00615210" w14:paraId="3AAD8EAC" w14:textId="77777777" w:rsidTr="006006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hideMark/>
          </w:tcPr>
          <w:p w14:paraId="5DB4F4B2" w14:textId="77777777" w:rsidR="00514993" w:rsidRPr="00615210" w:rsidRDefault="00514993" w:rsidP="00600639">
            <w:pPr>
              <w:jc w:val="right"/>
              <w:rPr>
                <w:rFonts w:ascii="Calibri" w:eastAsia="Times New Roman" w:hAnsi="Calibri" w:cs="Calibri"/>
                <w:color w:val="000000"/>
              </w:rPr>
            </w:pPr>
            <w:r w:rsidRPr="00615210">
              <w:rPr>
                <w:rFonts w:ascii="Calibri" w:eastAsia="Times New Roman" w:hAnsi="Calibri" w:cs="Calibri"/>
                <w:color w:val="000000"/>
              </w:rPr>
              <w:t>Random Forest</w:t>
            </w:r>
          </w:p>
        </w:tc>
        <w:tc>
          <w:tcPr>
            <w:tcW w:w="1296" w:type="dxa"/>
            <w:noWrap/>
            <w:vAlign w:val="center"/>
            <w:hideMark/>
          </w:tcPr>
          <w:p w14:paraId="021C372C" w14:textId="77777777" w:rsidR="00514993" w:rsidRPr="00615210"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615210">
              <w:rPr>
                <w:rFonts w:ascii="Calibri" w:eastAsia="Times New Roman" w:hAnsi="Calibri" w:cs="Calibri"/>
                <w:b/>
                <w:color w:val="000000"/>
              </w:rPr>
              <w:t>0.83</w:t>
            </w:r>
          </w:p>
        </w:tc>
        <w:tc>
          <w:tcPr>
            <w:tcW w:w="1296" w:type="dxa"/>
            <w:noWrap/>
            <w:vAlign w:val="center"/>
            <w:hideMark/>
          </w:tcPr>
          <w:p w14:paraId="0F7D32AF" w14:textId="77777777" w:rsidR="00514993" w:rsidRPr="00615210"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615210">
              <w:rPr>
                <w:rFonts w:ascii="Calibri" w:eastAsia="Times New Roman" w:hAnsi="Calibri" w:cs="Calibri"/>
                <w:b/>
                <w:color w:val="000000"/>
              </w:rPr>
              <w:t>0.8</w:t>
            </w:r>
            <w:r>
              <w:rPr>
                <w:rFonts w:ascii="Calibri" w:eastAsia="Times New Roman" w:hAnsi="Calibri" w:cs="Calibri"/>
                <w:b/>
                <w:color w:val="000000"/>
              </w:rPr>
              <w:t>2</w:t>
            </w:r>
          </w:p>
        </w:tc>
        <w:tc>
          <w:tcPr>
            <w:tcW w:w="1296" w:type="dxa"/>
            <w:noWrap/>
            <w:vAlign w:val="center"/>
            <w:hideMark/>
          </w:tcPr>
          <w:p w14:paraId="510E10AF" w14:textId="77777777" w:rsidR="00514993" w:rsidRPr="00615210"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615210">
              <w:rPr>
                <w:rFonts w:ascii="Calibri" w:eastAsia="Times New Roman" w:hAnsi="Calibri" w:cs="Calibri"/>
                <w:b/>
                <w:color w:val="000000"/>
              </w:rPr>
              <w:t>0.8</w:t>
            </w:r>
            <w:r>
              <w:rPr>
                <w:rFonts w:ascii="Calibri" w:eastAsia="Times New Roman" w:hAnsi="Calibri" w:cs="Calibri"/>
                <w:b/>
                <w:color w:val="000000"/>
              </w:rPr>
              <w:t>3</w:t>
            </w:r>
          </w:p>
        </w:tc>
        <w:tc>
          <w:tcPr>
            <w:tcW w:w="1296" w:type="dxa"/>
            <w:noWrap/>
            <w:vAlign w:val="center"/>
            <w:hideMark/>
          </w:tcPr>
          <w:p w14:paraId="23A2E164" w14:textId="77777777" w:rsidR="00514993" w:rsidRPr="00615210"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615210">
              <w:rPr>
                <w:rFonts w:ascii="Calibri" w:eastAsia="Times New Roman" w:hAnsi="Calibri" w:cs="Calibri"/>
                <w:b/>
                <w:color w:val="000000"/>
              </w:rPr>
              <w:t>0.65</w:t>
            </w:r>
          </w:p>
        </w:tc>
      </w:tr>
      <w:tr w:rsidR="00514993" w:rsidRPr="00615210" w14:paraId="4ED34E2D" w14:textId="77777777" w:rsidTr="00600639">
        <w:trPr>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hideMark/>
          </w:tcPr>
          <w:p w14:paraId="2F47320E" w14:textId="77777777" w:rsidR="00514993" w:rsidRPr="00615210" w:rsidRDefault="00514993" w:rsidP="00600639">
            <w:pPr>
              <w:jc w:val="right"/>
              <w:rPr>
                <w:rFonts w:ascii="Calibri" w:eastAsia="Times New Roman" w:hAnsi="Calibri" w:cs="Calibri"/>
                <w:color w:val="000000"/>
              </w:rPr>
            </w:pPr>
            <w:r w:rsidRPr="00615210">
              <w:rPr>
                <w:rFonts w:ascii="Calibri" w:eastAsia="Times New Roman" w:hAnsi="Calibri" w:cs="Calibri"/>
                <w:color w:val="000000"/>
              </w:rPr>
              <w:t xml:space="preserve">Multilayer Perceptron </w:t>
            </w:r>
          </w:p>
        </w:tc>
        <w:tc>
          <w:tcPr>
            <w:tcW w:w="1296" w:type="dxa"/>
            <w:noWrap/>
            <w:vAlign w:val="center"/>
            <w:hideMark/>
          </w:tcPr>
          <w:p w14:paraId="59580732" w14:textId="77777777" w:rsidR="00514993" w:rsidRPr="00615210"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w:t>
            </w:r>
            <w:r>
              <w:rPr>
                <w:rFonts w:ascii="Calibri" w:eastAsia="Times New Roman" w:hAnsi="Calibri" w:cs="Calibri"/>
                <w:color w:val="000000"/>
              </w:rPr>
              <w:t>79</w:t>
            </w:r>
          </w:p>
        </w:tc>
        <w:tc>
          <w:tcPr>
            <w:tcW w:w="1296" w:type="dxa"/>
            <w:noWrap/>
            <w:vAlign w:val="center"/>
            <w:hideMark/>
          </w:tcPr>
          <w:p w14:paraId="2118E747" w14:textId="77777777" w:rsidR="00514993" w:rsidRPr="00615210"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0.7</w:t>
            </w:r>
            <w:r>
              <w:rPr>
                <w:rFonts w:ascii="Calibri" w:eastAsia="Times New Roman" w:hAnsi="Calibri" w:cs="Calibri"/>
                <w:color w:val="000000"/>
              </w:rPr>
              <w:t>2</w:t>
            </w:r>
          </w:p>
        </w:tc>
        <w:tc>
          <w:tcPr>
            <w:tcW w:w="1296" w:type="dxa"/>
            <w:noWrap/>
            <w:vAlign w:val="center"/>
            <w:hideMark/>
          </w:tcPr>
          <w:p w14:paraId="536D47AA" w14:textId="77777777" w:rsidR="00514993" w:rsidRPr="00615210"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0.7</w:t>
            </w:r>
            <w:r>
              <w:rPr>
                <w:rFonts w:ascii="Calibri" w:eastAsia="Times New Roman" w:hAnsi="Calibri" w:cs="Calibri"/>
                <w:color w:val="000000"/>
              </w:rPr>
              <w:t>5</w:t>
            </w:r>
          </w:p>
        </w:tc>
        <w:tc>
          <w:tcPr>
            <w:tcW w:w="1296" w:type="dxa"/>
            <w:noWrap/>
            <w:vAlign w:val="center"/>
            <w:hideMark/>
          </w:tcPr>
          <w:p w14:paraId="2263196E" w14:textId="77777777" w:rsidR="00514993" w:rsidRPr="00615210"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w:t>
            </w:r>
            <w:r>
              <w:rPr>
                <w:rFonts w:ascii="Calibri" w:eastAsia="Times New Roman" w:hAnsi="Calibri" w:cs="Calibri"/>
                <w:color w:val="000000"/>
              </w:rPr>
              <w:t>52</w:t>
            </w:r>
          </w:p>
        </w:tc>
      </w:tr>
      <w:tr w:rsidR="00514993" w:rsidRPr="00615210" w14:paraId="31561F0C" w14:textId="77777777" w:rsidTr="006006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tcPr>
          <w:p w14:paraId="1B6AFD8D" w14:textId="77777777" w:rsidR="00514993" w:rsidRPr="00615210" w:rsidRDefault="00514993" w:rsidP="00600639">
            <w:pPr>
              <w:jc w:val="right"/>
              <w:rPr>
                <w:rFonts w:ascii="Calibri" w:eastAsia="Times New Roman" w:hAnsi="Calibri" w:cs="Calibri"/>
                <w:color w:val="000000"/>
              </w:rPr>
            </w:pPr>
            <w:bookmarkStart w:id="34" w:name="_Hlk5710179"/>
            <w:r>
              <w:rPr>
                <w:rFonts w:ascii="Calibri" w:eastAsia="Times New Roman" w:hAnsi="Calibri" w:cs="Calibri"/>
                <w:color w:val="000000"/>
              </w:rPr>
              <w:t>Rule of five</w:t>
            </w:r>
          </w:p>
        </w:tc>
        <w:tc>
          <w:tcPr>
            <w:tcW w:w="1296" w:type="dxa"/>
            <w:noWrap/>
            <w:vAlign w:val="center"/>
          </w:tcPr>
          <w:p w14:paraId="728DBE98" w14:textId="77777777" w:rsidR="00514993" w:rsidRPr="00615210"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3957">
              <w:rPr>
                <w:rFonts w:ascii="Calibri" w:eastAsia="Times New Roman" w:hAnsi="Calibri" w:cs="Calibri"/>
                <w:color w:val="000000"/>
              </w:rPr>
              <w:t>0.5</w:t>
            </w:r>
            <w:r>
              <w:rPr>
                <w:rFonts w:ascii="Calibri" w:eastAsia="Times New Roman" w:hAnsi="Calibri" w:cs="Calibri"/>
                <w:color w:val="000000"/>
              </w:rPr>
              <w:t>1</w:t>
            </w:r>
          </w:p>
        </w:tc>
        <w:tc>
          <w:tcPr>
            <w:tcW w:w="1296" w:type="dxa"/>
            <w:noWrap/>
            <w:vAlign w:val="center"/>
          </w:tcPr>
          <w:p w14:paraId="42D5CC26" w14:textId="77777777" w:rsidR="00514993" w:rsidRPr="00615210"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0.46</w:t>
            </w:r>
          </w:p>
        </w:tc>
        <w:tc>
          <w:tcPr>
            <w:tcW w:w="1296" w:type="dxa"/>
            <w:noWrap/>
            <w:vAlign w:val="center"/>
          </w:tcPr>
          <w:p w14:paraId="1F059C42" w14:textId="77777777" w:rsidR="00514993" w:rsidRPr="00615210"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0.48</w:t>
            </w:r>
          </w:p>
        </w:tc>
        <w:tc>
          <w:tcPr>
            <w:tcW w:w="1296" w:type="dxa"/>
            <w:noWrap/>
            <w:vAlign w:val="center"/>
          </w:tcPr>
          <w:p w14:paraId="35484A46" w14:textId="77777777" w:rsidR="00514993" w:rsidRPr="00615210"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r>
      <w:bookmarkEnd w:id="34"/>
    </w:tbl>
    <w:p w14:paraId="4FF1CB00" w14:textId="77777777" w:rsidR="00514993" w:rsidRPr="00342EF1" w:rsidRDefault="00514993" w:rsidP="00514993">
      <w:pPr>
        <w:spacing w:line="276" w:lineRule="auto"/>
        <w:rPr>
          <w:sz w:val="2"/>
        </w:rPr>
      </w:pPr>
    </w:p>
    <w:tbl>
      <w:tblPr>
        <w:tblStyle w:val="PlainTable3"/>
        <w:tblW w:w="8352" w:type="dxa"/>
        <w:jc w:val="center"/>
        <w:tblLook w:val="04A0" w:firstRow="1" w:lastRow="0" w:firstColumn="1" w:lastColumn="0" w:noHBand="0" w:noVBand="1"/>
      </w:tblPr>
      <w:tblGrid>
        <w:gridCol w:w="3168"/>
        <w:gridCol w:w="1296"/>
        <w:gridCol w:w="1296"/>
        <w:gridCol w:w="1296"/>
        <w:gridCol w:w="1296"/>
      </w:tblGrid>
      <w:tr w:rsidR="00514993" w:rsidRPr="00A65B16" w14:paraId="11C0BFFC" w14:textId="77777777" w:rsidTr="0060063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3168" w:type="dxa"/>
            <w:noWrap/>
            <w:vAlign w:val="center"/>
            <w:hideMark/>
          </w:tcPr>
          <w:p w14:paraId="0A05AF52" w14:textId="77777777" w:rsidR="00514993" w:rsidRPr="00A65B16" w:rsidRDefault="00514993" w:rsidP="00600639">
            <w:pPr>
              <w:jc w:val="center"/>
              <w:rPr>
                <w:rFonts w:ascii="Calibri" w:eastAsia="Times New Roman" w:hAnsi="Calibri" w:cs="Calibri"/>
                <w:color w:val="000000"/>
              </w:rPr>
            </w:pPr>
            <w:r w:rsidRPr="00A65B16">
              <w:rPr>
                <w:rFonts w:ascii="Calibri" w:eastAsia="Times New Roman" w:hAnsi="Calibri" w:cs="Calibri"/>
                <w:color w:val="000000"/>
              </w:rPr>
              <w:t>Approved vs. Withdrawn</w:t>
            </w:r>
          </w:p>
        </w:tc>
        <w:tc>
          <w:tcPr>
            <w:tcW w:w="1296" w:type="dxa"/>
            <w:noWrap/>
            <w:vAlign w:val="center"/>
            <w:hideMark/>
          </w:tcPr>
          <w:p w14:paraId="17239AFB" w14:textId="77777777" w:rsidR="00514993" w:rsidRPr="00A65B16" w:rsidRDefault="00514993" w:rsidP="0060063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Precision</w:t>
            </w:r>
          </w:p>
        </w:tc>
        <w:tc>
          <w:tcPr>
            <w:tcW w:w="1296" w:type="dxa"/>
            <w:noWrap/>
            <w:vAlign w:val="center"/>
            <w:hideMark/>
          </w:tcPr>
          <w:p w14:paraId="4BFD5FE2" w14:textId="77777777" w:rsidR="00514993" w:rsidRPr="00A65B16" w:rsidRDefault="00514993" w:rsidP="0060063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Recall</w:t>
            </w:r>
          </w:p>
        </w:tc>
        <w:tc>
          <w:tcPr>
            <w:tcW w:w="1296" w:type="dxa"/>
            <w:noWrap/>
            <w:vAlign w:val="center"/>
            <w:hideMark/>
          </w:tcPr>
          <w:p w14:paraId="52542CA1" w14:textId="77777777" w:rsidR="00514993" w:rsidRPr="00A65B16" w:rsidRDefault="00514993" w:rsidP="0060063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F1</w:t>
            </w:r>
          </w:p>
        </w:tc>
        <w:tc>
          <w:tcPr>
            <w:tcW w:w="1296" w:type="dxa"/>
            <w:noWrap/>
            <w:vAlign w:val="center"/>
            <w:hideMark/>
          </w:tcPr>
          <w:p w14:paraId="0240F9EE" w14:textId="77777777" w:rsidR="00514993" w:rsidRPr="00A65B16" w:rsidRDefault="00514993" w:rsidP="0060063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Kappa</w:t>
            </w:r>
          </w:p>
        </w:tc>
      </w:tr>
      <w:tr w:rsidR="00514993" w:rsidRPr="00A65B16" w14:paraId="391B00E3" w14:textId="77777777" w:rsidTr="006006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hideMark/>
          </w:tcPr>
          <w:p w14:paraId="2A91D395" w14:textId="77777777" w:rsidR="00514993" w:rsidRPr="00A65B16" w:rsidRDefault="00514993" w:rsidP="00600639">
            <w:pPr>
              <w:jc w:val="right"/>
              <w:rPr>
                <w:rFonts w:ascii="Calibri" w:eastAsia="Times New Roman" w:hAnsi="Calibri" w:cs="Calibri"/>
                <w:color w:val="000000"/>
              </w:rPr>
            </w:pPr>
            <w:r w:rsidRPr="00A65B16">
              <w:rPr>
                <w:rFonts w:ascii="Calibri" w:eastAsia="Times New Roman" w:hAnsi="Calibri" w:cs="Calibri"/>
                <w:color w:val="000000"/>
              </w:rPr>
              <w:t>Logistic Regression</w:t>
            </w:r>
          </w:p>
        </w:tc>
        <w:tc>
          <w:tcPr>
            <w:tcW w:w="1296" w:type="dxa"/>
            <w:noWrap/>
            <w:vAlign w:val="center"/>
            <w:hideMark/>
          </w:tcPr>
          <w:p w14:paraId="376ECBFA" w14:textId="77777777" w:rsidR="00514993" w:rsidRPr="00A65B16"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0.60</w:t>
            </w:r>
          </w:p>
        </w:tc>
        <w:tc>
          <w:tcPr>
            <w:tcW w:w="1296" w:type="dxa"/>
            <w:noWrap/>
            <w:vAlign w:val="center"/>
            <w:hideMark/>
          </w:tcPr>
          <w:p w14:paraId="30940F49" w14:textId="77777777" w:rsidR="00514993" w:rsidRPr="00A65B16"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0.46</w:t>
            </w:r>
          </w:p>
        </w:tc>
        <w:tc>
          <w:tcPr>
            <w:tcW w:w="1296" w:type="dxa"/>
            <w:noWrap/>
            <w:vAlign w:val="center"/>
            <w:hideMark/>
          </w:tcPr>
          <w:p w14:paraId="3B1B38B7" w14:textId="77777777" w:rsidR="00514993" w:rsidRPr="00A65B16"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0.52</w:t>
            </w:r>
          </w:p>
        </w:tc>
        <w:tc>
          <w:tcPr>
            <w:tcW w:w="1296" w:type="dxa"/>
            <w:noWrap/>
            <w:vAlign w:val="center"/>
            <w:hideMark/>
          </w:tcPr>
          <w:p w14:paraId="1E5B8C1D" w14:textId="77777777" w:rsidR="00514993" w:rsidRPr="00A65B16"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0.15</w:t>
            </w:r>
          </w:p>
        </w:tc>
      </w:tr>
      <w:tr w:rsidR="00514993" w:rsidRPr="00A65B16" w14:paraId="286E53F8" w14:textId="77777777" w:rsidTr="00600639">
        <w:trPr>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hideMark/>
          </w:tcPr>
          <w:p w14:paraId="5BFDE1D3" w14:textId="77777777" w:rsidR="00514993" w:rsidRPr="00A65B16" w:rsidRDefault="00514993" w:rsidP="00600639">
            <w:pPr>
              <w:jc w:val="right"/>
              <w:rPr>
                <w:rFonts w:ascii="Calibri" w:eastAsia="Times New Roman" w:hAnsi="Calibri" w:cs="Calibri"/>
                <w:color w:val="000000"/>
              </w:rPr>
            </w:pPr>
            <w:r w:rsidRPr="00A65B16">
              <w:rPr>
                <w:rFonts w:ascii="Calibri" w:eastAsia="Times New Roman" w:hAnsi="Calibri" w:cs="Calibri"/>
                <w:color w:val="000000"/>
              </w:rPr>
              <w:t>Support Vector Machine</w:t>
            </w:r>
          </w:p>
        </w:tc>
        <w:tc>
          <w:tcPr>
            <w:tcW w:w="1296" w:type="dxa"/>
            <w:noWrap/>
            <w:vAlign w:val="center"/>
            <w:hideMark/>
          </w:tcPr>
          <w:p w14:paraId="35CD41EE" w14:textId="77777777" w:rsidR="00514993" w:rsidRPr="00A65B16"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A65B16">
              <w:rPr>
                <w:rFonts w:ascii="Calibri" w:eastAsia="Times New Roman" w:hAnsi="Calibri" w:cs="Calibri"/>
                <w:b/>
                <w:color w:val="000000"/>
              </w:rPr>
              <w:t>0.6</w:t>
            </w:r>
            <w:r>
              <w:rPr>
                <w:rFonts w:ascii="Calibri" w:eastAsia="Times New Roman" w:hAnsi="Calibri" w:cs="Calibri"/>
                <w:b/>
                <w:color w:val="000000"/>
              </w:rPr>
              <w:t>8</w:t>
            </w:r>
          </w:p>
        </w:tc>
        <w:tc>
          <w:tcPr>
            <w:tcW w:w="1296" w:type="dxa"/>
            <w:noWrap/>
            <w:vAlign w:val="center"/>
            <w:hideMark/>
          </w:tcPr>
          <w:p w14:paraId="1E671EFB" w14:textId="77777777" w:rsidR="00514993" w:rsidRPr="00A65B16"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A65B16">
              <w:rPr>
                <w:rFonts w:ascii="Calibri" w:eastAsia="Times New Roman" w:hAnsi="Calibri" w:cs="Calibri"/>
                <w:b/>
                <w:color w:val="000000"/>
              </w:rPr>
              <w:t>0.59</w:t>
            </w:r>
          </w:p>
        </w:tc>
        <w:tc>
          <w:tcPr>
            <w:tcW w:w="1296" w:type="dxa"/>
            <w:noWrap/>
            <w:vAlign w:val="center"/>
            <w:hideMark/>
          </w:tcPr>
          <w:p w14:paraId="751C3CA7" w14:textId="77777777" w:rsidR="00514993" w:rsidRPr="00A65B16"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A65B16">
              <w:rPr>
                <w:rFonts w:ascii="Calibri" w:eastAsia="Times New Roman" w:hAnsi="Calibri" w:cs="Calibri"/>
                <w:b/>
                <w:color w:val="000000"/>
              </w:rPr>
              <w:t>0.6</w:t>
            </w:r>
            <w:r>
              <w:rPr>
                <w:rFonts w:ascii="Calibri" w:eastAsia="Times New Roman" w:hAnsi="Calibri" w:cs="Calibri"/>
                <w:b/>
                <w:color w:val="000000"/>
              </w:rPr>
              <w:t>3</w:t>
            </w:r>
          </w:p>
        </w:tc>
        <w:tc>
          <w:tcPr>
            <w:tcW w:w="1296" w:type="dxa"/>
            <w:noWrap/>
            <w:vAlign w:val="center"/>
            <w:hideMark/>
          </w:tcPr>
          <w:p w14:paraId="574FB8B8" w14:textId="77777777" w:rsidR="00514993" w:rsidRPr="00A65B16"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A65B16">
              <w:rPr>
                <w:rFonts w:ascii="Calibri" w:eastAsia="Times New Roman" w:hAnsi="Calibri" w:cs="Calibri"/>
                <w:b/>
                <w:color w:val="000000"/>
              </w:rPr>
              <w:t>0.3</w:t>
            </w:r>
            <w:r>
              <w:rPr>
                <w:rFonts w:ascii="Calibri" w:eastAsia="Times New Roman" w:hAnsi="Calibri" w:cs="Calibri"/>
                <w:b/>
                <w:color w:val="000000"/>
              </w:rPr>
              <w:t>0</w:t>
            </w:r>
          </w:p>
        </w:tc>
      </w:tr>
      <w:tr w:rsidR="00514993" w:rsidRPr="00A65B16" w14:paraId="6DDA0CD8" w14:textId="77777777" w:rsidTr="006006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hideMark/>
          </w:tcPr>
          <w:p w14:paraId="2B9824DD" w14:textId="77777777" w:rsidR="00514993" w:rsidRPr="00A65B16" w:rsidRDefault="00514993" w:rsidP="00600639">
            <w:pPr>
              <w:jc w:val="right"/>
              <w:rPr>
                <w:rFonts w:ascii="Calibri" w:eastAsia="Times New Roman" w:hAnsi="Calibri" w:cs="Calibri"/>
                <w:color w:val="000000"/>
              </w:rPr>
            </w:pPr>
            <w:r w:rsidRPr="00A65B16">
              <w:rPr>
                <w:rFonts w:ascii="Calibri" w:eastAsia="Times New Roman" w:hAnsi="Calibri" w:cs="Calibri"/>
                <w:color w:val="000000"/>
              </w:rPr>
              <w:t>Random Forest</w:t>
            </w:r>
          </w:p>
        </w:tc>
        <w:tc>
          <w:tcPr>
            <w:tcW w:w="1296" w:type="dxa"/>
            <w:noWrap/>
            <w:vAlign w:val="center"/>
            <w:hideMark/>
          </w:tcPr>
          <w:p w14:paraId="06CB0EFA" w14:textId="77777777" w:rsidR="00514993" w:rsidRPr="00420895"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420895">
              <w:rPr>
                <w:rFonts w:ascii="Calibri" w:eastAsia="Times New Roman" w:hAnsi="Calibri" w:cs="Calibri"/>
                <w:b/>
                <w:color w:val="000000"/>
              </w:rPr>
              <w:t>0.68</w:t>
            </w:r>
          </w:p>
        </w:tc>
        <w:tc>
          <w:tcPr>
            <w:tcW w:w="1296" w:type="dxa"/>
            <w:noWrap/>
            <w:vAlign w:val="center"/>
            <w:hideMark/>
          </w:tcPr>
          <w:p w14:paraId="370A3462" w14:textId="77777777" w:rsidR="00514993" w:rsidRPr="00420895"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420895">
              <w:rPr>
                <w:rFonts w:ascii="Calibri" w:eastAsia="Times New Roman" w:hAnsi="Calibri" w:cs="Calibri"/>
                <w:b/>
                <w:color w:val="000000"/>
              </w:rPr>
              <w:t>0.59</w:t>
            </w:r>
          </w:p>
        </w:tc>
        <w:tc>
          <w:tcPr>
            <w:tcW w:w="1296" w:type="dxa"/>
            <w:noWrap/>
            <w:vAlign w:val="center"/>
            <w:hideMark/>
          </w:tcPr>
          <w:p w14:paraId="1D8869D9" w14:textId="77777777" w:rsidR="00514993" w:rsidRPr="00420895"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420895">
              <w:rPr>
                <w:rFonts w:ascii="Calibri" w:eastAsia="Times New Roman" w:hAnsi="Calibri" w:cs="Calibri"/>
                <w:b/>
                <w:color w:val="000000"/>
              </w:rPr>
              <w:t>0.63</w:t>
            </w:r>
          </w:p>
        </w:tc>
        <w:tc>
          <w:tcPr>
            <w:tcW w:w="1296" w:type="dxa"/>
            <w:noWrap/>
            <w:vAlign w:val="center"/>
            <w:hideMark/>
          </w:tcPr>
          <w:p w14:paraId="15515FEF" w14:textId="77777777" w:rsidR="00514993" w:rsidRPr="00420895"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420895">
              <w:rPr>
                <w:rFonts w:ascii="Calibri" w:eastAsia="Times New Roman" w:hAnsi="Calibri" w:cs="Calibri"/>
                <w:b/>
                <w:color w:val="000000"/>
              </w:rPr>
              <w:t>0.30</w:t>
            </w:r>
          </w:p>
        </w:tc>
      </w:tr>
      <w:tr w:rsidR="00514993" w:rsidRPr="00A65B16" w14:paraId="470CDA32" w14:textId="77777777" w:rsidTr="00600639">
        <w:trPr>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hideMark/>
          </w:tcPr>
          <w:p w14:paraId="612B9D13" w14:textId="77777777" w:rsidR="00514993" w:rsidRPr="00A65B16" w:rsidRDefault="00514993" w:rsidP="00600639">
            <w:pPr>
              <w:jc w:val="right"/>
              <w:rPr>
                <w:rFonts w:ascii="Calibri" w:eastAsia="Times New Roman" w:hAnsi="Calibri" w:cs="Calibri"/>
                <w:color w:val="000000"/>
              </w:rPr>
            </w:pPr>
            <w:r w:rsidRPr="00A65B16">
              <w:rPr>
                <w:rFonts w:ascii="Calibri" w:eastAsia="Times New Roman" w:hAnsi="Calibri" w:cs="Calibri"/>
                <w:color w:val="000000"/>
              </w:rPr>
              <w:t xml:space="preserve">Multilayer Perceptron </w:t>
            </w:r>
          </w:p>
        </w:tc>
        <w:tc>
          <w:tcPr>
            <w:tcW w:w="1296" w:type="dxa"/>
            <w:noWrap/>
            <w:vAlign w:val="center"/>
            <w:hideMark/>
          </w:tcPr>
          <w:p w14:paraId="6135BD3D" w14:textId="77777777" w:rsidR="00514993" w:rsidRPr="00A65B16"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0.5</w:t>
            </w:r>
            <w:r>
              <w:rPr>
                <w:rFonts w:ascii="Calibri" w:eastAsia="Times New Roman" w:hAnsi="Calibri" w:cs="Calibri"/>
                <w:color w:val="000000"/>
              </w:rPr>
              <w:t>0</w:t>
            </w:r>
          </w:p>
        </w:tc>
        <w:tc>
          <w:tcPr>
            <w:tcW w:w="1296" w:type="dxa"/>
            <w:noWrap/>
            <w:vAlign w:val="center"/>
            <w:hideMark/>
          </w:tcPr>
          <w:p w14:paraId="65A9B71B" w14:textId="77777777" w:rsidR="00514993" w:rsidRPr="00A65B16"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1.00</w:t>
            </w:r>
          </w:p>
        </w:tc>
        <w:tc>
          <w:tcPr>
            <w:tcW w:w="1296" w:type="dxa"/>
            <w:noWrap/>
            <w:vAlign w:val="center"/>
            <w:hideMark/>
          </w:tcPr>
          <w:p w14:paraId="3AE280DE" w14:textId="77777777" w:rsidR="00514993" w:rsidRPr="00A65B16"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0.</w:t>
            </w:r>
            <w:r>
              <w:rPr>
                <w:rFonts w:ascii="Calibri" w:eastAsia="Times New Roman" w:hAnsi="Calibri" w:cs="Calibri"/>
                <w:color w:val="000000"/>
              </w:rPr>
              <w:t>67</w:t>
            </w:r>
          </w:p>
        </w:tc>
        <w:tc>
          <w:tcPr>
            <w:tcW w:w="1296" w:type="dxa"/>
            <w:noWrap/>
            <w:vAlign w:val="center"/>
            <w:hideMark/>
          </w:tcPr>
          <w:p w14:paraId="1E769A5E" w14:textId="77777777" w:rsidR="00514993" w:rsidRPr="00A65B16"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0.00</w:t>
            </w:r>
          </w:p>
        </w:tc>
      </w:tr>
      <w:tr w:rsidR="00514993" w:rsidRPr="00A65B16" w14:paraId="17B599E4" w14:textId="77777777" w:rsidTr="006006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tcPr>
          <w:p w14:paraId="531B8608" w14:textId="77777777" w:rsidR="00514993" w:rsidRPr="00A65B16" w:rsidRDefault="00514993" w:rsidP="00600639">
            <w:pPr>
              <w:jc w:val="right"/>
              <w:rPr>
                <w:rFonts w:ascii="Calibri" w:eastAsia="Times New Roman" w:hAnsi="Calibri" w:cs="Calibri"/>
                <w:color w:val="000000"/>
              </w:rPr>
            </w:pPr>
            <w:r>
              <w:rPr>
                <w:rFonts w:ascii="Calibri" w:eastAsia="Times New Roman" w:hAnsi="Calibri" w:cs="Calibri"/>
                <w:color w:val="000000"/>
              </w:rPr>
              <w:t>rule of five</w:t>
            </w:r>
          </w:p>
        </w:tc>
        <w:tc>
          <w:tcPr>
            <w:tcW w:w="1296" w:type="dxa"/>
            <w:noWrap/>
            <w:vAlign w:val="center"/>
          </w:tcPr>
          <w:p w14:paraId="61F1C0E3" w14:textId="77777777" w:rsidR="00514993" w:rsidRPr="00A65B16"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0.51</w:t>
            </w:r>
          </w:p>
        </w:tc>
        <w:tc>
          <w:tcPr>
            <w:tcW w:w="1296" w:type="dxa"/>
            <w:noWrap/>
            <w:vAlign w:val="center"/>
          </w:tcPr>
          <w:p w14:paraId="1281B875" w14:textId="77777777" w:rsidR="00514993" w:rsidRPr="00A65B16"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0.48</w:t>
            </w:r>
          </w:p>
        </w:tc>
        <w:tc>
          <w:tcPr>
            <w:tcW w:w="1296" w:type="dxa"/>
            <w:noWrap/>
            <w:vAlign w:val="center"/>
          </w:tcPr>
          <w:p w14:paraId="158E1AE0" w14:textId="77777777" w:rsidR="00514993" w:rsidRPr="00A65B16"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0.49</w:t>
            </w:r>
          </w:p>
        </w:tc>
        <w:tc>
          <w:tcPr>
            <w:tcW w:w="1296" w:type="dxa"/>
            <w:noWrap/>
            <w:vAlign w:val="center"/>
          </w:tcPr>
          <w:p w14:paraId="07A9C9F6" w14:textId="77777777" w:rsidR="00514993" w:rsidRPr="00A65B16"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r>
    </w:tbl>
    <w:p w14:paraId="29C23FD8" w14:textId="77777777" w:rsidR="00514993" w:rsidRDefault="00514993" w:rsidP="00624E8E">
      <w:pPr>
        <w:spacing w:line="276" w:lineRule="auto"/>
      </w:pPr>
    </w:p>
    <w:sectPr w:rsidR="00514993" w:rsidSect="00446C8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68723" w14:textId="77777777" w:rsidR="00B03D8D" w:rsidRDefault="00B03D8D" w:rsidP="00E92BA0">
      <w:pPr>
        <w:spacing w:after="0" w:line="240" w:lineRule="auto"/>
      </w:pPr>
      <w:r>
        <w:separator/>
      </w:r>
    </w:p>
  </w:endnote>
  <w:endnote w:type="continuationSeparator" w:id="0">
    <w:p w14:paraId="3287263F" w14:textId="77777777" w:rsidR="00B03D8D" w:rsidRDefault="00B03D8D" w:rsidP="00E92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404721"/>
      <w:docPartObj>
        <w:docPartGallery w:val="Page Numbers (Bottom of Page)"/>
        <w:docPartUnique/>
      </w:docPartObj>
    </w:sdtPr>
    <w:sdtEndPr/>
    <w:sdtContent>
      <w:sdt>
        <w:sdtPr>
          <w:id w:val="-1769616900"/>
          <w:docPartObj>
            <w:docPartGallery w:val="Page Numbers (Top of Page)"/>
            <w:docPartUnique/>
          </w:docPartObj>
        </w:sdtPr>
        <w:sdtEndPr/>
        <w:sdtContent>
          <w:p w14:paraId="7474DC54" w14:textId="77777777" w:rsidR="00F963B4" w:rsidRDefault="00F963B4" w:rsidP="00F963B4">
            <w:pPr>
              <w:pStyle w:val="Footer"/>
              <w:jc w:val="right"/>
            </w:pPr>
          </w:p>
          <w:p w14:paraId="0B072848" w14:textId="6DA8814A" w:rsidR="00E92BA0" w:rsidRDefault="00F963B4" w:rsidP="00F963B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866FC" w14:textId="77777777" w:rsidR="00B03D8D" w:rsidRDefault="00B03D8D" w:rsidP="00E92BA0">
      <w:pPr>
        <w:spacing w:after="0" w:line="240" w:lineRule="auto"/>
      </w:pPr>
      <w:r>
        <w:separator/>
      </w:r>
    </w:p>
  </w:footnote>
  <w:footnote w:type="continuationSeparator" w:id="0">
    <w:p w14:paraId="4CADC3BD" w14:textId="77777777" w:rsidR="00B03D8D" w:rsidRDefault="00B03D8D" w:rsidP="00E92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20862"/>
    <w:multiLevelType w:val="hybridMultilevel"/>
    <w:tmpl w:val="B7561612"/>
    <w:lvl w:ilvl="0" w:tplc="F5BE0FB4">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3C9"/>
    <w:rsid w:val="00002D68"/>
    <w:rsid w:val="00004408"/>
    <w:rsid w:val="00006321"/>
    <w:rsid w:val="00006D82"/>
    <w:rsid w:val="000127B7"/>
    <w:rsid w:val="00021050"/>
    <w:rsid w:val="00025F95"/>
    <w:rsid w:val="000326FF"/>
    <w:rsid w:val="00034E1D"/>
    <w:rsid w:val="0005019A"/>
    <w:rsid w:val="00055889"/>
    <w:rsid w:val="00060A53"/>
    <w:rsid w:val="00067E73"/>
    <w:rsid w:val="000700F4"/>
    <w:rsid w:val="00076A78"/>
    <w:rsid w:val="00080A84"/>
    <w:rsid w:val="00082190"/>
    <w:rsid w:val="000A0771"/>
    <w:rsid w:val="000A24ED"/>
    <w:rsid w:val="000A32D7"/>
    <w:rsid w:val="000B0071"/>
    <w:rsid w:val="000B1A28"/>
    <w:rsid w:val="000E5F82"/>
    <w:rsid w:val="00102300"/>
    <w:rsid w:val="001058C2"/>
    <w:rsid w:val="00111BFE"/>
    <w:rsid w:val="00116192"/>
    <w:rsid w:val="00132A4C"/>
    <w:rsid w:val="001359A7"/>
    <w:rsid w:val="00135AEB"/>
    <w:rsid w:val="0014123E"/>
    <w:rsid w:val="00154199"/>
    <w:rsid w:val="001544B9"/>
    <w:rsid w:val="00154A09"/>
    <w:rsid w:val="00156252"/>
    <w:rsid w:val="00166B0E"/>
    <w:rsid w:val="00171C8E"/>
    <w:rsid w:val="00173696"/>
    <w:rsid w:val="00173830"/>
    <w:rsid w:val="0018346D"/>
    <w:rsid w:val="001860DF"/>
    <w:rsid w:val="00194625"/>
    <w:rsid w:val="001A2639"/>
    <w:rsid w:val="001A2D58"/>
    <w:rsid w:val="001B0F5F"/>
    <w:rsid w:val="001B5F8E"/>
    <w:rsid w:val="001B7463"/>
    <w:rsid w:val="001B7F19"/>
    <w:rsid w:val="001C02C6"/>
    <w:rsid w:val="001C0AD6"/>
    <w:rsid w:val="001C174E"/>
    <w:rsid w:val="001C36C1"/>
    <w:rsid w:val="001D231F"/>
    <w:rsid w:val="001D23AE"/>
    <w:rsid w:val="001D6A2C"/>
    <w:rsid w:val="001E063D"/>
    <w:rsid w:val="001E5295"/>
    <w:rsid w:val="001F091D"/>
    <w:rsid w:val="001F150E"/>
    <w:rsid w:val="001F20F1"/>
    <w:rsid w:val="00200FD6"/>
    <w:rsid w:val="00204A2B"/>
    <w:rsid w:val="00210CA0"/>
    <w:rsid w:val="00216E2D"/>
    <w:rsid w:val="0022001C"/>
    <w:rsid w:val="00221DE4"/>
    <w:rsid w:val="002347DB"/>
    <w:rsid w:val="00241953"/>
    <w:rsid w:val="002423FE"/>
    <w:rsid w:val="00244388"/>
    <w:rsid w:val="00246305"/>
    <w:rsid w:val="00265A92"/>
    <w:rsid w:val="00267B72"/>
    <w:rsid w:val="00273610"/>
    <w:rsid w:val="00274397"/>
    <w:rsid w:val="00275112"/>
    <w:rsid w:val="00275EE9"/>
    <w:rsid w:val="00287621"/>
    <w:rsid w:val="00291427"/>
    <w:rsid w:val="00293489"/>
    <w:rsid w:val="002974FC"/>
    <w:rsid w:val="002A0528"/>
    <w:rsid w:val="002A0BC3"/>
    <w:rsid w:val="002A0C75"/>
    <w:rsid w:val="002A2C9A"/>
    <w:rsid w:val="002A36B6"/>
    <w:rsid w:val="002A4AD1"/>
    <w:rsid w:val="002B2B50"/>
    <w:rsid w:val="002B32FD"/>
    <w:rsid w:val="002B5E21"/>
    <w:rsid w:val="002B7B3E"/>
    <w:rsid w:val="002B7D6D"/>
    <w:rsid w:val="002C2014"/>
    <w:rsid w:val="002C2824"/>
    <w:rsid w:val="002C423A"/>
    <w:rsid w:val="002C6F1E"/>
    <w:rsid w:val="002E3165"/>
    <w:rsid w:val="002F1124"/>
    <w:rsid w:val="002F6674"/>
    <w:rsid w:val="003008DE"/>
    <w:rsid w:val="0031056C"/>
    <w:rsid w:val="003157D1"/>
    <w:rsid w:val="00315819"/>
    <w:rsid w:val="003216B1"/>
    <w:rsid w:val="003220E5"/>
    <w:rsid w:val="00322140"/>
    <w:rsid w:val="0033092C"/>
    <w:rsid w:val="00330F00"/>
    <w:rsid w:val="00334302"/>
    <w:rsid w:val="00340E43"/>
    <w:rsid w:val="00342B2B"/>
    <w:rsid w:val="00342EF1"/>
    <w:rsid w:val="00354AEA"/>
    <w:rsid w:val="00355F7C"/>
    <w:rsid w:val="003560E2"/>
    <w:rsid w:val="0036271E"/>
    <w:rsid w:val="003653C7"/>
    <w:rsid w:val="00366B7D"/>
    <w:rsid w:val="00367A9B"/>
    <w:rsid w:val="00370CAF"/>
    <w:rsid w:val="00370F07"/>
    <w:rsid w:val="0038062F"/>
    <w:rsid w:val="00386ADB"/>
    <w:rsid w:val="00394D24"/>
    <w:rsid w:val="00395330"/>
    <w:rsid w:val="00395719"/>
    <w:rsid w:val="003963EB"/>
    <w:rsid w:val="003A591C"/>
    <w:rsid w:val="003A6F5C"/>
    <w:rsid w:val="003A7864"/>
    <w:rsid w:val="003B4246"/>
    <w:rsid w:val="003C3B47"/>
    <w:rsid w:val="003C7D39"/>
    <w:rsid w:val="003D0602"/>
    <w:rsid w:val="003D6656"/>
    <w:rsid w:val="003E00C6"/>
    <w:rsid w:val="003E23C4"/>
    <w:rsid w:val="003E52DF"/>
    <w:rsid w:val="003E66B2"/>
    <w:rsid w:val="003E6A8A"/>
    <w:rsid w:val="003F1080"/>
    <w:rsid w:val="003F15ED"/>
    <w:rsid w:val="003F2652"/>
    <w:rsid w:val="003F5A58"/>
    <w:rsid w:val="003F77E5"/>
    <w:rsid w:val="003F7D2A"/>
    <w:rsid w:val="00406E04"/>
    <w:rsid w:val="0040794B"/>
    <w:rsid w:val="0041025E"/>
    <w:rsid w:val="00413AFE"/>
    <w:rsid w:val="00416AD3"/>
    <w:rsid w:val="00416DCC"/>
    <w:rsid w:val="00417A82"/>
    <w:rsid w:val="00420695"/>
    <w:rsid w:val="00420895"/>
    <w:rsid w:val="00420B64"/>
    <w:rsid w:val="00422EF9"/>
    <w:rsid w:val="004309E7"/>
    <w:rsid w:val="004315F2"/>
    <w:rsid w:val="00434122"/>
    <w:rsid w:val="00435C6F"/>
    <w:rsid w:val="00443605"/>
    <w:rsid w:val="00444B07"/>
    <w:rsid w:val="00444B2D"/>
    <w:rsid w:val="004454A0"/>
    <w:rsid w:val="00446C81"/>
    <w:rsid w:val="00447D86"/>
    <w:rsid w:val="00460BA0"/>
    <w:rsid w:val="0046268F"/>
    <w:rsid w:val="004668CE"/>
    <w:rsid w:val="00475944"/>
    <w:rsid w:val="00476024"/>
    <w:rsid w:val="0047622A"/>
    <w:rsid w:val="00477DFA"/>
    <w:rsid w:val="004817F2"/>
    <w:rsid w:val="00481AFE"/>
    <w:rsid w:val="00484B02"/>
    <w:rsid w:val="0049115E"/>
    <w:rsid w:val="00491F98"/>
    <w:rsid w:val="00493894"/>
    <w:rsid w:val="004A06A1"/>
    <w:rsid w:val="004A69DC"/>
    <w:rsid w:val="004A6D44"/>
    <w:rsid w:val="004B084A"/>
    <w:rsid w:val="004B0B45"/>
    <w:rsid w:val="004C0BB2"/>
    <w:rsid w:val="004C2073"/>
    <w:rsid w:val="004C2926"/>
    <w:rsid w:val="004C4BFF"/>
    <w:rsid w:val="004C5E9B"/>
    <w:rsid w:val="004D0970"/>
    <w:rsid w:val="004D1B87"/>
    <w:rsid w:val="004D1DB6"/>
    <w:rsid w:val="004E4B09"/>
    <w:rsid w:val="004E5CC1"/>
    <w:rsid w:val="004E5FCB"/>
    <w:rsid w:val="004E6B05"/>
    <w:rsid w:val="004E7CCB"/>
    <w:rsid w:val="004F03C9"/>
    <w:rsid w:val="004F3421"/>
    <w:rsid w:val="005035A6"/>
    <w:rsid w:val="005057BB"/>
    <w:rsid w:val="00506F7F"/>
    <w:rsid w:val="005079FD"/>
    <w:rsid w:val="00510429"/>
    <w:rsid w:val="00512499"/>
    <w:rsid w:val="00514011"/>
    <w:rsid w:val="00514993"/>
    <w:rsid w:val="0052291B"/>
    <w:rsid w:val="0052627A"/>
    <w:rsid w:val="00536E2E"/>
    <w:rsid w:val="00547986"/>
    <w:rsid w:val="00556D03"/>
    <w:rsid w:val="00561A48"/>
    <w:rsid w:val="005755DA"/>
    <w:rsid w:val="005771AD"/>
    <w:rsid w:val="0058100A"/>
    <w:rsid w:val="00582DD2"/>
    <w:rsid w:val="005909EE"/>
    <w:rsid w:val="00593F56"/>
    <w:rsid w:val="005964A4"/>
    <w:rsid w:val="0059743D"/>
    <w:rsid w:val="005A2659"/>
    <w:rsid w:val="005A5525"/>
    <w:rsid w:val="005A7CA3"/>
    <w:rsid w:val="005B0774"/>
    <w:rsid w:val="005B36CE"/>
    <w:rsid w:val="005B44D3"/>
    <w:rsid w:val="005B60BF"/>
    <w:rsid w:val="005B6208"/>
    <w:rsid w:val="005C5199"/>
    <w:rsid w:val="005C530C"/>
    <w:rsid w:val="005C5752"/>
    <w:rsid w:val="005D0498"/>
    <w:rsid w:val="005D538C"/>
    <w:rsid w:val="005E0979"/>
    <w:rsid w:val="005E3281"/>
    <w:rsid w:val="005E6F96"/>
    <w:rsid w:val="005F4C2D"/>
    <w:rsid w:val="005F523A"/>
    <w:rsid w:val="005F62D8"/>
    <w:rsid w:val="005F7FAE"/>
    <w:rsid w:val="00600639"/>
    <w:rsid w:val="00602006"/>
    <w:rsid w:val="006022D4"/>
    <w:rsid w:val="00602F29"/>
    <w:rsid w:val="00615210"/>
    <w:rsid w:val="00622E09"/>
    <w:rsid w:val="00624E8E"/>
    <w:rsid w:val="006250C5"/>
    <w:rsid w:val="00625582"/>
    <w:rsid w:val="00626F22"/>
    <w:rsid w:val="00633735"/>
    <w:rsid w:val="006405F5"/>
    <w:rsid w:val="006416C9"/>
    <w:rsid w:val="0064290B"/>
    <w:rsid w:val="00651F9A"/>
    <w:rsid w:val="0065492E"/>
    <w:rsid w:val="00660714"/>
    <w:rsid w:val="00665F45"/>
    <w:rsid w:val="0067040B"/>
    <w:rsid w:val="006706F6"/>
    <w:rsid w:val="006711FF"/>
    <w:rsid w:val="006723B8"/>
    <w:rsid w:val="00673424"/>
    <w:rsid w:val="006773F9"/>
    <w:rsid w:val="00683304"/>
    <w:rsid w:val="00683C07"/>
    <w:rsid w:val="00684076"/>
    <w:rsid w:val="006916C2"/>
    <w:rsid w:val="00694D68"/>
    <w:rsid w:val="00697689"/>
    <w:rsid w:val="006A289F"/>
    <w:rsid w:val="006A4644"/>
    <w:rsid w:val="006B06FC"/>
    <w:rsid w:val="006B49C8"/>
    <w:rsid w:val="006C5146"/>
    <w:rsid w:val="006C717F"/>
    <w:rsid w:val="006D614D"/>
    <w:rsid w:val="006E3B73"/>
    <w:rsid w:val="006E3E34"/>
    <w:rsid w:val="006F20BD"/>
    <w:rsid w:val="006F279A"/>
    <w:rsid w:val="006F3494"/>
    <w:rsid w:val="006F4F36"/>
    <w:rsid w:val="00716BD8"/>
    <w:rsid w:val="00720993"/>
    <w:rsid w:val="007225F0"/>
    <w:rsid w:val="00724512"/>
    <w:rsid w:val="00724611"/>
    <w:rsid w:val="00734506"/>
    <w:rsid w:val="007417E7"/>
    <w:rsid w:val="00741F79"/>
    <w:rsid w:val="007443C1"/>
    <w:rsid w:val="007510AD"/>
    <w:rsid w:val="007531ED"/>
    <w:rsid w:val="00764229"/>
    <w:rsid w:val="00765CFF"/>
    <w:rsid w:val="0077331C"/>
    <w:rsid w:val="00776C1C"/>
    <w:rsid w:val="00782E1F"/>
    <w:rsid w:val="00782E5F"/>
    <w:rsid w:val="00783C04"/>
    <w:rsid w:val="00785B5C"/>
    <w:rsid w:val="007944BE"/>
    <w:rsid w:val="00794B06"/>
    <w:rsid w:val="00795F47"/>
    <w:rsid w:val="007A2F4C"/>
    <w:rsid w:val="007A6B46"/>
    <w:rsid w:val="007B027B"/>
    <w:rsid w:val="007B308B"/>
    <w:rsid w:val="007B3238"/>
    <w:rsid w:val="007B6DE6"/>
    <w:rsid w:val="007C43EE"/>
    <w:rsid w:val="007C53B3"/>
    <w:rsid w:val="007D252E"/>
    <w:rsid w:val="007E135E"/>
    <w:rsid w:val="007F2D54"/>
    <w:rsid w:val="007F38E2"/>
    <w:rsid w:val="00803DE0"/>
    <w:rsid w:val="008077E4"/>
    <w:rsid w:val="00811AD8"/>
    <w:rsid w:val="00817803"/>
    <w:rsid w:val="00822C2A"/>
    <w:rsid w:val="00823957"/>
    <w:rsid w:val="00831F8D"/>
    <w:rsid w:val="00841F4C"/>
    <w:rsid w:val="00846E0A"/>
    <w:rsid w:val="00847652"/>
    <w:rsid w:val="00854121"/>
    <w:rsid w:val="00855ED0"/>
    <w:rsid w:val="008569D9"/>
    <w:rsid w:val="0085769A"/>
    <w:rsid w:val="00861CEB"/>
    <w:rsid w:val="0086326C"/>
    <w:rsid w:val="00863D35"/>
    <w:rsid w:val="00872DEC"/>
    <w:rsid w:val="00877B2F"/>
    <w:rsid w:val="00881C9F"/>
    <w:rsid w:val="00885739"/>
    <w:rsid w:val="0088589C"/>
    <w:rsid w:val="008865D9"/>
    <w:rsid w:val="00893ABC"/>
    <w:rsid w:val="008B34C3"/>
    <w:rsid w:val="008B570A"/>
    <w:rsid w:val="008C21E1"/>
    <w:rsid w:val="008D41CB"/>
    <w:rsid w:val="008E0D91"/>
    <w:rsid w:val="008E5EA2"/>
    <w:rsid w:val="008E76CB"/>
    <w:rsid w:val="008E7F44"/>
    <w:rsid w:val="008F11A2"/>
    <w:rsid w:val="008F2116"/>
    <w:rsid w:val="008F2ACC"/>
    <w:rsid w:val="008F4B64"/>
    <w:rsid w:val="008F5995"/>
    <w:rsid w:val="008F7664"/>
    <w:rsid w:val="008F7F2C"/>
    <w:rsid w:val="00901528"/>
    <w:rsid w:val="00907E3F"/>
    <w:rsid w:val="00910CF6"/>
    <w:rsid w:val="00915130"/>
    <w:rsid w:val="0092218A"/>
    <w:rsid w:val="0092272F"/>
    <w:rsid w:val="00930D96"/>
    <w:rsid w:val="0093271C"/>
    <w:rsid w:val="009335F7"/>
    <w:rsid w:val="00935B55"/>
    <w:rsid w:val="009362BB"/>
    <w:rsid w:val="009367F6"/>
    <w:rsid w:val="00937AF8"/>
    <w:rsid w:val="00941CBD"/>
    <w:rsid w:val="009448B3"/>
    <w:rsid w:val="00946503"/>
    <w:rsid w:val="0094712D"/>
    <w:rsid w:val="00953057"/>
    <w:rsid w:val="0095777E"/>
    <w:rsid w:val="00960795"/>
    <w:rsid w:val="00961E01"/>
    <w:rsid w:val="00970F16"/>
    <w:rsid w:val="0097128E"/>
    <w:rsid w:val="00977CF8"/>
    <w:rsid w:val="00982625"/>
    <w:rsid w:val="009836D1"/>
    <w:rsid w:val="009853A6"/>
    <w:rsid w:val="00985D25"/>
    <w:rsid w:val="009865F5"/>
    <w:rsid w:val="0099197F"/>
    <w:rsid w:val="00992023"/>
    <w:rsid w:val="0099302A"/>
    <w:rsid w:val="00997C46"/>
    <w:rsid w:val="009A18E6"/>
    <w:rsid w:val="009A3AA7"/>
    <w:rsid w:val="009B0CDF"/>
    <w:rsid w:val="009B6092"/>
    <w:rsid w:val="009C1E4E"/>
    <w:rsid w:val="009C3667"/>
    <w:rsid w:val="009C6AFE"/>
    <w:rsid w:val="009D08CC"/>
    <w:rsid w:val="009D0B05"/>
    <w:rsid w:val="009D2751"/>
    <w:rsid w:val="009E28F0"/>
    <w:rsid w:val="009E3394"/>
    <w:rsid w:val="009E57CC"/>
    <w:rsid w:val="009F105D"/>
    <w:rsid w:val="009F671B"/>
    <w:rsid w:val="00A00CBC"/>
    <w:rsid w:val="00A01B5A"/>
    <w:rsid w:val="00A04FE0"/>
    <w:rsid w:val="00A10093"/>
    <w:rsid w:val="00A2019B"/>
    <w:rsid w:val="00A42DCB"/>
    <w:rsid w:val="00A434E4"/>
    <w:rsid w:val="00A50E39"/>
    <w:rsid w:val="00A5579F"/>
    <w:rsid w:val="00A56E8A"/>
    <w:rsid w:val="00A57414"/>
    <w:rsid w:val="00A61E36"/>
    <w:rsid w:val="00A63206"/>
    <w:rsid w:val="00A64041"/>
    <w:rsid w:val="00A64370"/>
    <w:rsid w:val="00A65B16"/>
    <w:rsid w:val="00A66793"/>
    <w:rsid w:val="00A70123"/>
    <w:rsid w:val="00A724D9"/>
    <w:rsid w:val="00A73C5B"/>
    <w:rsid w:val="00A740E3"/>
    <w:rsid w:val="00A929B3"/>
    <w:rsid w:val="00A95140"/>
    <w:rsid w:val="00A97074"/>
    <w:rsid w:val="00A978B1"/>
    <w:rsid w:val="00AA094C"/>
    <w:rsid w:val="00AA2126"/>
    <w:rsid w:val="00AA3C86"/>
    <w:rsid w:val="00AB064A"/>
    <w:rsid w:val="00AC0B69"/>
    <w:rsid w:val="00AC5B66"/>
    <w:rsid w:val="00AD0998"/>
    <w:rsid w:val="00AD3A29"/>
    <w:rsid w:val="00AE3BE5"/>
    <w:rsid w:val="00AE77C4"/>
    <w:rsid w:val="00AF1BA2"/>
    <w:rsid w:val="00AF2560"/>
    <w:rsid w:val="00AF62CF"/>
    <w:rsid w:val="00AF6CBB"/>
    <w:rsid w:val="00B03D8D"/>
    <w:rsid w:val="00B14C8A"/>
    <w:rsid w:val="00B17E44"/>
    <w:rsid w:val="00B24593"/>
    <w:rsid w:val="00B479A6"/>
    <w:rsid w:val="00B50B68"/>
    <w:rsid w:val="00B65B3E"/>
    <w:rsid w:val="00B7130C"/>
    <w:rsid w:val="00B74EFD"/>
    <w:rsid w:val="00B7665D"/>
    <w:rsid w:val="00B80EBA"/>
    <w:rsid w:val="00B8550B"/>
    <w:rsid w:val="00B85C97"/>
    <w:rsid w:val="00B86E3A"/>
    <w:rsid w:val="00B87883"/>
    <w:rsid w:val="00B92A4A"/>
    <w:rsid w:val="00B92E2A"/>
    <w:rsid w:val="00B954B6"/>
    <w:rsid w:val="00BA3D06"/>
    <w:rsid w:val="00BA6FCA"/>
    <w:rsid w:val="00BB1DEC"/>
    <w:rsid w:val="00BB6122"/>
    <w:rsid w:val="00BC4E94"/>
    <w:rsid w:val="00BC78FB"/>
    <w:rsid w:val="00BD1746"/>
    <w:rsid w:val="00BD2F9D"/>
    <w:rsid w:val="00BD5EED"/>
    <w:rsid w:val="00BD735E"/>
    <w:rsid w:val="00BE1C56"/>
    <w:rsid w:val="00BE5D70"/>
    <w:rsid w:val="00BF0D61"/>
    <w:rsid w:val="00BF221E"/>
    <w:rsid w:val="00BF55E0"/>
    <w:rsid w:val="00BF7625"/>
    <w:rsid w:val="00C004A2"/>
    <w:rsid w:val="00C10031"/>
    <w:rsid w:val="00C13E56"/>
    <w:rsid w:val="00C17355"/>
    <w:rsid w:val="00C30E91"/>
    <w:rsid w:val="00C3182E"/>
    <w:rsid w:val="00C34986"/>
    <w:rsid w:val="00C360C2"/>
    <w:rsid w:val="00C37EE6"/>
    <w:rsid w:val="00C5734E"/>
    <w:rsid w:val="00C925E2"/>
    <w:rsid w:val="00CA355D"/>
    <w:rsid w:val="00CA674E"/>
    <w:rsid w:val="00CA6C91"/>
    <w:rsid w:val="00CA71CE"/>
    <w:rsid w:val="00CB076A"/>
    <w:rsid w:val="00CB5C7D"/>
    <w:rsid w:val="00CB659F"/>
    <w:rsid w:val="00CC4030"/>
    <w:rsid w:val="00CC5A29"/>
    <w:rsid w:val="00CD0934"/>
    <w:rsid w:val="00CD0C94"/>
    <w:rsid w:val="00CD1D93"/>
    <w:rsid w:val="00CE0486"/>
    <w:rsid w:val="00CE0B73"/>
    <w:rsid w:val="00CE3003"/>
    <w:rsid w:val="00CE7E4B"/>
    <w:rsid w:val="00CF0655"/>
    <w:rsid w:val="00CF0CF2"/>
    <w:rsid w:val="00CF457D"/>
    <w:rsid w:val="00CF4C37"/>
    <w:rsid w:val="00D0453B"/>
    <w:rsid w:val="00D04F77"/>
    <w:rsid w:val="00D06916"/>
    <w:rsid w:val="00D0796C"/>
    <w:rsid w:val="00D1118C"/>
    <w:rsid w:val="00D15946"/>
    <w:rsid w:val="00D1684F"/>
    <w:rsid w:val="00D228A2"/>
    <w:rsid w:val="00D276EC"/>
    <w:rsid w:val="00D31122"/>
    <w:rsid w:val="00D37FF1"/>
    <w:rsid w:val="00D415FF"/>
    <w:rsid w:val="00D44746"/>
    <w:rsid w:val="00D44A68"/>
    <w:rsid w:val="00D51A8D"/>
    <w:rsid w:val="00D5745D"/>
    <w:rsid w:val="00D618E0"/>
    <w:rsid w:val="00D7224D"/>
    <w:rsid w:val="00D76B14"/>
    <w:rsid w:val="00D77E7D"/>
    <w:rsid w:val="00D805AB"/>
    <w:rsid w:val="00D838B5"/>
    <w:rsid w:val="00D838F4"/>
    <w:rsid w:val="00D85C66"/>
    <w:rsid w:val="00DB7B88"/>
    <w:rsid w:val="00DC0CC9"/>
    <w:rsid w:val="00DC767A"/>
    <w:rsid w:val="00DD04FE"/>
    <w:rsid w:val="00DD1475"/>
    <w:rsid w:val="00DD1A2B"/>
    <w:rsid w:val="00DD1EAB"/>
    <w:rsid w:val="00DD414F"/>
    <w:rsid w:val="00DD6B6E"/>
    <w:rsid w:val="00DE39B2"/>
    <w:rsid w:val="00DE5619"/>
    <w:rsid w:val="00DF058C"/>
    <w:rsid w:val="00DF213E"/>
    <w:rsid w:val="00DF407D"/>
    <w:rsid w:val="00E0210F"/>
    <w:rsid w:val="00E05674"/>
    <w:rsid w:val="00E1235A"/>
    <w:rsid w:val="00E203AE"/>
    <w:rsid w:val="00E21DB3"/>
    <w:rsid w:val="00E242C3"/>
    <w:rsid w:val="00E35613"/>
    <w:rsid w:val="00E414C2"/>
    <w:rsid w:val="00E43F97"/>
    <w:rsid w:val="00E46158"/>
    <w:rsid w:val="00E5033F"/>
    <w:rsid w:val="00E5230C"/>
    <w:rsid w:val="00E57A3A"/>
    <w:rsid w:val="00E62EDE"/>
    <w:rsid w:val="00E65A67"/>
    <w:rsid w:val="00E65EC9"/>
    <w:rsid w:val="00E762E2"/>
    <w:rsid w:val="00E77DDD"/>
    <w:rsid w:val="00E8071E"/>
    <w:rsid w:val="00E818D2"/>
    <w:rsid w:val="00E86603"/>
    <w:rsid w:val="00E92BA0"/>
    <w:rsid w:val="00E957CA"/>
    <w:rsid w:val="00E96F30"/>
    <w:rsid w:val="00E97CAC"/>
    <w:rsid w:val="00EB1658"/>
    <w:rsid w:val="00EB67A7"/>
    <w:rsid w:val="00ED6498"/>
    <w:rsid w:val="00ED6DB0"/>
    <w:rsid w:val="00EE2643"/>
    <w:rsid w:val="00EF6684"/>
    <w:rsid w:val="00EF7486"/>
    <w:rsid w:val="00F03DD9"/>
    <w:rsid w:val="00F04409"/>
    <w:rsid w:val="00F069C0"/>
    <w:rsid w:val="00F11EE7"/>
    <w:rsid w:val="00F1208C"/>
    <w:rsid w:val="00F12484"/>
    <w:rsid w:val="00F15408"/>
    <w:rsid w:val="00F21557"/>
    <w:rsid w:val="00F26299"/>
    <w:rsid w:val="00F31B45"/>
    <w:rsid w:val="00F36E82"/>
    <w:rsid w:val="00F45B6C"/>
    <w:rsid w:val="00F500A4"/>
    <w:rsid w:val="00F50440"/>
    <w:rsid w:val="00F5442A"/>
    <w:rsid w:val="00F5604E"/>
    <w:rsid w:val="00F568E9"/>
    <w:rsid w:val="00F62A91"/>
    <w:rsid w:val="00F62DED"/>
    <w:rsid w:val="00F663F9"/>
    <w:rsid w:val="00F6728B"/>
    <w:rsid w:val="00F7607A"/>
    <w:rsid w:val="00F832D7"/>
    <w:rsid w:val="00F834F7"/>
    <w:rsid w:val="00F84473"/>
    <w:rsid w:val="00F859EF"/>
    <w:rsid w:val="00F872B5"/>
    <w:rsid w:val="00F87F7D"/>
    <w:rsid w:val="00F938DB"/>
    <w:rsid w:val="00F93F45"/>
    <w:rsid w:val="00F93FBE"/>
    <w:rsid w:val="00F963B4"/>
    <w:rsid w:val="00FA1E6B"/>
    <w:rsid w:val="00FA40CD"/>
    <w:rsid w:val="00FA5033"/>
    <w:rsid w:val="00FA683E"/>
    <w:rsid w:val="00FB03EC"/>
    <w:rsid w:val="00FC60B3"/>
    <w:rsid w:val="00FD176B"/>
    <w:rsid w:val="00FD2740"/>
    <w:rsid w:val="00FD6EC5"/>
    <w:rsid w:val="00FE039E"/>
    <w:rsid w:val="00FE093B"/>
    <w:rsid w:val="00FE0C23"/>
    <w:rsid w:val="00FE134B"/>
    <w:rsid w:val="00FE2BD8"/>
    <w:rsid w:val="00FE4710"/>
    <w:rsid w:val="00FE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9F2E"/>
  <w15:chartTrackingRefBased/>
  <w15:docId w15:val="{B631BCA7-BCB1-42EA-9F74-4C597392D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408"/>
    <w:pPr>
      <w:jc w:val="both"/>
      <w:outlineLvl w:val="0"/>
    </w:pPr>
    <w:rPr>
      <w:rFonts w:cstheme="minorHAnsi"/>
      <w:b/>
      <w:color w:val="111111"/>
      <w:sz w:val="28"/>
      <w:szCs w:val="20"/>
      <w:u w:val="single"/>
      <w:shd w:val="clear" w:color="auto" w:fill="FFFFFF"/>
    </w:rPr>
  </w:style>
  <w:style w:type="paragraph" w:styleId="Heading2">
    <w:name w:val="heading 2"/>
    <w:basedOn w:val="Normal"/>
    <w:next w:val="Normal"/>
    <w:link w:val="Heading2Char"/>
    <w:uiPriority w:val="9"/>
    <w:unhideWhenUsed/>
    <w:qFormat/>
    <w:rsid w:val="00416DCC"/>
    <w:pPr>
      <w:keepNext/>
      <w:keepLines/>
      <w:numPr>
        <w:numId w:val="1"/>
      </w:numPr>
      <w:spacing w:before="40" w:after="0"/>
      <w:outlineLvl w:val="1"/>
    </w:pPr>
    <w:rPr>
      <w:rFonts w:eastAsiaTheme="majorEastAsia" w:cstheme="minorHAnsi"/>
      <w:b/>
      <w:sz w:val="24"/>
      <w:szCs w:val="26"/>
      <w:shd w:val="clear" w:color="auto" w:fill="FFFFFF"/>
    </w:rPr>
  </w:style>
  <w:style w:type="paragraph" w:styleId="Heading3">
    <w:name w:val="heading 3"/>
    <w:basedOn w:val="Normal"/>
    <w:next w:val="Normal"/>
    <w:link w:val="Heading3Char"/>
    <w:uiPriority w:val="9"/>
    <w:unhideWhenUsed/>
    <w:qFormat/>
    <w:rsid w:val="00E0210F"/>
    <w:pPr>
      <w:spacing w:after="0" w:line="276" w:lineRule="auto"/>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408"/>
    <w:rPr>
      <w:rFonts w:cstheme="minorHAnsi"/>
      <w:b/>
      <w:color w:val="111111"/>
      <w:sz w:val="28"/>
      <w:szCs w:val="20"/>
      <w:u w:val="single"/>
    </w:rPr>
  </w:style>
  <w:style w:type="character" w:customStyle="1" w:styleId="Heading2Char">
    <w:name w:val="Heading 2 Char"/>
    <w:basedOn w:val="DefaultParagraphFont"/>
    <w:link w:val="Heading2"/>
    <w:uiPriority w:val="9"/>
    <w:rsid w:val="00416DCC"/>
    <w:rPr>
      <w:rFonts w:eastAsiaTheme="majorEastAsia" w:cstheme="minorHAnsi"/>
      <w:b/>
      <w:sz w:val="24"/>
      <w:szCs w:val="26"/>
    </w:rPr>
  </w:style>
  <w:style w:type="paragraph" w:styleId="TOCHeading">
    <w:name w:val="TOC Heading"/>
    <w:basedOn w:val="Heading1"/>
    <w:next w:val="Normal"/>
    <w:uiPriority w:val="39"/>
    <w:unhideWhenUsed/>
    <w:qFormat/>
    <w:rsid w:val="00444B07"/>
    <w:pPr>
      <w:keepNext/>
      <w:keepLines/>
      <w:spacing w:before="240" w:after="0"/>
      <w:jc w:val="left"/>
      <w:outlineLvl w:val="9"/>
    </w:pPr>
    <w:rPr>
      <w:rFonts w:asciiTheme="majorHAnsi" w:eastAsiaTheme="majorEastAsia" w:hAnsiTheme="majorHAnsi" w:cstheme="majorBidi"/>
      <w:b w:val="0"/>
      <w:color w:val="2F5496" w:themeColor="accent1" w:themeShade="BF"/>
      <w:sz w:val="32"/>
      <w:szCs w:val="32"/>
      <w:u w:val="none"/>
      <w:shd w:val="clear" w:color="auto" w:fill="auto"/>
    </w:rPr>
  </w:style>
  <w:style w:type="paragraph" w:styleId="TOC1">
    <w:name w:val="toc 1"/>
    <w:basedOn w:val="Normal"/>
    <w:next w:val="Normal"/>
    <w:autoRedefine/>
    <w:uiPriority w:val="39"/>
    <w:unhideWhenUsed/>
    <w:rsid w:val="001B5F8E"/>
    <w:pPr>
      <w:tabs>
        <w:tab w:val="right" w:leader="dot" w:pos="10790"/>
      </w:tabs>
      <w:spacing w:after="0" w:line="240" w:lineRule="auto"/>
    </w:pPr>
  </w:style>
  <w:style w:type="paragraph" w:styleId="TOC2">
    <w:name w:val="toc 2"/>
    <w:basedOn w:val="Normal"/>
    <w:next w:val="Normal"/>
    <w:autoRedefine/>
    <w:uiPriority w:val="39"/>
    <w:unhideWhenUsed/>
    <w:rsid w:val="0047622A"/>
    <w:pPr>
      <w:tabs>
        <w:tab w:val="left" w:pos="630"/>
        <w:tab w:val="right" w:leader="dot" w:pos="10790"/>
      </w:tabs>
      <w:spacing w:after="100"/>
      <w:ind w:left="220"/>
    </w:pPr>
  </w:style>
  <w:style w:type="character" w:styleId="Hyperlink">
    <w:name w:val="Hyperlink"/>
    <w:basedOn w:val="DefaultParagraphFont"/>
    <w:uiPriority w:val="99"/>
    <w:unhideWhenUsed/>
    <w:rsid w:val="00444B07"/>
    <w:rPr>
      <w:color w:val="0563C1" w:themeColor="hyperlink"/>
      <w:u w:val="single"/>
    </w:rPr>
  </w:style>
  <w:style w:type="character" w:customStyle="1" w:styleId="UnresolvedMention1">
    <w:name w:val="Unresolved Mention1"/>
    <w:basedOn w:val="DefaultParagraphFont"/>
    <w:uiPriority w:val="99"/>
    <w:semiHidden/>
    <w:unhideWhenUsed/>
    <w:rsid w:val="002B2B50"/>
    <w:rPr>
      <w:color w:val="605E5C"/>
      <w:shd w:val="clear" w:color="auto" w:fill="E1DFDD"/>
    </w:rPr>
  </w:style>
  <w:style w:type="character" w:customStyle="1" w:styleId="Heading3Char">
    <w:name w:val="Heading 3 Char"/>
    <w:basedOn w:val="DefaultParagraphFont"/>
    <w:link w:val="Heading3"/>
    <w:uiPriority w:val="9"/>
    <w:rsid w:val="00E0210F"/>
    <w:rPr>
      <w:b/>
    </w:rPr>
  </w:style>
  <w:style w:type="table" w:styleId="PlainTable5">
    <w:name w:val="Plain Table 5"/>
    <w:basedOn w:val="TableNormal"/>
    <w:uiPriority w:val="45"/>
    <w:rsid w:val="00C13E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152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3">
    <w:name w:val="toc 3"/>
    <w:basedOn w:val="Normal"/>
    <w:next w:val="Normal"/>
    <w:autoRedefine/>
    <w:uiPriority w:val="39"/>
    <w:unhideWhenUsed/>
    <w:rsid w:val="001B5F8E"/>
    <w:pPr>
      <w:spacing w:after="100"/>
      <w:ind w:left="440"/>
    </w:pPr>
  </w:style>
  <w:style w:type="paragraph" w:styleId="Header">
    <w:name w:val="header"/>
    <w:basedOn w:val="Normal"/>
    <w:link w:val="HeaderChar"/>
    <w:uiPriority w:val="99"/>
    <w:unhideWhenUsed/>
    <w:rsid w:val="00E92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BA0"/>
  </w:style>
  <w:style w:type="paragraph" w:styleId="Footer">
    <w:name w:val="footer"/>
    <w:basedOn w:val="Normal"/>
    <w:link w:val="FooterChar"/>
    <w:uiPriority w:val="99"/>
    <w:unhideWhenUsed/>
    <w:rsid w:val="00E92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89380">
      <w:bodyDiv w:val="1"/>
      <w:marLeft w:val="0"/>
      <w:marRight w:val="0"/>
      <w:marTop w:val="0"/>
      <w:marBottom w:val="0"/>
      <w:divBdr>
        <w:top w:val="none" w:sz="0" w:space="0" w:color="auto"/>
        <w:left w:val="none" w:sz="0" w:space="0" w:color="auto"/>
        <w:bottom w:val="none" w:sz="0" w:space="0" w:color="auto"/>
        <w:right w:val="none" w:sz="0" w:space="0" w:color="auto"/>
      </w:divBdr>
    </w:div>
    <w:div w:id="330715181">
      <w:bodyDiv w:val="1"/>
      <w:marLeft w:val="0"/>
      <w:marRight w:val="0"/>
      <w:marTop w:val="0"/>
      <w:marBottom w:val="0"/>
      <w:divBdr>
        <w:top w:val="none" w:sz="0" w:space="0" w:color="auto"/>
        <w:left w:val="none" w:sz="0" w:space="0" w:color="auto"/>
        <w:bottom w:val="none" w:sz="0" w:space="0" w:color="auto"/>
        <w:right w:val="none" w:sz="0" w:space="0" w:color="auto"/>
      </w:divBdr>
    </w:div>
    <w:div w:id="426314173">
      <w:bodyDiv w:val="1"/>
      <w:marLeft w:val="0"/>
      <w:marRight w:val="0"/>
      <w:marTop w:val="0"/>
      <w:marBottom w:val="0"/>
      <w:divBdr>
        <w:top w:val="none" w:sz="0" w:space="0" w:color="auto"/>
        <w:left w:val="none" w:sz="0" w:space="0" w:color="auto"/>
        <w:bottom w:val="none" w:sz="0" w:space="0" w:color="auto"/>
        <w:right w:val="none" w:sz="0" w:space="0" w:color="auto"/>
      </w:divBdr>
    </w:div>
    <w:div w:id="545530671">
      <w:bodyDiv w:val="1"/>
      <w:marLeft w:val="0"/>
      <w:marRight w:val="0"/>
      <w:marTop w:val="0"/>
      <w:marBottom w:val="0"/>
      <w:divBdr>
        <w:top w:val="none" w:sz="0" w:space="0" w:color="auto"/>
        <w:left w:val="none" w:sz="0" w:space="0" w:color="auto"/>
        <w:bottom w:val="none" w:sz="0" w:space="0" w:color="auto"/>
        <w:right w:val="none" w:sz="0" w:space="0" w:color="auto"/>
      </w:divBdr>
    </w:div>
    <w:div w:id="758791428">
      <w:bodyDiv w:val="1"/>
      <w:marLeft w:val="0"/>
      <w:marRight w:val="0"/>
      <w:marTop w:val="0"/>
      <w:marBottom w:val="0"/>
      <w:divBdr>
        <w:top w:val="none" w:sz="0" w:space="0" w:color="auto"/>
        <w:left w:val="none" w:sz="0" w:space="0" w:color="auto"/>
        <w:bottom w:val="none" w:sz="0" w:space="0" w:color="auto"/>
        <w:right w:val="none" w:sz="0" w:space="0" w:color="auto"/>
      </w:divBdr>
    </w:div>
    <w:div w:id="844393846">
      <w:bodyDiv w:val="1"/>
      <w:marLeft w:val="0"/>
      <w:marRight w:val="0"/>
      <w:marTop w:val="0"/>
      <w:marBottom w:val="0"/>
      <w:divBdr>
        <w:top w:val="none" w:sz="0" w:space="0" w:color="auto"/>
        <w:left w:val="none" w:sz="0" w:space="0" w:color="auto"/>
        <w:bottom w:val="none" w:sz="0" w:space="0" w:color="auto"/>
        <w:right w:val="none" w:sz="0" w:space="0" w:color="auto"/>
      </w:divBdr>
    </w:div>
    <w:div w:id="1819687629">
      <w:bodyDiv w:val="1"/>
      <w:marLeft w:val="0"/>
      <w:marRight w:val="0"/>
      <w:marTop w:val="0"/>
      <w:marBottom w:val="0"/>
      <w:divBdr>
        <w:top w:val="none" w:sz="0" w:space="0" w:color="auto"/>
        <w:left w:val="none" w:sz="0" w:space="0" w:color="auto"/>
        <w:bottom w:val="none" w:sz="0" w:space="0" w:color="auto"/>
        <w:right w:val="none" w:sz="0" w:space="0" w:color="auto"/>
      </w:divBdr>
    </w:div>
    <w:div w:id="184937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61A42-3D74-405F-9082-66919C522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12</Pages>
  <Words>9547</Words>
  <Characters>54422</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Scavetta</dc:creator>
  <cp:keywords/>
  <dc:description/>
  <cp:lastModifiedBy>Joseph Scavetta</cp:lastModifiedBy>
  <cp:revision>614</cp:revision>
  <cp:lastPrinted>2019-04-22T20:23:00Z</cp:lastPrinted>
  <dcterms:created xsi:type="dcterms:W3CDTF">2019-02-02T20:06:00Z</dcterms:created>
  <dcterms:modified xsi:type="dcterms:W3CDTF">2019-04-22T20:23:00Z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http://www.zotero.org/styles/journal-of-insect-behavior</vt:lpwstr>
  </property>
  <property fmtid="{D5CDD505-2E9C-101B-9397-08002B2CF9AE}" pid="13" name="Mendeley Recent Style Name 5_1">
    <vt:lpwstr>Journal of Insect Behavior</vt:lpwstr>
  </property>
  <property fmtid="{D5CDD505-2E9C-101B-9397-08002B2CF9AE}" pid="14" name="Mendeley Recent Style Id 6_1">
    <vt:lpwstr>http://www.zotero.org/styles/journal-of-insect-conservation</vt:lpwstr>
  </property>
  <property fmtid="{D5CDD505-2E9C-101B-9397-08002B2CF9AE}" pid="15" name="Mendeley Recent Style Name 6_1">
    <vt:lpwstr>Journal of Insect Conservation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bddb20d7-b6d7-35df-8e59-d0d58ef94a42</vt:lpwstr>
  </property>
  <property fmtid="{D5CDD505-2E9C-101B-9397-08002B2CF9AE}" pid="24" name="Mendeley Citation Style_1">
    <vt:lpwstr>http://www.zotero.org/styles/ieee</vt:lpwstr>
  </property>
</Properties>
</file>