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6ED7C" w14:textId="161D7BF7" w:rsidR="001B37B9" w:rsidRDefault="00F03DF4">
      <w:pPr>
        <w:pStyle w:val="Title"/>
      </w:pPr>
      <w:r>
        <w:t>Tahoe Model - 2018 Base Year</w:t>
      </w:r>
    </w:p>
    <w:p w14:paraId="1F617EF9" w14:textId="77777777" w:rsidR="001B37B9" w:rsidRDefault="00F03DF4">
      <w:pPr>
        <w:pStyle w:val="Author"/>
      </w:pPr>
      <w:r>
        <w:t>TRPA Staff</w:t>
      </w:r>
    </w:p>
    <w:p w14:paraId="7A50D086" w14:textId="0CDD4CA5" w:rsidR="001B37B9" w:rsidRDefault="00F03DF4">
      <w:pPr>
        <w:pStyle w:val="Date"/>
      </w:pPr>
      <w:r>
        <w:t>11/14</w:t>
      </w:r>
      <w:bookmarkStart w:id="0" w:name="_GoBack"/>
      <w:bookmarkEnd w:id="0"/>
      <w:r>
        <w:t>/2019</w:t>
      </w:r>
    </w:p>
    <w:p w14:paraId="095C9C1E" w14:textId="7A2BC584" w:rsidR="001B37B9" w:rsidRDefault="00F03DF4">
      <w:pPr>
        <w:pStyle w:val="Heading1"/>
      </w:pPr>
      <w:bookmarkStart w:id="1" w:name="introduction"/>
      <w:r>
        <w:t>Introduction</w:t>
      </w:r>
      <w:bookmarkEnd w:id="1"/>
    </w:p>
    <w:p w14:paraId="40DDF30E" w14:textId="5C5170E2" w:rsidR="001B37B9" w:rsidRDefault="00F03DF4">
      <w:pPr>
        <w:pStyle w:val="FirstParagraph"/>
      </w:pPr>
      <w:r>
        <w:t>This document outlines the methodology for updating elements of the Tahoe Model as part of developing the 2018 base year for the 2020 Regional Transportation Plan. The core elements of the 2018 base year update include zonal input files, roadway network, a</w:t>
      </w:r>
      <w:r>
        <w:t>nd sub-model updates.</w:t>
      </w:r>
    </w:p>
    <w:p w14:paraId="1DC236DB" w14:textId="30D54538" w:rsidR="001B37B9" w:rsidRDefault="00F03DF4">
      <w:pPr>
        <w:pStyle w:val="Heading2"/>
      </w:pPr>
      <w:bookmarkStart w:id="2" w:name="zonal-input-methodology"/>
      <w:r>
        <w:t>Zonal Input Methodology</w:t>
      </w:r>
      <w:bookmarkEnd w:id="2"/>
    </w:p>
    <w:p w14:paraId="3EBF3012" w14:textId="0ABEFAB6" w:rsidR="001B37B9" w:rsidRDefault="00F03DF4">
      <w:pPr>
        <w:pStyle w:val="FirstParagraph"/>
      </w:pPr>
      <w:r>
        <w:t>In travel demand modeling, the existing socioeconomic and land use conditions are summarized into smaller zones referred to as Transportation Analysis Zones (TAZ). In the Tahoe model, the region is divided into</w:t>
      </w:r>
      <w:r>
        <w:t xml:space="preserve"> 282 TAZs. This document provides a high level summary of the data collected and analyzed to inform the 2018 Tahoe model base year. Unless otherwise noted, all data referenced below are summarized by TAZ. During the summer and fall of 2019, TRPA staff coll</w:t>
      </w:r>
      <w:r>
        <w:t>ected and analyzed a variety of datasets to develop the zonal input files that will be used as the basis for the 2018 Tahoe Model base year.</w:t>
      </w:r>
    </w:p>
    <w:p w14:paraId="47A40B70" w14:textId="5BA4D26A" w:rsidR="001B37B9" w:rsidRDefault="00C504D6">
      <w:pPr>
        <w:pStyle w:val="Heading2"/>
      </w:pPr>
      <w:bookmarkStart w:id="3" w:name="transportation-analysis-zone-updates"/>
      <w:r>
        <w:rPr>
          <w:noProof/>
        </w:rPr>
        <w:drawing>
          <wp:anchor distT="0" distB="0" distL="114300" distR="114300" simplePos="0" relativeHeight="251658240" behindDoc="0" locked="0" layoutInCell="1" allowOverlap="1" wp14:anchorId="791CF549" wp14:editId="68EFCB65">
            <wp:simplePos x="0" y="0"/>
            <wp:positionH relativeFrom="column">
              <wp:posOffset>4389120</wp:posOffset>
            </wp:positionH>
            <wp:positionV relativeFrom="paragraph">
              <wp:posOffset>24130</wp:posOffset>
            </wp:positionV>
            <wp:extent cx="1767840" cy="3695700"/>
            <wp:effectExtent l="0" t="0" r="381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2-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0845" r="30887"/>
                    <a:stretch/>
                  </pic:blipFill>
                  <pic:spPr bwMode="auto">
                    <a:xfrm>
                      <a:off x="0" y="0"/>
                      <a:ext cx="1767840" cy="3695700"/>
                    </a:xfrm>
                    <a:prstGeom prst="rect">
                      <a:avLst/>
                    </a:prstGeom>
                    <a:noFill/>
                    <a:ln>
                      <a:noFill/>
                    </a:ln>
                    <a:extLst>
                      <a:ext uri="{53640926-AAD7-44D8-BBD7-CCE9431645EC}">
                        <a14:shadowObscured xmlns:a14="http://schemas.microsoft.com/office/drawing/2010/main"/>
                      </a:ext>
                    </a:extLst>
                  </pic:spPr>
                </pic:pic>
              </a:graphicData>
            </a:graphic>
          </wp:anchor>
        </w:drawing>
      </w:r>
      <w:r w:rsidR="00F03DF4">
        <w:t>Transportation Analysis Zone Updates</w:t>
      </w:r>
      <w:bookmarkEnd w:id="3"/>
    </w:p>
    <w:p w14:paraId="7B57ACEA" w14:textId="77777777" w:rsidR="001B37B9" w:rsidRDefault="00F03DF4">
      <w:pPr>
        <w:pStyle w:val="FirstParagraph"/>
      </w:pPr>
      <w:r>
        <w:t>The existing transportation analysis zones (TAZ) were analyzed and assessed to</w:t>
      </w:r>
      <w:r>
        <w:t xml:space="preserve"> determine any potential areas for improvement. Except some minor geospatial realignments, it was determined that their existing size, quantity, and land use composition satisfied all necessary modeling characteristics.</w:t>
      </w:r>
    </w:p>
    <w:p w14:paraId="006AEA68" w14:textId="77777777" w:rsidR="001B37B9" w:rsidRDefault="00F03DF4">
      <w:pPr>
        <w:pStyle w:val="Heading3"/>
      </w:pPr>
      <w:bookmarkStart w:id="4" w:name="employment"/>
      <w:r>
        <w:t>Employment</w:t>
      </w:r>
      <w:bookmarkEnd w:id="4"/>
    </w:p>
    <w:p w14:paraId="20AF39E0" w14:textId="0EAB2DF2" w:rsidR="001B37B9" w:rsidRDefault="00F03DF4">
      <w:pPr>
        <w:pStyle w:val="FirstParagraph"/>
      </w:pPr>
      <w:r>
        <w:t>The model classifies em</w:t>
      </w:r>
      <w:r>
        <w:t>ployment into five types</w:t>
      </w:r>
      <w:r>
        <w:t xml:space="preserve">: </w:t>
      </w:r>
      <w:r>
        <w:rPr>
          <w:i/>
        </w:rPr>
        <w:t>retail</w:t>
      </w:r>
      <w:r>
        <w:t xml:space="preserve">, </w:t>
      </w:r>
      <w:r>
        <w:rPr>
          <w:i/>
        </w:rPr>
        <w:t>recreation</w:t>
      </w:r>
      <w:r>
        <w:t xml:space="preserve">, </w:t>
      </w:r>
      <w:r>
        <w:rPr>
          <w:i/>
        </w:rPr>
        <w:t>service</w:t>
      </w:r>
      <w:r>
        <w:t xml:space="preserve">, </w:t>
      </w:r>
      <w:r>
        <w:rPr>
          <w:i/>
        </w:rPr>
        <w:t>gaming</w:t>
      </w:r>
      <w:r>
        <w:t xml:space="preserve">, and </w:t>
      </w:r>
      <w:r>
        <w:rPr>
          <w:i/>
        </w:rPr>
        <w:t>other</w:t>
      </w:r>
      <w:r>
        <w:t>.</w:t>
      </w:r>
    </w:p>
    <w:p w14:paraId="7D4C12A6" w14:textId="77777777" w:rsidR="001B37B9" w:rsidRDefault="00F03DF4">
      <w:pPr>
        <w:pStyle w:val="BodyText"/>
      </w:pPr>
      <w:r>
        <w:t>The base year employment dataset was sourced from official Quarterly Census of Employment and Wages (QCEW) reported data, which was purchased from the California Economic Developmen</w:t>
      </w:r>
      <w:r>
        <w:t>t Department (EDD) and provided by the Nevada Department of Employment Training and Rehabilitation (DETR).</w:t>
      </w:r>
    </w:p>
    <w:p w14:paraId="6A74728F" w14:textId="77777777" w:rsidR="001B37B9" w:rsidRDefault="00F03DF4">
      <w:pPr>
        <w:pStyle w:val="BodyText"/>
      </w:pPr>
      <w:r>
        <w:t>For the EDD provided data, the average number of monthly employeers at each business were aggregated for each TAZ-</w:t>
      </w:r>
      <w:r>
        <w:lastRenderedPageBreak/>
        <w:t xml:space="preserve">employment type category. The data </w:t>
      </w:r>
      <w:r>
        <w:t>was averaged for June, August, and September of 2018 to align with the model time period.</w:t>
      </w:r>
    </w:p>
    <w:p w14:paraId="105BD11D" w14:textId="77777777" w:rsidR="001B37B9" w:rsidRDefault="00F03DF4">
      <w:pPr>
        <w:pStyle w:val="BodyText"/>
      </w:pPr>
      <w:r>
        <w:t>Total regionwide employment was used for the Nevada portion of Tahoe because business level data was not available. The total employment for the Nevada portion of Tah</w:t>
      </w:r>
      <w:r>
        <w:t>oe was distributed to TAZ and employment type categories based upon the distribution from the 2014 base year. The Nevada dataset consisted of average employment in Q4 2018 and Q1 2019 data, which generally aligns with the model time period.</w:t>
      </w:r>
    </w:p>
    <w:p w14:paraId="2D71EDFF" w14:textId="77777777" w:rsidR="001B37B9" w:rsidRDefault="00F03DF4">
      <w:pPr>
        <w:pStyle w:val="BodyText"/>
      </w:pPr>
      <w:r>
        <w:rPr>
          <w:b/>
        </w:rPr>
        <w:t>Employment Tota</w:t>
      </w:r>
      <w:r>
        <w:rPr>
          <w:b/>
        </w:rPr>
        <w:t>ls</w:t>
      </w:r>
    </w:p>
    <w:p w14:paraId="06C42CC7" w14:textId="77777777" w:rsidR="001B37B9" w:rsidRDefault="00F03DF4">
      <w:pPr>
        <w:pStyle w:val="Compact"/>
        <w:numPr>
          <w:ilvl w:val="0"/>
          <w:numId w:val="3"/>
        </w:numPr>
      </w:pPr>
      <w:r>
        <w:t>Nevada - 11,108</w:t>
      </w:r>
    </w:p>
    <w:p w14:paraId="2EF6794E" w14:textId="77777777" w:rsidR="001B37B9" w:rsidRDefault="00F03DF4">
      <w:pPr>
        <w:pStyle w:val="Compact"/>
        <w:numPr>
          <w:ilvl w:val="0"/>
          <w:numId w:val="3"/>
        </w:numPr>
      </w:pPr>
      <w:r>
        <w:t>California - 17,512</w:t>
      </w:r>
    </w:p>
    <w:p w14:paraId="409862DA" w14:textId="77777777" w:rsidR="001B37B9" w:rsidRDefault="00F03DF4">
      <w:pPr>
        <w:pStyle w:val="Compact"/>
        <w:numPr>
          <w:ilvl w:val="0"/>
          <w:numId w:val="3"/>
        </w:numPr>
      </w:pPr>
      <w:r>
        <w:t>Total - 28,620</w:t>
      </w:r>
    </w:p>
    <w:p w14:paraId="311523E8" w14:textId="77777777" w:rsidR="001B37B9" w:rsidRDefault="00F03DF4">
      <w:pPr>
        <w:pStyle w:val="Heading3"/>
      </w:pPr>
      <w:bookmarkStart w:id="5" w:name="school-enrollment"/>
      <w:r>
        <w:t>School Enrollment</w:t>
      </w:r>
      <w:bookmarkEnd w:id="5"/>
    </w:p>
    <w:p w14:paraId="130F458A" w14:textId="77777777" w:rsidR="001B37B9" w:rsidRDefault="00F03DF4">
      <w:pPr>
        <w:pStyle w:val="FirstParagraph"/>
      </w:pPr>
      <w:r>
        <w:t>Individual school level enrollment was acquired from the California and Nevada departments of education for all public and private schools in the region. The individual school enrollme</w:t>
      </w:r>
      <w:r>
        <w:t>nts were aggregated by TAZ and broken down by school type (elementary, middle, and high school and the two colleges). Enrollment was averaged for the spring and fall quarters of 2018 to align with the model time period.</w:t>
      </w:r>
    </w:p>
    <w:p w14:paraId="4BEB72D5" w14:textId="77777777" w:rsidR="001B37B9" w:rsidRDefault="00F03DF4">
      <w:pPr>
        <w:pStyle w:val="BodyText"/>
      </w:pPr>
      <w:r>
        <w:rPr>
          <w:b/>
        </w:rPr>
        <w:t>Total Enrollment by Category</w:t>
      </w:r>
    </w:p>
    <w:p w14:paraId="22A13BF5" w14:textId="77777777" w:rsidR="001B37B9" w:rsidRDefault="00F03DF4">
      <w:pPr>
        <w:pStyle w:val="Compact"/>
        <w:numPr>
          <w:ilvl w:val="0"/>
          <w:numId w:val="4"/>
        </w:numPr>
      </w:pPr>
      <w:r>
        <w:t>Element</w:t>
      </w:r>
      <w:r>
        <w:t>ary School - 3,119</w:t>
      </w:r>
    </w:p>
    <w:p w14:paraId="1E85F308" w14:textId="77777777" w:rsidR="001B37B9" w:rsidRDefault="00F03DF4">
      <w:pPr>
        <w:pStyle w:val="Compact"/>
        <w:numPr>
          <w:ilvl w:val="0"/>
          <w:numId w:val="4"/>
        </w:numPr>
      </w:pPr>
      <w:r>
        <w:t>Middle School - 1,613</w:t>
      </w:r>
    </w:p>
    <w:p w14:paraId="13C94942" w14:textId="77777777" w:rsidR="001B37B9" w:rsidRDefault="00F03DF4">
      <w:pPr>
        <w:pStyle w:val="Compact"/>
        <w:numPr>
          <w:ilvl w:val="0"/>
          <w:numId w:val="4"/>
        </w:numPr>
      </w:pPr>
      <w:r>
        <w:t>High School - 2,045</w:t>
      </w:r>
    </w:p>
    <w:p w14:paraId="2C0C2A2A" w14:textId="77777777" w:rsidR="001B37B9" w:rsidRDefault="00F03DF4">
      <w:pPr>
        <w:pStyle w:val="Compact"/>
        <w:numPr>
          <w:ilvl w:val="0"/>
          <w:numId w:val="4"/>
        </w:numPr>
      </w:pPr>
      <w:r>
        <w:t>College - 1,890</w:t>
      </w:r>
    </w:p>
    <w:p w14:paraId="69BA6825" w14:textId="77777777" w:rsidR="001B37B9" w:rsidRDefault="00F03DF4">
      <w:pPr>
        <w:pStyle w:val="Compact"/>
        <w:numPr>
          <w:ilvl w:val="0"/>
          <w:numId w:val="4"/>
        </w:numPr>
      </w:pPr>
      <w:r>
        <w:t>Total - 8,667</w:t>
      </w:r>
    </w:p>
    <w:p w14:paraId="2F3A39F2" w14:textId="77777777" w:rsidR="001B37B9" w:rsidRDefault="00F03DF4">
      <w:pPr>
        <w:pStyle w:val="Heading3"/>
      </w:pPr>
      <w:bookmarkStart w:id="6" w:name="residential-units"/>
      <w:r>
        <w:t>Residential Units</w:t>
      </w:r>
      <w:bookmarkEnd w:id="6"/>
    </w:p>
    <w:p w14:paraId="67CDBEF8" w14:textId="77777777" w:rsidR="001B37B9" w:rsidRDefault="00F03DF4">
      <w:pPr>
        <w:pStyle w:val="FirstParagraph"/>
      </w:pPr>
      <w:r>
        <w:t>The total number of residential units were determined using parcel-level TRPA tracking data, enhanced by a variety of other datasets (assessors records, LIDAR, Zillow, etc)</w:t>
      </w:r>
    </w:p>
    <w:p w14:paraId="5B2429ED" w14:textId="77777777" w:rsidR="001B37B9" w:rsidRDefault="00F03DF4">
      <w:pPr>
        <w:pStyle w:val="BodyText"/>
      </w:pPr>
      <w:r>
        <w:rPr>
          <w:i/>
        </w:rPr>
        <w:t>occupied units</w:t>
      </w:r>
      <w:r>
        <w:t xml:space="preserve"> = </w:t>
      </w:r>
      <w:r>
        <w:rPr>
          <w:i/>
        </w:rPr>
        <w:t>(total residential units)</w:t>
      </w:r>
      <w:r>
        <w:t xml:space="preserve"> X </w:t>
      </w:r>
      <w:r>
        <w:rPr>
          <w:i/>
        </w:rPr>
        <w:t>(census occupancy rates)</w:t>
      </w:r>
    </w:p>
    <w:p w14:paraId="15695047" w14:textId="77777777" w:rsidR="001B37B9" w:rsidRDefault="00F03DF4">
      <w:pPr>
        <w:pStyle w:val="BodyText"/>
      </w:pPr>
      <w:r>
        <w:rPr>
          <w:i/>
        </w:rPr>
        <w:t>unoccupied un</w:t>
      </w:r>
      <w:r>
        <w:rPr>
          <w:i/>
        </w:rPr>
        <w:t>its</w:t>
      </w:r>
      <w:r>
        <w:t xml:space="preserve"> = </w:t>
      </w:r>
      <w:r>
        <w:rPr>
          <w:i/>
        </w:rPr>
        <w:t>(total residential units)</w:t>
      </w:r>
      <w:r>
        <w:t xml:space="preserve"> - </w:t>
      </w:r>
      <w:r>
        <w:rPr>
          <w:i/>
        </w:rPr>
        <w:t>(occupied units)</w:t>
      </w:r>
    </w:p>
    <w:p w14:paraId="04396BD8" w14:textId="77777777" w:rsidR="001B37B9" w:rsidRDefault="00F03DF4">
      <w:pPr>
        <w:pStyle w:val="BodyText"/>
      </w:pPr>
      <w:r>
        <w:rPr>
          <w:i/>
        </w:rPr>
        <w:t>total residents</w:t>
      </w:r>
      <w:r>
        <w:t xml:space="preserve"> = </w:t>
      </w:r>
      <w:r>
        <w:rPr>
          <w:i/>
        </w:rPr>
        <w:t>(occupied units)</w:t>
      </w:r>
      <w:r>
        <w:t xml:space="preserve"> X </w:t>
      </w:r>
      <w:r>
        <w:rPr>
          <w:i/>
        </w:rPr>
        <w:t>(average household size)</w:t>
      </w:r>
    </w:p>
    <w:p w14:paraId="29EAEBDA" w14:textId="77777777" w:rsidR="001B37B9" w:rsidRDefault="00F03DF4">
      <w:pPr>
        <w:pStyle w:val="BodyText"/>
      </w:pPr>
      <w:r>
        <w:rPr>
          <w:b/>
        </w:rPr>
        <w:t>Residential Unit Totals</w:t>
      </w:r>
    </w:p>
    <w:p w14:paraId="3466CE62" w14:textId="77777777" w:rsidR="001B37B9" w:rsidRDefault="00F03DF4">
      <w:pPr>
        <w:pStyle w:val="Compact"/>
        <w:numPr>
          <w:ilvl w:val="0"/>
          <w:numId w:val="5"/>
        </w:numPr>
      </w:pPr>
      <w:r>
        <w:t>Residential Units - 47,645</w:t>
      </w:r>
    </w:p>
    <w:p w14:paraId="67084451" w14:textId="77777777" w:rsidR="001B37B9" w:rsidRDefault="00F03DF4">
      <w:pPr>
        <w:pStyle w:val="Compact"/>
        <w:numPr>
          <w:ilvl w:val="0"/>
          <w:numId w:val="5"/>
        </w:numPr>
      </w:pPr>
      <w:r>
        <w:t>Occupied Residential Units - 21,260</w:t>
      </w:r>
    </w:p>
    <w:p w14:paraId="4331B28A" w14:textId="77777777" w:rsidR="001B37B9" w:rsidRDefault="00F03DF4">
      <w:pPr>
        <w:pStyle w:val="Compact"/>
        <w:numPr>
          <w:ilvl w:val="0"/>
          <w:numId w:val="5"/>
        </w:numPr>
      </w:pPr>
      <w:r>
        <w:t>Unoccupied Residential Units - 26,385</w:t>
      </w:r>
    </w:p>
    <w:p w14:paraId="649B2D2D" w14:textId="77777777" w:rsidR="001B37B9" w:rsidRDefault="00F03DF4">
      <w:pPr>
        <w:pStyle w:val="Heading3"/>
      </w:pPr>
      <w:bookmarkStart w:id="7" w:name="residential-population"/>
      <w:r>
        <w:lastRenderedPageBreak/>
        <w:t>Residential Population</w:t>
      </w:r>
      <w:bookmarkEnd w:id="7"/>
    </w:p>
    <w:p w14:paraId="3020F768" w14:textId="77777777" w:rsidR="001B37B9" w:rsidRDefault="00F03DF4">
      <w:pPr>
        <w:pStyle w:val="FirstParagraph"/>
      </w:pPr>
      <w:r>
        <w:t xml:space="preserve">The U.S. Census-based American Community Survey (ACS) 2012-2017 5-year estimated that the resident population of the region had declined to 51,631. The decline was a result of both the percent of occupied units and number of persons </w:t>
      </w:r>
      <w:r>
        <w:t>per household. Occupancy status, income, and household size statistics were also sourced from the ACS are then applied to the TRPA residential unit dataset to determine the number of persons and occupied and unoccupied residential units by income level. Th</w:t>
      </w:r>
      <w:r>
        <w:t>e proportion of occupied units and number of persons per household were adjusted in accordance with ACS trends to ensure the total persons aligned with the 2012-2017 ACS 5-year population estimate for the entire region.</w:t>
      </w:r>
    </w:p>
    <w:p w14:paraId="7BC0255F" w14:textId="77777777" w:rsidR="001B37B9" w:rsidRDefault="00F03DF4">
      <w:pPr>
        <w:pStyle w:val="Heading3"/>
      </w:pPr>
      <w:bookmarkStart w:id="8" w:name="seasonal-units-and-vhrs"/>
      <w:r>
        <w:t>Seasonal Units and VHRs</w:t>
      </w:r>
      <w:bookmarkEnd w:id="8"/>
    </w:p>
    <w:p w14:paraId="1566B07D" w14:textId="77777777" w:rsidR="001B37B9" w:rsidRDefault="00F03DF4">
      <w:pPr>
        <w:pStyle w:val="FirstParagraph"/>
      </w:pPr>
      <w:r>
        <w:t>The unoccupi</w:t>
      </w:r>
      <w:r>
        <w:t xml:space="preserve">ed residential units calculated above are then categorized as seasonal resident, VHR, or other unoccupied. The census (ACS 2012-2017 5-year estimate) estimates the percentage of all unoccupied units that are categorized as </w:t>
      </w:r>
      <w:r>
        <w:rPr>
          <w:i/>
        </w:rPr>
        <w:t xml:space="preserve">Seasonal/Recreational/Occasional </w:t>
      </w:r>
      <w:r>
        <w:rPr>
          <w:i/>
        </w:rPr>
        <w:t>Units</w:t>
      </w:r>
      <w:r>
        <w:t xml:space="preserve">. The number of VHRs was provided by each jurisdiction for the summer of 2018. The number of reported VHRs was substracted from the total number of the </w:t>
      </w:r>
      <w:r>
        <w:rPr>
          <w:i/>
        </w:rPr>
        <w:t>Seasonal/Recreational/Occasional Units</w:t>
      </w:r>
      <w:r>
        <w:t xml:space="preserve"> to estimate the number of seasonal or other unoccupied units</w:t>
      </w:r>
      <w:r>
        <w:t>.</w:t>
      </w:r>
    </w:p>
    <w:p w14:paraId="1F8D725F" w14:textId="77777777" w:rsidR="001B37B9" w:rsidRDefault="00F03DF4">
      <w:pPr>
        <w:pStyle w:val="BodyText"/>
      </w:pPr>
      <w:r>
        <w:rPr>
          <w:i/>
        </w:rPr>
        <w:t>total seasonal units</w:t>
      </w:r>
      <w:r>
        <w:t xml:space="preserve"> = </w:t>
      </w:r>
      <w:r>
        <w:rPr>
          <w:i/>
        </w:rPr>
        <w:t>(total unoccupied units)</w:t>
      </w:r>
      <w:r>
        <w:t xml:space="preserve"> - </w:t>
      </w:r>
      <w:r>
        <w:rPr>
          <w:i/>
        </w:rPr>
        <w:t>(VHRs + other unoccupied units)</w:t>
      </w:r>
    </w:p>
    <w:p w14:paraId="10695A84" w14:textId="77777777" w:rsidR="001B37B9" w:rsidRDefault="00F03DF4">
      <w:pPr>
        <w:pStyle w:val="BodyText"/>
      </w:pPr>
      <w:r>
        <w:t>Occupancy rates were determined by analyzing observed Short-Term Rental transient occupancy tax (TOT) reporting statistics from local jurisdictions. No observed occupancy r</w:t>
      </w:r>
      <w:r>
        <w:t>ate data was available for seasonable units, so it was assumed that the VHR occupancy rate was the same as the seasonal rate. The occupancy rate data consisted of an average of monthly or quarterly rates from June thru September. The number of occupied VHR</w:t>
      </w:r>
      <w:r>
        <w:t>s and seasonal units were determined by multiplying the total number of units of each by the occupancy rate.</w:t>
      </w:r>
    </w:p>
    <w:p w14:paraId="34C22FAD" w14:textId="77777777" w:rsidR="001B37B9" w:rsidRDefault="00F03DF4">
      <w:pPr>
        <w:pStyle w:val="BodyText"/>
      </w:pPr>
      <w:r>
        <w:rPr>
          <w:i/>
        </w:rPr>
        <w:t>VHR occupancy rates</w:t>
      </w:r>
      <w:r>
        <w:t xml:space="preserve"> = </w:t>
      </w:r>
      <w:r>
        <w:rPr>
          <w:i/>
        </w:rPr>
        <w:t>(rooms occupied)</w:t>
      </w:r>
      <w:r>
        <w:t xml:space="preserve"> / </w:t>
      </w:r>
      <w:r>
        <w:rPr>
          <w:i/>
        </w:rPr>
        <w:t>(rooms available)</w:t>
      </w:r>
    </w:p>
    <w:p w14:paraId="18ABE2C1" w14:textId="77777777" w:rsidR="001B37B9" w:rsidRDefault="00F03DF4">
      <w:pPr>
        <w:pStyle w:val="BodyText"/>
      </w:pPr>
      <w:r>
        <w:rPr>
          <w:i/>
        </w:rPr>
        <w:t>seasonal occupancy rates</w:t>
      </w:r>
      <w:r>
        <w:t xml:space="preserve"> = </w:t>
      </w:r>
      <w:r>
        <w:rPr>
          <w:i/>
        </w:rPr>
        <w:t>VHR occupancy rates</w:t>
      </w:r>
    </w:p>
    <w:p w14:paraId="1526D6F7" w14:textId="77777777" w:rsidR="001B37B9" w:rsidRDefault="00F03DF4">
      <w:pPr>
        <w:pStyle w:val="BodyText"/>
      </w:pPr>
      <w:r>
        <w:rPr>
          <w:b/>
        </w:rPr>
        <w:t>Seasonal/VHR Totals</w:t>
      </w:r>
    </w:p>
    <w:p w14:paraId="0E1174D6" w14:textId="77777777" w:rsidR="001B37B9" w:rsidRDefault="00F03DF4">
      <w:pPr>
        <w:pStyle w:val="Compact"/>
        <w:numPr>
          <w:ilvl w:val="0"/>
          <w:numId w:val="6"/>
        </w:numPr>
      </w:pPr>
      <w:r>
        <w:t>Unoccupied Residentia</w:t>
      </w:r>
      <w:r>
        <w:t>l Units - 26,385</w:t>
      </w:r>
    </w:p>
    <w:p w14:paraId="4EBBE492" w14:textId="77777777" w:rsidR="001B37B9" w:rsidRDefault="00F03DF4">
      <w:pPr>
        <w:pStyle w:val="Compact"/>
        <w:numPr>
          <w:ilvl w:val="0"/>
          <w:numId w:val="6"/>
        </w:numPr>
      </w:pPr>
      <w:r>
        <w:t>VHRs - 6,019</w:t>
      </w:r>
    </w:p>
    <w:p w14:paraId="193CA309" w14:textId="77777777" w:rsidR="001B37B9" w:rsidRDefault="00F03DF4">
      <w:pPr>
        <w:pStyle w:val="Compact"/>
        <w:numPr>
          <w:ilvl w:val="0"/>
          <w:numId w:val="6"/>
        </w:numPr>
      </w:pPr>
      <w:r>
        <w:t>Seasonal Units - 17,427</w:t>
      </w:r>
    </w:p>
    <w:p w14:paraId="46475C9F" w14:textId="77777777" w:rsidR="001B37B9" w:rsidRDefault="00F03DF4">
      <w:pPr>
        <w:pStyle w:val="Compact"/>
        <w:numPr>
          <w:ilvl w:val="0"/>
          <w:numId w:val="6"/>
        </w:numPr>
      </w:pPr>
      <w:r>
        <w:t>Other Unoccupied Units - 2,939</w:t>
      </w:r>
    </w:p>
    <w:p w14:paraId="3AB91D1F" w14:textId="77777777" w:rsidR="001B37B9" w:rsidRDefault="00F03DF4">
      <w:pPr>
        <w:pStyle w:val="Heading3"/>
      </w:pPr>
      <w:bookmarkStart w:id="9" w:name="overnight-lodging-units"/>
      <w:r>
        <w:t>Overnight Lodging Units</w:t>
      </w:r>
      <w:bookmarkEnd w:id="9"/>
    </w:p>
    <w:p w14:paraId="6A9F1489" w14:textId="77777777" w:rsidR="001B37B9" w:rsidRDefault="00F03DF4">
      <w:pPr>
        <w:pStyle w:val="FirstParagraph"/>
      </w:pPr>
      <w:r>
        <w:t>The location and number of visitor overnight lodging units is based upon TRPA’s internal accounting of tourist accomodation units (TAU) and was enh</w:t>
      </w:r>
      <w:r>
        <w:t xml:space="preserve">anced using additional data </w:t>
      </w:r>
      <w:r>
        <w:lastRenderedPageBreak/>
        <w:t>and research. Units are aggregated by TAZ and lodging unit category (casino, resort, hotel/motel, &amp; campground).</w:t>
      </w:r>
    </w:p>
    <w:p w14:paraId="73E3C9A5" w14:textId="09D254C0" w:rsidR="001B37B9" w:rsidRDefault="00F03DF4">
      <w:pPr>
        <w:pStyle w:val="BodyText"/>
      </w:pPr>
      <w:r>
        <w:t>The number of occupied overnight lodging units was determined by multiplying the total number of units by the repor</w:t>
      </w:r>
      <w:r>
        <w:t>ted occupancy rate. The occupancy rates were calculated using TOT reported rooms occupied divided by rooms available for the model time period. This data was collected at various levels of granularity depending on the jurisdiction. For campgrounds, occupan</w:t>
      </w:r>
      <w:r>
        <w:t>cy rates were determined using an average of the occupancy reported by campground operators.</w:t>
      </w:r>
    </w:p>
    <w:p w14:paraId="04BBC524" w14:textId="77777777" w:rsidR="001B37B9" w:rsidRDefault="00F03DF4">
      <w:pPr>
        <w:pStyle w:val="Compact"/>
        <w:numPr>
          <w:ilvl w:val="0"/>
          <w:numId w:val="7"/>
        </w:numPr>
      </w:pPr>
      <w:r>
        <w:t>Placer County - Occupancy per unit type for each of Placer County’s five TOT reporting areas in Tahoe, aggregated by TAZ</w:t>
      </w:r>
    </w:p>
    <w:p w14:paraId="3286B5D8" w14:textId="10119272" w:rsidR="001B37B9" w:rsidRDefault="00F03DF4">
      <w:pPr>
        <w:pStyle w:val="Compact"/>
        <w:numPr>
          <w:ilvl w:val="0"/>
          <w:numId w:val="7"/>
        </w:numPr>
      </w:pPr>
      <w:r>
        <w:t>City of South Lake Tahoe - Occupancy per unit type for all reporting businesses, aggregated by TAZ</w:t>
      </w:r>
    </w:p>
    <w:p w14:paraId="74FAE90C" w14:textId="16A2473A" w:rsidR="001B37B9" w:rsidRDefault="00F03DF4">
      <w:pPr>
        <w:pStyle w:val="Compact"/>
        <w:numPr>
          <w:ilvl w:val="0"/>
          <w:numId w:val="7"/>
        </w:numPr>
      </w:pPr>
      <w:r>
        <w:t>El Dorado County - Business level da</w:t>
      </w:r>
      <w:r>
        <w:t>ta was not available, so the rates for CSLT were applied to the El Dorado County TAZs that contained lodging units, aggregated by TAZ</w:t>
      </w:r>
    </w:p>
    <w:p w14:paraId="58CB596F" w14:textId="6584BA35" w:rsidR="001B37B9" w:rsidRDefault="00F03DF4">
      <w:pPr>
        <w:pStyle w:val="Compact"/>
        <w:numPr>
          <w:ilvl w:val="0"/>
          <w:numId w:val="7"/>
        </w:numPr>
      </w:pPr>
      <w:r>
        <w:t>Douglas County - Occupancy per casino and non-casino units, aggregated by TAZ</w:t>
      </w:r>
    </w:p>
    <w:p w14:paraId="0C32DCB5" w14:textId="5EAA0ED9" w:rsidR="001B37B9" w:rsidRDefault="00F03DF4">
      <w:pPr>
        <w:pStyle w:val="Compact"/>
        <w:numPr>
          <w:ilvl w:val="0"/>
          <w:numId w:val="7"/>
        </w:numPr>
      </w:pPr>
      <w:r>
        <w:t>Washoe County - Occupancy for all units with</w:t>
      </w:r>
      <w:r>
        <w:t>in the Tahoe portion of Washoe County, aggregated by TAZ</w:t>
      </w:r>
    </w:p>
    <w:p w14:paraId="1649B604" w14:textId="3E56BA5A" w:rsidR="001B37B9" w:rsidRDefault="00F03DF4">
      <w:pPr>
        <w:pStyle w:val="FirstParagraph"/>
      </w:pPr>
      <w:r>
        <w:rPr>
          <w:i/>
        </w:rPr>
        <w:t>lodging occupancy rates</w:t>
      </w:r>
      <w:r>
        <w:t xml:space="preserve"> = </w:t>
      </w:r>
      <w:r>
        <w:rPr>
          <w:i/>
        </w:rPr>
        <w:t>rooms occupied</w:t>
      </w:r>
      <w:r>
        <w:t xml:space="preserve"> / </w:t>
      </w:r>
      <w:r>
        <w:rPr>
          <w:i/>
        </w:rPr>
        <w:t>rooms available</w:t>
      </w:r>
    </w:p>
    <w:p w14:paraId="24D87C04" w14:textId="38F99CDD" w:rsidR="001B37B9" w:rsidRDefault="00F03DF4">
      <w:pPr>
        <w:pStyle w:val="BodyText"/>
      </w:pPr>
      <w:r>
        <w:rPr>
          <w:i/>
        </w:rPr>
        <w:t>occupied lodging units</w:t>
      </w:r>
      <w:r>
        <w:t xml:space="preserve"> = </w:t>
      </w:r>
      <w:r>
        <w:rPr>
          <w:i/>
        </w:rPr>
        <w:t>total lodging Units</w:t>
      </w:r>
      <w:r>
        <w:t xml:space="preserve"> X </w:t>
      </w:r>
      <w:r>
        <w:rPr>
          <w:i/>
        </w:rPr>
        <w:t>lodging unit occupancy rates</w:t>
      </w:r>
    </w:p>
    <w:p w14:paraId="201A60A6" w14:textId="5D6CDF2A" w:rsidR="001B37B9" w:rsidRDefault="00F03DF4">
      <w:pPr>
        <w:pStyle w:val="BodyText"/>
      </w:pPr>
      <w:r>
        <w:rPr>
          <w:b/>
        </w:rPr>
        <w:t>Lodging Unit Totals</w:t>
      </w:r>
    </w:p>
    <w:p w14:paraId="2EFA86D0" w14:textId="77777777" w:rsidR="001B37B9" w:rsidRDefault="00F03DF4">
      <w:pPr>
        <w:pStyle w:val="Compact"/>
        <w:numPr>
          <w:ilvl w:val="0"/>
          <w:numId w:val="8"/>
        </w:numPr>
      </w:pPr>
      <w:r>
        <w:t>Total Lodging Units - 11,107</w:t>
      </w:r>
    </w:p>
    <w:p w14:paraId="5C12B07A" w14:textId="4B558639" w:rsidR="001B37B9" w:rsidRDefault="00F03DF4">
      <w:pPr>
        <w:pStyle w:val="Compact"/>
        <w:numPr>
          <w:ilvl w:val="0"/>
          <w:numId w:val="8"/>
        </w:numPr>
      </w:pPr>
      <w:r>
        <w:t>Occupied Lodgin</w:t>
      </w:r>
      <w:r>
        <w:t>g Units - 6,765</w:t>
      </w:r>
    </w:p>
    <w:p w14:paraId="54092D22" w14:textId="2D0876A9" w:rsidR="001B37B9" w:rsidRDefault="00F03DF4">
      <w:pPr>
        <w:pStyle w:val="Compact"/>
        <w:numPr>
          <w:ilvl w:val="1"/>
          <w:numId w:val="9"/>
        </w:numPr>
      </w:pPr>
      <w:r>
        <w:t>Hotel/Motel - 2,132</w:t>
      </w:r>
    </w:p>
    <w:p w14:paraId="7F155201" w14:textId="38BD0AA3" w:rsidR="001B37B9" w:rsidRDefault="00B510EB">
      <w:pPr>
        <w:pStyle w:val="Compact"/>
        <w:numPr>
          <w:ilvl w:val="1"/>
          <w:numId w:val="9"/>
        </w:numPr>
      </w:pPr>
      <w:r>
        <w:rPr>
          <w:noProof/>
        </w:rPr>
        <w:drawing>
          <wp:anchor distT="0" distB="0" distL="114300" distR="114300" simplePos="0" relativeHeight="251659264" behindDoc="0" locked="0" layoutInCell="1" allowOverlap="1" wp14:anchorId="4329829D" wp14:editId="4AA2870B">
            <wp:simplePos x="0" y="0"/>
            <wp:positionH relativeFrom="margin">
              <wp:posOffset>4495800</wp:posOffset>
            </wp:positionH>
            <wp:positionV relativeFrom="paragraph">
              <wp:posOffset>-424180</wp:posOffset>
            </wp:positionV>
            <wp:extent cx="1775460" cy="369570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3-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845" r="30722"/>
                    <a:stretch/>
                  </pic:blipFill>
                  <pic:spPr bwMode="auto">
                    <a:xfrm>
                      <a:off x="0" y="0"/>
                      <a:ext cx="1775460" cy="3695700"/>
                    </a:xfrm>
                    <a:prstGeom prst="rect">
                      <a:avLst/>
                    </a:prstGeom>
                    <a:noFill/>
                    <a:ln>
                      <a:noFill/>
                    </a:ln>
                    <a:extLst>
                      <a:ext uri="{53640926-AAD7-44D8-BBD7-CCE9431645EC}">
                        <a14:shadowObscured xmlns:a14="http://schemas.microsoft.com/office/drawing/2010/main"/>
                      </a:ext>
                    </a:extLst>
                  </pic:spPr>
                </pic:pic>
              </a:graphicData>
            </a:graphic>
          </wp:anchor>
        </w:drawing>
      </w:r>
      <w:r w:rsidR="00F03DF4">
        <w:t>Resort - 2,214</w:t>
      </w:r>
    </w:p>
    <w:p w14:paraId="6FF7FCB4" w14:textId="77777777" w:rsidR="001B37B9" w:rsidRDefault="00F03DF4">
      <w:pPr>
        <w:pStyle w:val="Compact"/>
        <w:numPr>
          <w:ilvl w:val="1"/>
          <w:numId w:val="9"/>
        </w:numPr>
      </w:pPr>
      <w:r>
        <w:t>Casino - 2,419</w:t>
      </w:r>
    </w:p>
    <w:p w14:paraId="17A66779" w14:textId="77777777" w:rsidR="001B37B9" w:rsidRDefault="00F03DF4">
      <w:pPr>
        <w:pStyle w:val="Compact"/>
        <w:numPr>
          <w:ilvl w:val="0"/>
          <w:numId w:val="8"/>
        </w:numPr>
      </w:pPr>
      <w:r>
        <w:t>Campground Sites - 2,104</w:t>
      </w:r>
    </w:p>
    <w:p w14:paraId="65DC5DF4" w14:textId="77777777" w:rsidR="001B37B9" w:rsidRDefault="00F03DF4">
      <w:pPr>
        <w:pStyle w:val="Heading3"/>
      </w:pPr>
      <w:bookmarkStart w:id="10" w:name="recreation-attractiveness"/>
      <w:r>
        <w:t>Recreation Attractiveness</w:t>
      </w:r>
      <w:bookmarkEnd w:id="10"/>
    </w:p>
    <w:p w14:paraId="61850FF2" w14:textId="77777777" w:rsidR="001B37B9" w:rsidRDefault="00F03DF4">
      <w:pPr>
        <w:pStyle w:val="BodyText"/>
      </w:pPr>
      <w:r>
        <w:t>Recreation attractiveness was assessed using Streetlight Data’s activity analysis module. Using location-based service (LBS) information,</w:t>
      </w:r>
      <w:r>
        <w:t xml:space="preserve"> Streetlight Data provides an accurate estimate of the relative activity in areas throughout the region. The Streetlight Index is a relative number; it represents the relative activity of all zones considered recreational and influences which areas residen</w:t>
      </w:r>
      <w:r>
        <w:t>ts and visitors travel to for recreation.</w:t>
      </w:r>
    </w:p>
    <w:p w14:paraId="48C1A5A8" w14:textId="77777777" w:rsidR="001B37B9" w:rsidRDefault="00F03DF4">
      <w:pPr>
        <w:pStyle w:val="BodyText"/>
      </w:pPr>
      <w:r>
        <w:rPr>
          <w:b/>
        </w:rPr>
        <w:t>Highest-Activity Recreation Zones</w:t>
      </w:r>
    </w:p>
    <w:p w14:paraId="47FD09B4" w14:textId="77777777" w:rsidR="001B37B9" w:rsidRDefault="00F03DF4">
      <w:pPr>
        <w:pStyle w:val="Compact"/>
        <w:numPr>
          <w:ilvl w:val="0"/>
          <w:numId w:val="10"/>
        </w:numPr>
      </w:pPr>
      <w:r>
        <w:t>Heavenly Village Area</w:t>
      </w:r>
    </w:p>
    <w:p w14:paraId="516A18E7" w14:textId="77777777" w:rsidR="001B37B9" w:rsidRDefault="00F03DF4">
      <w:pPr>
        <w:pStyle w:val="Compact"/>
        <w:numPr>
          <w:ilvl w:val="0"/>
          <w:numId w:val="10"/>
        </w:numPr>
      </w:pPr>
      <w:r>
        <w:t>Lakeside Beach Area</w:t>
      </w:r>
    </w:p>
    <w:p w14:paraId="6E4A3FF0" w14:textId="5DA5FF38" w:rsidR="001B37B9" w:rsidRDefault="00B510EB">
      <w:pPr>
        <w:pStyle w:val="Compact"/>
        <w:numPr>
          <w:ilvl w:val="0"/>
          <w:numId w:val="10"/>
        </w:numPr>
      </w:pPr>
      <w:r>
        <w:rPr>
          <w:noProof/>
        </w:rPr>
        <w:lastRenderedPageBreak/>
        <w:drawing>
          <wp:anchor distT="0" distB="0" distL="114300" distR="114300" simplePos="0" relativeHeight="251660288" behindDoc="0" locked="0" layoutInCell="1" allowOverlap="1" wp14:anchorId="1A0B142B" wp14:editId="1F166FAE">
            <wp:simplePos x="0" y="0"/>
            <wp:positionH relativeFrom="column">
              <wp:posOffset>4427220</wp:posOffset>
            </wp:positionH>
            <wp:positionV relativeFrom="paragraph">
              <wp:posOffset>0</wp:posOffset>
            </wp:positionV>
            <wp:extent cx="1920240" cy="3695700"/>
            <wp:effectExtent l="0" t="0" r="381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4-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9691" r="28742"/>
                    <a:stretch/>
                  </pic:blipFill>
                  <pic:spPr bwMode="auto">
                    <a:xfrm>
                      <a:off x="0" y="0"/>
                      <a:ext cx="1920240" cy="3695700"/>
                    </a:xfrm>
                    <a:prstGeom prst="rect">
                      <a:avLst/>
                    </a:prstGeom>
                    <a:noFill/>
                    <a:ln>
                      <a:noFill/>
                    </a:ln>
                    <a:extLst>
                      <a:ext uri="{53640926-AAD7-44D8-BBD7-CCE9431645EC}">
                        <a14:shadowObscured xmlns:a14="http://schemas.microsoft.com/office/drawing/2010/main"/>
                      </a:ext>
                    </a:extLst>
                  </pic:spPr>
                </pic:pic>
              </a:graphicData>
            </a:graphic>
          </wp:anchor>
        </w:drawing>
      </w:r>
      <w:r w:rsidR="00F03DF4">
        <w:t>Ski Run Marina Area</w:t>
      </w:r>
    </w:p>
    <w:p w14:paraId="3183DB37" w14:textId="77777777" w:rsidR="001B37B9" w:rsidRDefault="00F03DF4">
      <w:pPr>
        <w:pStyle w:val="Compact"/>
        <w:numPr>
          <w:ilvl w:val="0"/>
          <w:numId w:val="10"/>
        </w:numPr>
      </w:pPr>
      <w:r>
        <w:t>Lake View Commons Area</w:t>
      </w:r>
    </w:p>
    <w:p w14:paraId="2A7D9EBB" w14:textId="77777777" w:rsidR="001B37B9" w:rsidRDefault="00F03DF4">
      <w:pPr>
        <w:pStyle w:val="Compact"/>
        <w:numPr>
          <w:ilvl w:val="0"/>
          <w:numId w:val="10"/>
        </w:numPr>
      </w:pPr>
      <w:r>
        <w:t>Rabe Meadow/Nevada Beach Area</w:t>
      </w:r>
    </w:p>
    <w:p w14:paraId="303F25EE" w14:textId="3B20647F" w:rsidR="001B37B9" w:rsidRDefault="00F03DF4">
      <w:pPr>
        <w:pStyle w:val="Heading2"/>
      </w:pPr>
      <w:bookmarkStart w:id="11" w:name="roadway-network-updates"/>
      <w:r>
        <w:t>Roadway Network Updates</w:t>
      </w:r>
      <w:bookmarkEnd w:id="11"/>
    </w:p>
    <w:p w14:paraId="019EE592" w14:textId="633E072C" w:rsidR="001B37B9" w:rsidRDefault="00F03DF4">
      <w:pPr>
        <w:pStyle w:val="FirstParagraph"/>
        <w:rPr>
          <w:noProof/>
        </w:rPr>
      </w:pPr>
      <w:r>
        <w:t>The regional roadway network was refined with updated speeds, lane</w:t>
      </w:r>
      <w:r>
        <w:t>s, and capacity information using Open Street Map (OSM) resources and staff research.</w:t>
      </w:r>
    </w:p>
    <w:p w14:paraId="47D9B7CE" w14:textId="3CE3C003" w:rsidR="001B37B9" w:rsidRDefault="001B37B9">
      <w:pPr>
        <w:pStyle w:val="BodyText"/>
      </w:pPr>
    </w:p>
    <w:p w14:paraId="066D224C" w14:textId="77777777" w:rsidR="001B37B9" w:rsidRDefault="00F03DF4">
      <w:pPr>
        <w:pStyle w:val="Heading2"/>
      </w:pPr>
      <w:bookmarkStart w:id="12" w:name="other-model-updates"/>
      <w:r>
        <w:t>Other Model Updates</w:t>
      </w:r>
      <w:bookmarkEnd w:id="12"/>
    </w:p>
    <w:p w14:paraId="23C96EFD" w14:textId="77777777" w:rsidR="001B37B9" w:rsidRDefault="00F03DF4">
      <w:pPr>
        <w:pStyle w:val="Heading3"/>
      </w:pPr>
      <w:bookmarkStart w:id="13" w:name="visitor-behavior"/>
      <w:r>
        <w:t>Visitor Behavior</w:t>
      </w:r>
      <w:bookmarkEnd w:id="13"/>
    </w:p>
    <w:p w14:paraId="01B3AE4A" w14:textId="77777777" w:rsidR="001B37B9" w:rsidRDefault="00F03DF4">
      <w:pPr>
        <w:pStyle w:val="FirstParagraph"/>
      </w:pPr>
      <w:r>
        <w:t>Visitor patterns were updated using the 2018 TRPA Summer Travel Survey.</w:t>
      </w:r>
    </w:p>
    <w:p w14:paraId="65320035" w14:textId="77777777" w:rsidR="001B37B9" w:rsidRDefault="00F03DF4">
      <w:pPr>
        <w:pStyle w:val="Heading3"/>
      </w:pPr>
      <w:bookmarkStart w:id="14" w:name="external-worker-sub-model"/>
      <w:r>
        <w:t>External Worker Sub-Model</w:t>
      </w:r>
      <w:bookmarkEnd w:id="14"/>
    </w:p>
    <w:p w14:paraId="4A3EDB5B" w14:textId="77777777" w:rsidR="001B37B9" w:rsidRDefault="00F03DF4">
      <w:pPr>
        <w:pStyle w:val="Heading3"/>
      </w:pPr>
      <w:bookmarkStart w:id="15" w:name="external-station-composition"/>
      <w:r>
        <w:t>External Station Composition</w:t>
      </w:r>
      <w:bookmarkEnd w:id="15"/>
    </w:p>
    <w:p w14:paraId="68720454" w14:textId="77777777" w:rsidR="001B37B9" w:rsidRDefault="00F03DF4">
      <w:pPr>
        <w:pStyle w:val="Heading3"/>
      </w:pPr>
      <w:bookmarkStart w:id="16" w:name="external-trip-characteristics"/>
      <w:r>
        <w:t>External Trip Characteristics</w:t>
      </w:r>
      <w:bookmarkEnd w:id="16"/>
    </w:p>
    <w:sectPr w:rsidR="001B37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838C1" w14:textId="77777777" w:rsidR="00000000" w:rsidRDefault="00F03DF4">
      <w:pPr>
        <w:spacing w:after="0"/>
      </w:pPr>
      <w:r>
        <w:separator/>
      </w:r>
    </w:p>
  </w:endnote>
  <w:endnote w:type="continuationSeparator" w:id="0">
    <w:p w14:paraId="47C713A9" w14:textId="77777777" w:rsidR="00000000" w:rsidRDefault="00F03D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7E80A" w14:textId="77777777" w:rsidR="001B37B9" w:rsidRDefault="00F03DF4">
      <w:r>
        <w:separator/>
      </w:r>
    </w:p>
  </w:footnote>
  <w:footnote w:type="continuationSeparator" w:id="0">
    <w:p w14:paraId="648BE7D5" w14:textId="77777777" w:rsidR="001B37B9" w:rsidRDefault="00F03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CC5F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61CC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0100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57862C4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37B9"/>
    <w:rsid w:val="004E29B3"/>
    <w:rsid w:val="00590D07"/>
    <w:rsid w:val="00784D58"/>
    <w:rsid w:val="008A6CE3"/>
    <w:rsid w:val="008D6863"/>
    <w:rsid w:val="00B510EB"/>
    <w:rsid w:val="00B86B75"/>
    <w:rsid w:val="00BA08A5"/>
    <w:rsid w:val="00BC48D5"/>
    <w:rsid w:val="00C36279"/>
    <w:rsid w:val="00C504D6"/>
    <w:rsid w:val="00E315A3"/>
    <w:rsid w:val="00F03D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5516"/>
  <w15:docId w15:val="{CFBFBFD0-2C03-47FA-AC91-D07F2B85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Tahoe Model - 2018 Base Year</dc:title>
  <dc:creator>TRPA Staff</dc:creator>
  <cp:keywords/>
  <cp:lastModifiedBy>Reid Haefer</cp:lastModifiedBy>
  <cp:revision>6</cp:revision>
  <dcterms:created xsi:type="dcterms:W3CDTF">2019-11-05T21:20:00Z</dcterms:created>
  <dcterms:modified xsi:type="dcterms:W3CDTF">2019-11-05T21:25:00Z</dcterms:modified>
</cp:coreProperties>
</file>