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C14E5" w14:textId="27BA82AA" w:rsidR="00A50E0F" w:rsidRDefault="00675B92">
      <w:pPr>
        <w:rPr>
          <w:rFonts w:ascii="Calibri" w:hAnsi="Calibri" w:cs="Calibri"/>
        </w:rPr>
      </w:pPr>
      <w:r>
        <w:rPr>
          <w:rFonts w:ascii="Calibri" w:hAnsi="Calibri" w:cs="Calibri"/>
        </w:rPr>
        <w:t>Occupancy Rate Assumptions</w:t>
      </w:r>
    </w:p>
    <w:p w14:paraId="58AC7DEE" w14:textId="6BD27BCB" w:rsidR="00675B92" w:rsidRDefault="00675B92">
      <w:pPr>
        <w:rPr>
          <w:rFonts w:ascii="Calibri" w:hAnsi="Calibri" w:cs="Calibri"/>
        </w:rPr>
      </w:pPr>
      <w:r>
        <w:rPr>
          <w:rFonts w:ascii="Calibri" w:hAnsi="Calibri" w:cs="Calibri"/>
        </w:rPr>
        <w:t>South Lake Tahoe:</w:t>
      </w:r>
    </w:p>
    <w:p w14:paraId="1A040687" w14:textId="3D42A5D3" w:rsidR="00675B92" w:rsidRDefault="00675B92" w:rsidP="00675B92">
      <w:pPr>
        <w:pStyle w:val="ListParagraph"/>
        <w:numPr>
          <w:ilvl w:val="0"/>
          <w:numId w:val="1"/>
        </w:numPr>
        <w:rPr>
          <w:rFonts w:ascii="Calibri" w:hAnsi="Calibri" w:cs="Calibri"/>
        </w:rPr>
      </w:pPr>
      <w:r>
        <w:rPr>
          <w:rFonts w:ascii="Calibri" w:hAnsi="Calibri" w:cs="Calibri"/>
        </w:rPr>
        <w:t>Using city-provided</w:t>
      </w:r>
      <w:r w:rsidR="0064682E">
        <w:rPr>
          <w:rFonts w:ascii="Calibri" w:hAnsi="Calibri" w:cs="Calibri"/>
        </w:rPr>
        <w:t xml:space="preserve"> </w:t>
      </w:r>
      <w:r w:rsidR="00A50E0F">
        <w:rPr>
          <w:rFonts w:ascii="Calibri" w:hAnsi="Calibri" w:cs="Calibri"/>
        </w:rPr>
        <w:t xml:space="preserve">monthly </w:t>
      </w:r>
      <w:r w:rsidR="00533ED5">
        <w:rPr>
          <w:rFonts w:ascii="Calibri" w:hAnsi="Calibri" w:cs="Calibri"/>
        </w:rPr>
        <w:t xml:space="preserve">hotel/motel </w:t>
      </w:r>
      <w:r w:rsidR="0064682E">
        <w:rPr>
          <w:rFonts w:ascii="Calibri" w:hAnsi="Calibri" w:cs="Calibri"/>
        </w:rPr>
        <w:t>occupancy data for 5 occupancy zones</w:t>
      </w:r>
      <w:r w:rsidR="00791343">
        <w:rPr>
          <w:rFonts w:ascii="Calibri" w:hAnsi="Calibri" w:cs="Calibri"/>
        </w:rPr>
        <w:t>.</w:t>
      </w:r>
    </w:p>
    <w:p w14:paraId="1509533B" w14:textId="4859EF6B" w:rsidR="00533ED5" w:rsidRDefault="00A50E0F" w:rsidP="00533ED5">
      <w:pPr>
        <w:pStyle w:val="ListParagraph"/>
        <w:numPr>
          <w:ilvl w:val="0"/>
          <w:numId w:val="1"/>
        </w:numPr>
        <w:rPr>
          <w:rFonts w:ascii="Calibri" w:hAnsi="Calibri" w:cs="Calibri"/>
        </w:rPr>
      </w:pPr>
      <w:r>
        <w:rPr>
          <w:rFonts w:ascii="Calibri" w:hAnsi="Calibri" w:cs="Calibri"/>
        </w:rPr>
        <w:t>VHR occupancy data provided citywide, constant occupancy rate will be used for all occupancy zone</w:t>
      </w:r>
      <w:r w:rsidR="00533ED5">
        <w:rPr>
          <w:rFonts w:ascii="Calibri" w:hAnsi="Calibri" w:cs="Calibri"/>
        </w:rPr>
        <w:t>s</w:t>
      </w:r>
      <w:r w:rsidR="00791343">
        <w:rPr>
          <w:rFonts w:ascii="Calibri" w:hAnsi="Calibri" w:cs="Calibri"/>
        </w:rPr>
        <w:t>.</w:t>
      </w:r>
    </w:p>
    <w:p w14:paraId="1C770B06" w14:textId="1A46D18D" w:rsidR="00533ED5" w:rsidRPr="00533ED5" w:rsidRDefault="00533ED5" w:rsidP="00533ED5">
      <w:pPr>
        <w:pStyle w:val="ListParagraph"/>
        <w:numPr>
          <w:ilvl w:val="0"/>
          <w:numId w:val="1"/>
        </w:numPr>
        <w:rPr>
          <w:rFonts w:ascii="Calibri" w:hAnsi="Calibri" w:cs="Calibri"/>
        </w:rPr>
      </w:pPr>
      <w:r>
        <w:rPr>
          <w:rFonts w:ascii="Calibri" w:hAnsi="Calibri" w:cs="Calibri"/>
        </w:rPr>
        <w:t xml:space="preserve">Zonal and VHR occupancy rates calculated by dividing rooms rented in a month by </w:t>
      </w:r>
      <w:r w:rsidR="00791343">
        <w:rPr>
          <w:rFonts w:ascii="Calibri" w:hAnsi="Calibri" w:cs="Calibri"/>
        </w:rPr>
        <w:t>the number of hotel rooms or VHRs in a zone (hotels) or the City of South Lake Tahoe (VHRs) theoretically available in a month per TRPA parcel data, where theoretical rooms available in a zone per month is the product of TRPA hotel rooms in a zone and the number of days in the respective month.</w:t>
      </w:r>
    </w:p>
    <w:p w14:paraId="2DD3D8AC" w14:textId="5ADE63CF" w:rsidR="0064682E" w:rsidRDefault="00675B92">
      <w:pPr>
        <w:rPr>
          <w:rFonts w:ascii="Calibri" w:hAnsi="Calibri" w:cs="Calibri"/>
        </w:rPr>
      </w:pPr>
      <w:r>
        <w:rPr>
          <w:rFonts w:ascii="Calibri" w:hAnsi="Calibri" w:cs="Calibri"/>
        </w:rPr>
        <w:t>Douglas County:</w:t>
      </w:r>
    </w:p>
    <w:p w14:paraId="6532081E" w14:textId="2E80F670" w:rsidR="0064682E" w:rsidRDefault="00A50E0F" w:rsidP="0064682E">
      <w:pPr>
        <w:pStyle w:val="ListParagraph"/>
        <w:numPr>
          <w:ilvl w:val="0"/>
          <w:numId w:val="2"/>
        </w:numPr>
        <w:rPr>
          <w:rFonts w:ascii="Calibri" w:hAnsi="Calibri" w:cs="Calibri"/>
        </w:rPr>
      </w:pPr>
      <w:r>
        <w:rPr>
          <w:rFonts w:ascii="Calibri" w:hAnsi="Calibri" w:cs="Calibri"/>
        </w:rPr>
        <w:t>Nevada G</w:t>
      </w:r>
      <w:r w:rsidR="0064682E">
        <w:rPr>
          <w:rFonts w:ascii="Calibri" w:hAnsi="Calibri" w:cs="Calibri"/>
        </w:rPr>
        <w:t xml:space="preserve">aming </w:t>
      </w:r>
      <w:r>
        <w:rPr>
          <w:rFonts w:ascii="Calibri" w:hAnsi="Calibri" w:cs="Calibri"/>
        </w:rPr>
        <w:t>A</w:t>
      </w:r>
      <w:r w:rsidR="0064682E">
        <w:rPr>
          <w:rFonts w:ascii="Calibri" w:hAnsi="Calibri" w:cs="Calibri"/>
        </w:rPr>
        <w:t xml:space="preserve">bstract </w:t>
      </w:r>
      <w:r>
        <w:rPr>
          <w:rFonts w:ascii="Calibri" w:hAnsi="Calibri" w:cs="Calibri"/>
        </w:rPr>
        <w:t xml:space="preserve">monthly figures </w:t>
      </w:r>
      <w:r w:rsidR="0064682E">
        <w:rPr>
          <w:rFonts w:ascii="Calibri" w:hAnsi="Calibri" w:cs="Calibri"/>
        </w:rPr>
        <w:t>for casinos are reliable</w:t>
      </w:r>
      <w:r>
        <w:rPr>
          <w:rFonts w:ascii="Calibri" w:hAnsi="Calibri" w:cs="Calibri"/>
        </w:rPr>
        <w:t xml:space="preserve"> and reasonable; this data </w:t>
      </w:r>
      <w:proofErr w:type="gramStart"/>
      <w:r>
        <w:rPr>
          <w:rFonts w:ascii="Calibri" w:hAnsi="Calibri" w:cs="Calibri"/>
        </w:rPr>
        <w:t>being</w:t>
      </w:r>
      <w:proofErr w:type="gramEnd"/>
      <w:r>
        <w:rPr>
          <w:rFonts w:ascii="Calibri" w:hAnsi="Calibri" w:cs="Calibri"/>
        </w:rPr>
        <w:t xml:space="preserve"> used as an input for rented rooms at casino properties.</w:t>
      </w:r>
    </w:p>
    <w:p w14:paraId="0C852CA3" w14:textId="6C37F64F" w:rsidR="0064682E" w:rsidRDefault="00A50E0F" w:rsidP="0064682E">
      <w:pPr>
        <w:pStyle w:val="ListParagraph"/>
        <w:numPr>
          <w:ilvl w:val="0"/>
          <w:numId w:val="2"/>
        </w:numPr>
        <w:rPr>
          <w:rFonts w:ascii="Calibri" w:hAnsi="Calibri" w:cs="Calibri"/>
        </w:rPr>
      </w:pPr>
      <w:r>
        <w:rPr>
          <w:rFonts w:ascii="Calibri" w:hAnsi="Calibri" w:cs="Calibri"/>
        </w:rPr>
        <w:t>Monthly c</w:t>
      </w:r>
      <w:r w:rsidR="0064682E">
        <w:rPr>
          <w:rFonts w:ascii="Calibri" w:hAnsi="Calibri" w:cs="Calibri"/>
        </w:rPr>
        <w:t>asino occupancy rate</w:t>
      </w:r>
      <w:r>
        <w:rPr>
          <w:rFonts w:ascii="Calibri" w:hAnsi="Calibri" w:cs="Calibri"/>
        </w:rPr>
        <w:t>s</w:t>
      </w:r>
      <w:r w:rsidR="0064682E">
        <w:rPr>
          <w:rFonts w:ascii="Calibri" w:hAnsi="Calibri" w:cs="Calibri"/>
        </w:rPr>
        <w:t xml:space="preserve"> from </w:t>
      </w:r>
      <w:r>
        <w:rPr>
          <w:rFonts w:ascii="Calibri" w:hAnsi="Calibri" w:cs="Calibri"/>
        </w:rPr>
        <w:t xml:space="preserve">Nevada Gaming Abstract </w:t>
      </w:r>
      <w:r w:rsidR="0064682E">
        <w:rPr>
          <w:rFonts w:ascii="Calibri" w:hAnsi="Calibri" w:cs="Calibri"/>
        </w:rPr>
        <w:t>applied to non-casino hotels</w:t>
      </w:r>
      <w:r>
        <w:rPr>
          <w:rFonts w:ascii="Calibri" w:hAnsi="Calibri" w:cs="Calibri"/>
        </w:rPr>
        <w:t>, as Douglas County occupancy figures appear unreliable.</w:t>
      </w:r>
    </w:p>
    <w:p w14:paraId="200591F4" w14:textId="31217951" w:rsidR="0064682E" w:rsidRDefault="0064682E" w:rsidP="0064682E">
      <w:pPr>
        <w:pStyle w:val="ListParagraph"/>
        <w:numPr>
          <w:ilvl w:val="0"/>
          <w:numId w:val="2"/>
        </w:numPr>
        <w:rPr>
          <w:rFonts w:ascii="Calibri" w:hAnsi="Calibri" w:cs="Calibri"/>
        </w:rPr>
      </w:pPr>
      <w:r>
        <w:rPr>
          <w:rFonts w:ascii="Calibri" w:hAnsi="Calibri" w:cs="Calibri"/>
        </w:rPr>
        <w:t xml:space="preserve">For lack of a better figure, </w:t>
      </w:r>
      <w:r w:rsidR="00A50E0F">
        <w:rPr>
          <w:rFonts w:ascii="Calibri" w:hAnsi="Calibri" w:cs="Calibri"/>
        </w:rPr>
        <w:t xml:space="preserve">Douglas County </w:t>
      </w:r>
      <w:r>
        <w:rPr>
          <w:rFonts w:ascii="Calibri" w:hAnsi="Calibri" w:cs="Calibri"/>
        </w:rPr>
        <w:t>VHR occupancy rate used for VHRs</w:t>
      </w:r>
      <w:r w:rsidR="00A50E0F">
        <w:rPr>
          <w:rFonts w:ascii="Calibri" w:hAnsi="Calibri" w:cs="Calibri"/>
        </w:rPr>
        <w:t xml:space="preserve">, but not the county figures for VHRs rented/available. </w:t>
      </w:r>
    </w:p>
    <w:p w14:paraId="6D494643" w14:textId="339A7A7D" w:rsidR="00791343" w:rsidRDefault="00791343" w:rsidP="0064682E">
      <w:pPr>
        <w:pStyle w:val="ListParagraph"/>
        <w:numPr>
          <w:ilvl w:val="0"/>
          <w:numId w:val="2"/>
        </w:numPr>
        <w:rPr>
          <w:rFonts w:ascii="Calibri" w:hAnsi="Calibri" w:cs="Calibri"/>
        </w:rPr>
      </w:pPr>
      <w:r>
        <w:rPr>
          <w:rFonts w:ascii="Calibri" w:hAnsi="Calibri" w:cs="Calibri"/>
        </w:rPr>
        <w:t xml:space="preserve">Occupancy rate for casino hotels calculated by </w:t>
      </w:r>
      <w:r>
        <w:rPr>
          <w:rFonts w:ascii="Calibri" w:hAnsi="Calibri" w:cs="Calibri"/>
        </w:rPr>
        <w:t>dividing rooms rented in a month by the number of</w:t>
      </w:r>
      <w:r>
        <w:rPr>
          <w:rFonts w:ascii="Calibri" w:hAnsi="Calibri" w:cs="Calibri"/>
        </w:rPr>
        <w:t xml:space="preserve"> casino</w:t>
      </w:r>
      <w:r>
        <w:rPr>
          <w:rFonts w:ascii="Calibri" w:hAnsi="Calibri" w:cs="Calibri"/>
        </w:rPr>
        <w:t xml:space="preserve"> hotel rooms </w:t>
      </w:r>
      <w:r>
        <w:rPr>
          <w:rFonts w:ascii="Calibri" w:hAnsi="Calibri" w:cs="Calibri"/>
        </w:rPr>
        <w:t>in Douglas County</w:t>
      </w:r>
      <w:r>
        <w:rPr>
          <w:rFonts w:ascii="Calibri" w:hAnsi="Calibri" w:cs="Calibri"/>
        </w:rPr>
        <w:t xml:space="preserve"> theoretically available in a month per TRPA parcel data, where theoretical rooms available per month is the product of TRPA hotel rooms in a zone by the number of days in the respective</w:t>
      </w:r>
      <w:r>
        <w:rPr>
          <w:rFonts w:ascii="Calibri" w:hAnsi="Calibri" w:cs="Calibri"/>
        </w:rPr>
        <w:t xml:space="preserve"> month.</w:t>
      </w:r>
    </w:p>
    <w:p w14:paraId="5783F1A5" w14:textId="5662A423" w:rsidR="00791343" w:rsidRPr="0064682E" w:rsidRDefault="00791343" w:rsidP="0064682E">
      <w:pPr>
        <w:pStyle w:val="ListParagraph"/>
        <w:numPr>
          <w:ilvl w:val="0"/>
          <w:numId w:val="2"/>
        </w:numPr>
        <w:rPr>
          <w:rFonts w:ascii="Calibri" w:hAnsi="Calibri" w:cs="Calibri"/>
        </w:rPr>
      </w:pPr>
      <w:r>
        <w:rPr>
          <w:rFonts w:ascii="Calibri" w:hAnsi="Calibri" w:cs="Calibri"/>
        </w:rPr>
        <w:t xml:space="preserve">Occupancy rate for non-casino hotels and VHRs is </w:t>
      </w:r>
      <w:r>
        <w:rPr>
          <w:rFonts w:ascii="Calibri" w:hAnsi="Calibri" w:cs="Calibri"/>
          <w:i/>
          <w:iCs/>
        </w:rPr>
        <w:t>not</w:t>
      </w:r>
      <w:r>
        <w:rPr>
          <w:rFonts w:ascii="Calibri" w:hAnsi="Calibri" w:cs="Calibri"/>
        </w:rPr>
        <w:t xml:space="preserve"> calculated; </w:t>
      </w:r>
      <w:r w:rsidRPr="00791343">
        <w:rPr>
          <w:rFonts w:ascii="Calibri" w:hAnsi="Calibri" w:cs="Calibri"/>
          <w:highlight w:val="yellow"/>
        </w:rPr>
        <w:t>the Gaming Abstract rate is used directly for non-casino hotels</w:t>
      </w:r>
      <w:r>
        <w:rPr>
          <w:rFonts w:ascii="Calibri" w:hAnsi="Calibri" w:cs="Calibri"/>
        </w:rPr>
        <w:t xml:space="preserve"> and the Douglas County rate is used directly for VHRs.</w:t>
      </w:r>
    </w:p>
    <w:p w14:paraId="1E5E943A" w14:textId="247D3F0F" w:rsidR="00675B92" w:rsidRDefault="00675B92">
      <w:pPr>
        <w:rPr>
          <w:rFonts w:ascii="Calibri" w:hAnsi="Calibri" w:cs="Calibri"/>
        </w:rPr>
      </w:pPr>
      <w:r>
        <w:rPr>
          <w:rFonts w:ascii="Calibri" w:hAnsi="Calibri" w:cs="Calibri"/>
        </w:rPr>
        <w:t>El Dorado County:</w:t>
      </w:r>
    </w:p>
    <w:p w14:paraId="26E939EA" w14:textId="0979AD77" w:rsidR="0064682E" w:rsidRDefault="0064682E" w:rsidP="0064682E">
      <w:pPr>
        <w:pStyle w:val="ListParagraph"/>
        <w:numPr>
          <w:ilvl w:val="0"/>
          <w:numId w:val="3"/>
        </w:numPr>
        <w:rPr>
          <w:rFonts w:ascii="Calibri" w:hAnsi="Calibri" w:cs="Calibri"/>
        </w:rPr>
      </w:pPr>
      <w:r>
        <w:rPr>
          <w:rFonts w:ascii="Calibri" w:hAnsi="Calibri" w:cs="Calibri"/>
        </w:rPr>
        <w:t>Using South Lake Tahoe VHR occupancy rate for VHRs</w:t>
      </w:r>
    </w:p>
    <w:p w14:paraId="5612EA07" w14:textId="567BDE6E" w:rsidR="0064682E" w:rsidRDefault="0064682E" w:rsidP="0064682E">
      <w:pPr>
        <w:pStyle w:val="ListParagraph"/>
        <w:numPr>
          <w:ilvl w:val="0"/>
          <w:numId w:val="3"/>
        </w:numPr>
        <w:rPr>
          <w:rFonts w:ascii="Calibri" w:hAnsi="Calibri" w:cs="Calibri"/>
        </w:rPr>
      </w:pPr>
      <w:r>
        <w:rPr>
          <w:rFonts w:ascii="Calibri" w:hAnsi="Calibri" w:cs="Calibri"/>
        </w:rPr>
        <w:t>For the few hotel/motel properties, estimatin</w:t>
      </w:r>
      <w:r w:rsidR="00A50E0F">
        <w:rPr>
          <w:rFonts w:ascii="Calibri" w:hAnsi="Calibri" w:cs="Calibri"/>
        </w:rPr>
        <w:t>g occupancy rates through spatial interpolation</w:t>
      </w:r>
    </w:p>
    <w:p w14:paraId="7DD6E5F3" w14:textId="7CE06E3B" w:rsidR="00791343" w:rsidRPr="0064682E" w:rsidRDefault="00791343" w:rsidP="0064682E">
      <w:pPr>
        <w:pStyle w:val="ListParagraph"/>
        <w:numPr>
          <w:ilvl w:val="0"/>
          <w:numId w:val="3"/>
        </w:numPr>
        <w:rPr>
          <w:rFonts w:ascii="Calibri" w:hAnsi="Calibri" w:cs="Calibri"/>
        </w:rPr>
      </w:pPr>
      <w:r>
        <w:rPr>
          <w:rFonts w:ascii="Calibri" w:hAnsi="Calibri" w:cs="Calibri"/>
        </w:rPr>
        <w:t>As South Lake Tahoe hotel zones near El Dorado County have abnormally low occupancy rates, these numbers may be modified to reflect the South Lake Tahoe citywide rate or Placer County rates.</w:t>
      </w:r>
    </w:p>
    <w:p w14:paraId="3C74FED6" w14:textId="59038F37" w:rsidR="00675B92" w:rsidRDefault="00675B92">
      <w:pPr>
        <w:rPr>
          <w:rFonts w:ascii="Calibri" w:hAnsi="Calibri" w:cs="Calibri"/>
        </w:rPr>
      </w:pPr>
      <w:r>
        <w:rPr>
          <w:rFonts w:ascii="Calibri" w:hAnsi="Calibri" w:cs="Calibri"/>
        </w:rPr>
        <w:t>Placer County:</w:t>
      </w:r>
    </w:p>
    <w:p w14:paraId="6AB144CD" w14:textId="0AABCEBA" w:rsidR="00A50E0F" w:rsidRDefault="00A50E0F" w:rsidP="00A50E0F">
      <w:pPr>
        <w:pStyle w:val="ListParagraph"/>
        <w:numPr>
          <w:ilvl w:val="0"/>
          <w:numId w:val="5"/>
        </w:numPr>
        <w:rPr>
          <w:rFonts w:ascii="Calibri" w:hAnsi="Calibri" w:cs="Calibri"/>
        </w:rPr>
      </w:pPr>
      <w:r>
        <w:rPr>
          <w:rFonts w:ascii="Calibri" w:hAnsi="Calibri" w:cs="Calibri"/>
        </w:rPr>
        <w:t>Placer County provides occupancy data for a set of neighborhood occupancy zones on a quarterly basis</w:t>
      </w:r>
    </w:p>
    <w:p w14:paraId="4761454C" w14:textId="6B5BD4B5" w:rsidR="00A50E0F" w:rsidRDefault="00791343" w:rsidP="00A50E0F">
      <w:pPr>
        <w:pStyle w:val="ListParagraph"/>
        <w:numPr>
          <w:ilvl w:val="0"/>
          <w:numId w:val="5"/>
        </w:numPr>
        <w:rPr>
          <w:rFonts w:ascii="Calibri" w:hAnsi="Calibri" w:cs="Calibri"/>
        </w:rPr>
      </w:pPr>
      <w:r>
        <w:rPr>
          <w:rFonts w:ascii="Calibri" w:hAnsi="Calibri" w:cs="Calibri"/>
        </w:rPr>
        <w:t xml:space="preserve">Occupancy types “Hotel”, “Motel”, and “Bed and Breakfast” combined for a “Hotel/Motel” occupancy rate. All other occupancy types </w:t>
      </w:r>
      <w:proofErr w:type="gramStart"/>
      <w:r>
        <w:rPr>
          <w:rFonts w:ascii="Calibri" w:hAnsi="Calibri" w:cs="Calibri"/>
        </w:rPr>
        <w:t>are considered to be</w:t>
      </w:r>
      <w:proofErr w:type="gramEnd"/>
      <w:r>
        <w:rPr>
          <w:rFonts w:ascii="Calibri" w:hAnsi="Calibri" w:cs="Calibri"/>
        </w:rPr>
        <w:t xml:space="preserve"> VHRs.</w:t>
      </w:r>
    </w:p>
    <w:p w14:paraId="2CCBE47B" w14:textId="027BEFA9" w:rsidR="00791343" w:rsidRPr="00791343" w:rsidRDefault="00791343" w:rsidP="00791343">
      <w:pPr>
        <w:pStyle w:val="ListParagraph"/>
        <w:numPr>
          <w:ilvl w:val="0"/>
          <w:numId w:val="5"/>
        </w:numPr>
        <w:rPr>
          <w:rFonts w:ascii="Calibri" w:hAnsi="Calibri" w:cs="Calibri"/>
        </w:rPr>
      </w:pPr>
      <w:r w:rsidRPr="00791343">
        <w:rPr>
          <w:rFonts w:ascii="Calibri" w:hAnsi="Calibri" w:cs="Calibri"/>
        </w:rPr>
        <w:t>Zonal occupancy rates</w:t>
      </w:r>
      <w:r>
        <w:rPr>
          <w:rFonts w:ascii="Calibri" w:hAnsi="Calibri" w:cs="Calibri"/>
        </w:rPr>
        <w:t xml:space="preserve"> for each occupancy type</w:t>
      </w:r>
      <w:r w:rsidRPr="00791343">
        <w:rPr>
          <w:rFonts w:ascii="Calibri" w:hAnsi="Calibri" w:cs="Calibri"/>
        </w:rPr>
        <w:t xml:space="preserve"> calculated by dividing rooms rented in a</w:t>
      </w:r>
      <w:r>
        <w:rPr>
          <w:rFonts w:ascii="Calibri" w:hAnsi="Calibri" w:cs="Calibri"/>
        </w:rPr>
        <w:t xml:space="preserve"> quarter </w:t>
      </w:r>
      <w:r w:rsidRPr="00791343">
        <w:rPr>
          <w:rFonts w:ascii="Calibri" w:hAnsi="Calibri" w:cs="Calibri"/>
        </w:rPr>
        <w:t xml:space="preserve">by the number of hotel rooms or VHRs in a zone </w:t>
      </w:r>
      <w:r>
        <w:rPr>
          <w:rFonts w:ascii="Calibri" w:hAnsi="Calibri" w:cs="Calibri"/>
        </w:rPr>
        <w:t xml:space="preserve">that are </w:t>
      </w:r>
      <w:r w:rsidRPr="00791343">
        <w:rPr>
          <w:rFonts w:ascii="Calibri" w:hAnsi="Calibri" w:cs="Calibri"/>
        </w:rPr>
        <w:t xml:space="preserve">theoretically available in a </w:t>
      </w:r>
      <w:r>
        <w:rPr>
          <w:rFonts w:ascii="Calibri" w:hAnsi="Calibri" w:cs="Calibri"/>
        </w:rPr>
        <w:t>quarter</w:t>
      </w:r>
      <w:r w:rsidRPr="00791343">
        <w:rPr>
          <w:rFonts w:ascii="Calibri" w:hAnsi="Calibri" w:cs="Calibri"/>
        </w:rPr>
        <w:t xml:space="preserve"> per TRPA parcel data, where theoretical rooms available in a zone per </w:t>
      </w:r>
      <w:r>
        <w:rPr>
          <w:rFonts w:ascii="Calibri" w:hAnsi="Calibri" w:cs="Calibri"/>
        </w:rPr>
        <w:t>quarter</w:t>
      </w:r>
      <w:r w:rsidRPr="00791343">
        <w:rPr>
          <w:rFonts w:ascii="Calibri" w:hAnsi="Calibri" w:cs="Calibri"/>
        </w:rPr>
        <w:t xml:space="preserve"> is the product of TRPA hotel rooms</w:t>
      </w:r>
      <w:r>
        <w:rPr>
          <w:rFonts w:ascii="Calibri" w:hAnsi="Calibri" w:cs="Calibri"/>
        </w:rPr>
        <w:t xml:space="preserve"> or VHRs</w:t>
      </w:r>
      <w:r w:rsidRPr="00791343">
        <w:rPr>
          <w:rFonts w:ascii="Calibri" w:hAnsi="Calibri" w:cs="Calibri"/>
        </w:rPr>
        <w:t xml:space="preserve"> in a zone </w:t>
      </w:r>
      <w:r>
        <w:rPr>
          <w:rFonts w:ascii="Calibri" w:hAnsi="Calibri" w:cs="Calibri"/>
        </w:rPr>
        <w:t>and the number of days in the respective quarter</w:t>
      </w:r>
      <w:r w:rsidR="006065F8">
        <w:rPr>
          <w:rFonts w:ascii="Calibri" w:hAnsi="Calibri" w:cs="Calibri"/>
        </w:rPr>
        <w:t>.</w:t>
      </w:r>
    </w:p>
    <w:p w14:paraId="5AA38819" w14:textId="5DE0962E" w:rsidR="00A50E0F" w:rsidRPr="00A50E0F" w:rsidRDefault="00A50E0F" w:rsidP="00A50E0F">
      <w:pPr>
        <w:pStyle w:val="ListParagraph"/>
        <w:numPr>
          <w:ilvl w:val="0"/>
          <w:numId w:val="5"/>
        </w:numPr>
        <w:rPr>
          <w:rFonts w:ascii="Calibri" w:hAnsi="Calibri" w:cs="Calibri"/>
        </w:rPr>
      </w:pPr>
      <w:r>
        <w:rPr>
          <w:rFonts w:ascii="Calibri" w:hAnsi="Calibri" w:cs="Calibri"/>
        </w:rPr>
        <w:lastRenderedPageBreak/>
        <w:t>For TAUs outside of an occupancy zone, estimat</w:t>
      </w:r>
      <w:r w:rsidR="00791343">
        <w:rPr>
          <w:rFonts w:ascii="Calibri" w:hAnsi="Calibri" w:cs="Calibri"/>
        </w:rPr>
        <w:t xml:space="preserve">e </w:t>
      </w:r>
      <w:r>
        <w:rPr>
          <w:rFonts w:ascii="Calibri" w:hAnsi="Calibri" w:cs="Calibri"/>
        </w:rPr>
        <w:t>occupancy rates through spatial interpolation of nearby occupancy zones</w:t>
      </w:r>
    </w:p>
    <w:p w14:paraId="4C7D9F58" w14:textId="026321B7" w:rsidR="00675B92" w:rsidRDefault="00675B92">
      <w:pPr>
        <w:rPr>
          <w:rFonts w:ascii="Calibri" w:hAnsi="Calibri" w:cs="Calibri"/>
        </w:rPr>
      </w:pPr>
      <w:r>
        <w:rPr>
          <w:rFonts w:ascii="Calibri" w:hAnsi="Calibri" w:cs="Calibri"/>
        </w:rPr>
        <w:t>Washoe County:</w:t>
      </w:r>
    </w:p>
    <w:p w14:paraId="4D6D4410" w14:textId="4011D73F" w:rsidR="00A50E0F" w:rsidRDefault="00A50E0F" w:rsidP="00A50E0F">
      <w:pPr>
        <w:pStyle w:val="ListParagraph"/>
        <w:numPr>
          <w:ilvl w:val="0"/>
          <w:numId w:val="4"/>
        </w:numPr>
        <w:rPr>
          <w:rFonts w:ascii="Calibri" w:hAnsi="Calibri" w:cs="Calibri"/>
        </w:rPr>
      </w:pPr>
      <w:r>
        <w:rPr>
          <w:rFonts w:ascii="Calibri" w:hAnsi="Calibri" w:cs="Calibri"/>
        </w:rPr>
        <w:t>Using monthly rooms rented as provided by RSCVA</w:t>
      </w:r>
      <w:r w:rsidR="006065F8">
        <w:rPr>
          <w:rFonts w:ascii="Calibri" w:hAnsi="Calibri" w:cs="Calibri"/>
        </w:rPr>
        <w:t>.</w:t>
      </w:r>
    </w:p>
    <w:p w14:paraId="342D76CB" w14:textId="3FB13DF3" w:rsidR="00A50E0F" w:rsidRDefault="00A50E0F" w:rsidP="00A50E0F">
      <w:pPr>
        <w:pStyle w:val="ListParagraph"/>
        <w:numPr>
          <w:ilvl w:val="0"/>
          <w:numId w:val="4"/>
        </w:numPr>
        <w:rPr>
          <w:rFonts w:ascii="Calibri" w:hAnsi="Calibri" w:cs="Calibri"/>
        </w:rPr>
      </w:pPr>
      <w:r>
        <w:rPr>
          <w:rFonts w:ascii="Calibri" w:hAnsi="Calibri" w:cs="Calibri"/>
        </w:rPr>
        <w:t>For homeowner rentals (a subset of VHRs), quarterly units rented are provided</w:t>
      </w:r>
      <w:r w:rsidR="006065F8">
        <w:rPr>
          <w:rFonts w:ascii="Calibri" w:hAnsi="Calibri" w:cs="Calibri"/>
        </w:rPr>
        <w:t xml:space="preserve">. For these units (approximately 500-1500 rentals/month), </w:t>
      </w:r>
      <w:r w:rsidR="006065F8" w:rsidRPr="006065F8">
        <w:rPr>
          <w:rFonts w:ascii="Calibri" w:hAnsi="Calibri" w:cs="Calibri"/>
          <w:highlight w:val="yellow"/>
        </w:rPr>
        <w:t>distribute rented rooms from July – September quarter evenly among all months to estimate</w:t>
      </w:r>
      <w:r w:rsidR="006065F8">
        <w:rPr>
          <w:rFonts w:ascii="Calibri" w:hAnsi="Calibri" w:cs="Calibri"/>
        </w:rPr>
        <w:t>.</w:t>
      </w:r>
    </w:p>
    <w:p w14:paraId="2BCDC33C" w14:textId="2EC11365" w:rsidR="006065F8" w:rsidRDefault="006065F8" w:rsidP="00A50E0F">
      <w:pPr>
        <w:pStyle w:val="ListParagraph"/>
        <w:numPr>
          <w:ilvl w:val="0"/>
          <w:numId w:val="4"/>
        </w:numPr>
        <w:rPr>
          <w:rFonts w:ascii="Calibri" w:hAnsi="Calibri" w:cs="Calibri"/>
        </w:rPr>
      </w:pPr>
      <w:r>
        <w:rPr>
          <w:rFonts w:ascii="Calibri" w:hAnsi="Calibri" w:cs="Calibri"/>
        </w:rPr>
        <w:t>Occupancy types “Hotel” and “Motel” combined for “Hotel/Motel”.</w:t>
      </w:r>
    </w:p>
    <w:p w14:paraId="50092FAF" w14:textId="02F5E78F" w:rsidR="006065F8" w:rsidRDefault="006065F8" w:rsidP="00A50E0F">
      <w:pPr>
        <w:pStyle w:val="ListParagraph"/>
        <w:numPr>
          <w:ilvl w:val="0"/>
          <w:numId w:val="4"/>
        </w:numPr>
        <w:rPr>
          <w:rFonts w:ascii="Calibri" w:hAnsi="Calibri" w:cs="Calibri"/>
        </w:rPr>
      </w:pPr>
      <w:r>
        <w:rPr>
          <w:rFonts w:ascii="Calibri" w:hAnsi="Calibri" w:cs="Calibri"/>
        </w:rPr>
        <w:t>Occupancy types “Timeshare”, “Vacation”, and “Homeowner” considered to be VHRs.</w:t>
      </w:r>
    </w:p>
    <w:p w14:paraId="52606066" w14:textId="1DD6080E" w:rsidR="006065F8" w:rsidRPr="006065F8" w:rsidRDefault="006065F8" w:rsidP="006065F8">
      <w:pPr>
        <w:pStyle w:val="ListParagraph"/>
        <w:numPr>
          <w:ilvl w:val="0"/>
          <w:numId w:val="4"/>
        </w:numPr>
        <w:rPr>
          <w:rFonts w:ascii="Calibri" w:hAnsi="Calibri" w:cs="Calibri"/>
        </w:rPr>
      </w:pPr>
      <w:r>
        <w:rPr>
          <w:rFonts w:ascii="Calibri" w:hAnsi="Calibri" w:cs="Calibri"/>
        </w:rPr>
        <w:t>O</w:t>
      </w:r>
      <w:r w:rsidRPr="00791343">
        <w:rPr>
          <w:rFonts w:ascii="Calibri" w:hAnsi="Calibri" w:cs="Calibri"/>
        </w:rPr>
        <w:t>ccupancy rates</w:t>
      </w:r>
      <w:r>
        <w:rPr>
          <w:rFonts w:ascii="Calibri" w:hAnsi="Calibri" w:cs="Calibri"/>
        </w:rPr>
        <w:t xml:space="preserve"> for each occupancy type</w:t>
      </w:r>
      <w:r w:rsidRPr="00791343">
        <w:rPr>
          <w:rFonts w:ascii="Calibri" w:hAnsi="Calibri" w:cs="Calibri"/>
        </w:rPr>
        <w:t xml:space="preserve"> calculated by dividing rooms rented in a</w:t>
      </w:r>
      <w:r>
        <w:rPr>
          <w:rFonts w:ascii="Calibri" w:hAnsi="Calibri" w:cs="Calibri"/>
        </w:rPr>
        <w:t xml:space="preserve"> </w:t>
      </w:r>
      <w:r>
        <w:rPr>
          <w:rFonts w:ascii="Calibri" w:hAnsi="Calibri" w:cs="Calibri"/>
        </w:rPr>
        <w:t>month</w:t>
      </w:r>
      <w:r>
        <w:rPr>
          <w:rFonts w:ascii="Calibri" w:hAnsi="Calibri" w:cs="Calibri"/>
        </w:rPr>
        <w:t xml:space="preserve"> </w:t>
      </w:r>
      <w:r w:rsidRPr="00791343">
        <w:rPr>
          <w:rFonts w:ascii="Calibri" w:hAnsi="Calibri" w:cs="Calibri"/>
        </w:rPr>
        <w:t xml:space="preserve">by the number of hotel rooms or VHRs in </w:t>
      </w:r>
      <w:r>
        <w:rPr>
          <w:rFonts w:ascii="Calibri" w:hAnsi="Calibri" w:cs="Calibri"/>
        </w:rPr>
        <w:t xml:space="preserve">Washoe County </w:t>
      </w:r>
      <w:r>
        <w:rPr>
          <w:rFonts w:ascii="Calibri" w:hAnsi="Calibri" w:cs="Calibri"/>
        </w:rPr>
        <w:t xml:space="preserve">that are </w:t>
      </w:r>
      <w:r w:rsidRPr="00791343">
        <w:rPr>
          <w:rFonts w:ascii="Calibri" w:hAnsi="Calibri" w:cs="Calibri"/>
        </w:rPr>
        <w:t>theoretically available in a</w:t>
      </w:r>
      <w:r>
        <w:rPr>
          <w:rFonts w:ascii="Calibri" w:hAnsi="Calibri" w:cs="Calibri"/>
        </w:rPr>
        <w:t xml:space="preserve"> month</w:t>
      </w:r>
      <w:r w:rsidRPr="00791343">
        <w:rPr>
          <w:rFonts w:ascii="Calibri" w:hAnsi="Calibri" w:cs="Calibri"/>
        </w:rPr>
        <w:t xml:space="preserve"> per TRPA parcel data, where theoretical rooms available </w:t>
      </w:r>
      <w:r>
        <w:rPr>
          <w:rFonts w:ascii="Calibri" w:hAnsi="Calibri" w:cs="Calibri"/>
        </w:rPr>
        <w:t xml:space="preserve">per month </w:t>
      </w:r>
      <w:r w:rsidRPr="00791343">
        <w:rPr>
          <w:rFonts w:ascii="Calibri" w:hAnsi="Calibri" w:cs="Calibri"/>
        </w:rPr>
        <w:t>is the product of TRPA hotel rooms</w:t>
      </w:r>
      <w:r>
        <w:rPr>
          <w:rFonts w:ascii="Calibri" w:hAnsi="Calibri" w:cs="Calibri"/>
        </w:rPr>
        <w:t xml:space="preserve"> or VHRs</w:t>
      </w:r>
      <w:r w:rsidRPr="00791343">
        <w:rPr>
          <w:rFonts w:ascii="Calibri" w:hAnsi="Calibri" w:cs="Calibri"/>
        </w:rPr>
        <w:t xml:space="preserve"> </w:t>
      </w:r>
      <w:r>
        <w:rPr>
          <w:rFonts w:ascii="Calibri" w:hAnsi="Calibri" w:cs="Calibri"/>
        </w:rPr>
        <w:t xml:space="preserve">and the number of days in the respective </w:t>
      </w:r>
      <w:r>
        <w:rPr>
          <w:rFonts w:ascii="Calibri" w:hAnsi="Calibri" w:cs="Calibri"/>
        </w:rPr>
        <w:t>month.</w:t>
      </w:r>
    </w:p>
    <w:p w14:paraId="0639E162" w14:textId="77777777" w:rsidR="00A50E0F" w:rsidRDefault="00A50E0F" w:rsidP="00A50E0F">
      <w:pPr>
        <w:rPr>
          <w:rFonts w:ascii="Calibri" w:hAnsi="Calibri" w:cs="Calibri"/>
        </w:rPr>
      </w:pPr>
    </w:p>
    <w:p w14:paraId="0BF90545" w14:textId="42A098F3" w:rsidR="00A50E0F" w:rsidRDefault="00A50E0F" w:rsidP="00A50E0F">
      <w:pPr>
        <w:rPr>
          <w:rFonts w:ascii="Calibri" w:hAnsi="Calibri" w:cs="Calibri"/>
        </w:rPr>
      </w:pPr>
      <w:r>
        <w:rPr>
          <w:rFonts w:ascii="Calibri" w:hAnsi="Calibri" w:cs="Calibri"/>
        </w:rPr>
        <w:t>Weighted average:</w:t>
      </w:r>
    </w:p>
    <w:p w14:paraId="153E927C" w14:textId="1AB2D882" w:rsidR="00A50E0F" w:rsidRDefault="00A50E0F" w:rsidP="00A50E0F">
      <w:pPr>
        <w:rPr>
          <w:rFonts w:ascii="Calibri" w:hAnsi="Calibri" w:cs="Calibri"/>
        </w:rPr>
      </w:pPr>
      <w:r>
        <w:rPr>
          <w:rFonts w:ascii="Calibri" w:hAnsi="Calibri" w:cs="Calibri"/>
        </w:rPr>
        <w:tab/>
        <w:t xml:space="preserve">The model day utilized by TRPA’s Travel Demand Model is a blend of </w:t>
      </w:r>
      <w:r w:rsidR="00533ED5">
        <w:rPr>
          <w:rFonts w:ascii="Calibri" w:hAnsi="Calibri" w:cs="Calibri"/>
        </w:rPr>
        <w:t>the Monday – Thursday period in several</w:t>
      </w:r>
      <w:r>
        <w:rPr>
          <w:rFonts w:ascii="Calibri" w:hAnsi="Calibri" w:cs="Calibri"/>
        </w:rPr>
        <w:t xml:space="preserve"> weeks throughout the summer season</w:t>
      </w:r>
      <w:r w:rsidR="00533ED5">
        <w:rPr>
          <w:rFonts w:ascii="Calibri" w:hAnsi="Calibri" w:cs="Calibri"/>
        </w:rPr>
        <w:t>,</w:t>
      </w:r>
      <w:r>
        <w:rPr>
          <w:rFonts w:ascii="Calibri" w:hAnsi="Calibri" w:cs="Calibri"/>
        </w:rPr>
        <w:t xml:space="preserve"> as recommended by the Model Working Group convened before the 2020 Regional Transportation Plan. </w:t>
      </w:r>
      <w:r w:rsidR="00533ED5">
        <w:rPr>
          <w:rFonts w:ascii="Calibri" w:hAnsi="Calibri" w:cs="Calibri"/>
        </w:rPr>
        <w:t>Specifically, these weeks are the first two full weeks of June, the last week of August, and the middle two weeks of September. In 2022, these periods are June 6-9, June 13-16, August 29 – September 1. September 12-15, and September 19-22. As each month does not have the same number of days in the 20-day model period, a weighted average is constructed to obtain occupancy rates for the model day. The weighted occupancy rate for the simulated model day is calculated as follows:</w:t>
      </w:r>
    </w:p>
    <w:p w14:paraId="46937506" w14:textId="1E58DDD7" w:rsidR="00533ED5" w:rsidRDefault="00533ED5" w:rsidP="00A50E0F">
      <w:pPr>
        <w:rPr>
          <w:rFonts w:ascii="Calibri" w:hAnsi="Calibri" w:cs="Calibri"/>
        </w:rPr>
      </w:pPr>
      <m:oMathPara>
        <m:oMath>
          <m:sSub>
            <m:sSubPr>
              <m:ctrlPr>
                <w:rPr>
                  <w:rFonts w:ascii="Cambria Math" w:hAnsi="Cambria Math" w:cs="Calibri"/>
                  <w:i/>
                </w:rPr>
              </m:ctrlPr>
            </m:sSubPr>
            <m:e>
              <m:r>
                <w:rPr>
                  <w:rFonts w:ascii="Cambria Math" w:hAnsi="Cambria Math" w:cs="Calibri"/>
                </w:rPr>
                <m:t>Occ</m:t>
              </m:r>
            </m:e>
            <m:sub>
              <m:r>
                <w:rPr>
                  <w:rFonts w:ascii="Cambria Math" w:hAnsi="Cambria Math" w:cs="Calibri"/>
                </w:rPr>
                <m:t>Model</m:t>
              </m:r>
            </m:sub>
          </m:sSub>
          <m:r>
            <w:rPr>
              <w:rFonts w:ascii="Cambria Math" w:hAnsi="Cambria Math" w:cs="Calibri"/>
            </w:rPr>
            <m:t>=</m:t>
          </m:r>
          <m:f>
            <m:fPr>
              <m:ctrlPr>
                <w:rPr>
                  <w:rFonts w:ascii="Cambria Math" w:hAnsi="Cambria Math" w:cs="Calibri"/>
                  <w:i/>
                </w:rPr>
              </m:ctrlPr>
            </m:fPr>
            <m:num>
              <m:r>
                <w:rPr>
                  <w:rFonts w:ascii="Cambria Math" w:hAnsi="Cambria Math" w:cs="Calibri"/>
                </w:rPr>
                <m:t>8</m:t>
              </m:r>
            </m:num>
            <m:den>
              <m:r>
                <w:rPr>
                  <w:rFonts w:ascii="Cambria Math" w:hAnsi="Cambria Math" w:cs="Calibri"/>
                </w:rPr>
                <m:t>20</m:t>
              </m:r>
            </m:den>
          </m:f>
          <m:sSub>
            <m:sSubPr>
              <m:ctrlPr>
                <w:rPr>
                  <w:rFonts w:ascii="Cambria Math" w:hAnsi="Cambria Math" w:cs="Calibri"/>
                  <w:i/>
                </w:rPr>
              </m:ctrlPr>
            </m:sSubPr>
            <m:e>
              <m:r>
                <w:rPr>
                  <w:rFonts w:ascii="Cambria Math" w:hAnsi="Cambria Math" w:cs="Calibri"/>
                </w:rPr>
                <m:t>Occ</m:t>
              </m:r>
            </m:e>
            <m:sub>
              <m:r>
                <w:rPr>
                  <w:rFonts w:ascii="Cambria Math" w:hAnsi="Cambria Math" w:cs="Calibri"/>
                </w:rPr>
                <m:t>June</m:t>
              </m:r>
            </m:sub>
          </m:sSub>
          <m:r>
            <w:rPr>
              <w:rFonts w:ascii="Cambria Math" w:hAnsi="Cambria Math" w:cs="Calibri"/>
            </w:rPr>
            <m:t>+</m:t>
          </m:r>
          <m:f>
            <m:fPr>
              <m:ctrlPr>
                <w:rPr>
                  <w:rFonts w:ascii="Cambria Math" w:hAnsi="Cambria Math" w:cs="Calibri"/>
                  <w:i/>
                </w:rPr>
              </m:ctrlPr>
            </m:fPr>
            <m:num>
              <m:r>
                <w:rPr>
                  <w:rFonts w:ascii="Cambria Math" w:hAnsi="Cambria Math" w:cs="Calibri"/>
                </w:rPr>
                <m:t>3</m:t>
              </m:r>
            </m:num>
            <m:den>
              <m:r>
                <w:rPr>
                  <w:rFonts w:ascii="Cambria Math" w:hAnsi="Cambria Math" w:cs="Calibri"/>
                </w:rPr>
                <m:t>20</m:t>
              </m:r>
            </m:den>
          </m:f>
          <m:sSub>
            <m:sSubPr>
              <m:ctrlPr>
                <w:rPr>
                  <w:rFonts w:ascii="Cambria Math" w:hAnsi="Cambria Math" w:cs="Calibri"/>
                  <w:i/>
                </w:rPr>
              </m:ctrlPr>
            </m:sSubPr>
            <m:e>
              <m:r>
                <w:rPr>
                  <w:rFonts w:ascii="Cambria Math" w:hAnsi="Cambria Math" w:cs="Calibri"/>
                </w:rPr>
                <m:t>Occ</m:t>
              </m:r>
            </m:e>
            <m:sub>
              <m:r>
                <w:rPr>
                  <w:rFonts w:ascii="Cambria Math" w:hAnsi="Cambria Math" w:cs="Calibri"/>
                </w:rPr>
                <m:t>August</m:t>
              </m:r>
            </m:sub>
          </m:sSub>
          <m:r>
            <w:rPr>
              <w:rFonts w:ascii="Cambria Math" w:hAnsi="Cambria Math" w:cs="Calibri"/>
            </w:rPr>
            <m:t>+</m:t>
          </m:r>
          <m:f>
            <m:fPr>
              <m:ctrlPr>
                <w:rPr>
                  <w:rFonts w:ascii="Cambria Math" w:hAnsi="Cambria Math" w:cs="Calibri"/>
                  <w:i/>
                </w:rPr>
              </m:ctrlPr>
            </m:fPr>
            <m:num>
              <m:r>
                <w:rPr>
                  <w:rFonts w:ascii="Cambria Math" w:hAnsi="Cambria Math" w:cs="Calibri"/>
                </w:rPr>
                <m:t>9</m:t>
              </m:r>
            </m:num>
            <m:den>
              <m:r>
                <w:rPr>
                  <w:rFonts w:ascii="Cambria Math" w:hAnsi="Cambria Math" w:cs="Calibri"/>
                </w:rPr>
                <m:t>20</m:t>
              </m:r>
            </m:den>
          </m:f>
          <m:sSub>
            <m:sSubPr>
              <m:ctrlPr>
                <w:rPr>
                  <w:rFonts w:ascii="Cambria Math" w:hAnsi="Cambria Math" w:cs="Calibri"/>
                  <w:i/>
                </w:rPr>
              </m:ctrlPr>
            </m:sSubPr>
            <m:e>
              <m:r>
                <w:rPr>
                  <w:rFonts w:ascii="Cambria Math" w:hAnsi="Cambria Math" w:cs="Calibri"/>
                </w:rPr>
                <m:t>Occ</m:t>
              </m:r>
            </m:e>
            <m:sub>
              <m:r>
                <w:rPr>
                  <w:rFonts w:ascii="Cambria Math" w:hAnsi="Cambria Math" w:cs="Calibri"/>
                </w:rPr>
                <m:t>September</m:t>
              </m:r>
            </m:sub>
          </m:sSub>
        </m:oMath>
      </m:oMathPara>
    </w:p>
    <w:p w14:paraId="0ABA30BF" w14:textId="1A2A2154" w:rsidR="00533ED5" w:rsidRPr="00533ED5" w:rsidRDefault="00533ED5" w:rsidP="00A50E0F">
      <w:pPr>
        <w:rPr>
          <w:rFonts w:ascii="Calibri" w:hAnsi="Calibri" w:cs="Calibri"/>
        </w:rPr>
      </w:pPr>
      <w:r>
        <w:rPr>
          <w:rFonts w:ascii="Calibri" w:hAnsi="Calibri" w:cs="Calibri"/>
        </w:rPr>
        <w:t xml:space="preserve">Where </w:t>
      </w:r>
      <m:oMath>
        <m:sSub>
          <m:sSubPr>
            <m:ctrlPr>
              <w:rPr>
                <w:rFonts w:ascii="Cambria Math" w:hAnsi="Cambria Math" w:cs="Calibri"/>
                <w:i/>
              </w:rPr>
            </m:ctrlPr>
          </m:sSubPr>
          <m:e>
            <m:r>
              <w:rPr>
                <w:rFonts w:ascii="Cambria Math" w:hAnsi="Cambria Math" w:cs="Calibri"/>
              </w:rPr>
              <m:t>Occ</m:t>
            </m:r>
          </m:e>
          <m:sub>
            <m:r>
              <w:rPr>
                <w:rFonts w:ascii="Cambria Math" w:hAnsi="Cambria Math" w:cs="Calibri"/>
              </w:rPr>
              <m:t>Model</m:t>
            </m:r>
          </m:sub>
        </m:sSub>
      </m:oMath>
      <w:r>
        <w:rPr>
          <w:rFonts w:ascii="Calibri" w:eastAsiaTheme="minorEastAsia" w:hAnsi="Calibri" w:cs="Calibri"/>
        </w:rPr>
        <w:t xml:space="preserve"> is the model day occupancy rate and </w:t>
      </w:r>
      <m:oMath>
        <m:sSub>
          <m:sSubPr>
            <m:ctrlPr>
              <w:rPr>
                <w:rFonts w:ascii="Cambria Math" w:hAnsi="Cambria Math" w:cs="Calibri"/>
                <w:i/>
              </w:rPr>
            </m:ctrlPr>
          </m:sSubPr>
          <m:e>
            <m:r>
              <w:rPr>
                <w:rFonts w:ascii="Cambria Math" w:hAnsi="Cambria Math" w:cs="Calibri"/>
              </w:rPr>
              <m:t>Occ</m:t>
            </m:r>
          </m:e>
          <m:sub>
            <m:r>
              <w:rPr>
                <w:rFonts w:ascii="Cambria Math" w:hAnsi="Cambria Math" w:cs="Calibri"/>
              </w:rPr>
              <m:t>Mo</m:t>
            </m:r>
            <m:r>
              <w:rPr>
                <w:rFonts w:ascii="Cambria Math" w:hAnsi="Cambria Math" w:cs="Calibri"/>
              </w:rPr>
              <m:t>nth</m:t>
            </m:r>
          </m:sub>
        </m:sSub>
      </m:oMath>
      <w:r>
        <w:rPr>
          <w:rFonts w:ascii="Calibri" w:eastAsiaTheme="minorEastAsia" w:hAnsi="Calibri" w:cs="Calibri"/>
        </w:rPr>
        <w:t xml:space="preserve"> is average occupancy for </w:t>
      </w:r>
      <w:r>
        <w:rPr>
          <w:rFonts w:ascii="Calibri" w:eastAsiaTheme="minorEastAsia" w:hAnsi="Calibri" w:cs="Calibri"/>
          <w:i/>
          <w:iCs/>
        </w:rPr>
        <w:t>Month</w:t>
      </w:r>
      <w:r>
        <w:rPr>
          <w:rFonts w:ascii="Calibri" w:eastAsiaTheme="minorEastAsia" w:hAnsi="Calibri" w:cs="Calibri"/>
        </w:rPr>
        <w:t xml:space="preserve">. In the case of Placer County, which provides quarterly occupancy data, a coefficient of 8/20 is used for the April – June quarter and a coefficient of 12/20 is used for the July – September quarter. </w:t>
      </w:r>
    </w:p>
    <w:p w14:paraId="230F6D45" w14:textId="5DDD0058" w:rsidR="00675B92" w:rsidRPr="00675B92" w:rsidRDefault="00675B92">
      <w:pPr>
        <w:rPr>
          <w:rFonts w:ascii="Calibri" w:hAnsi="Calibri" w:cs="Calibri"/>
        </w:rPr>
      </w:pPr>
    </w:p>
    <w:sectPr w:rsidR="00675B92" w:rsidRPr="00675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C108F"/>
    <w:multiLevelType w:val="hybridMultilevel"/>
    <w:tmpl w:val="F122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0494E"/>
    <w:multiLevelType w:val="hybridMultilevel"/>
    <w:tmpl w:val="133C5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A64CA"/>
    <w:multiLevelType w:val="hybridMultilevel"/>
    <w:tmpl w:val="B478E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22A8D"/>
    <w:multiLevelType w:val="hybridMultilevel"/>
    <w:tmpl w:val="19EE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126F8"/>
    <w:multiLevelType w:val="hybridMultilevel"/>
    <w:tmpl w:val="76FC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734177">
    <w:abstractNumId w:val="4"/>
  </w:num>
  <w:num w:numId="2" w16cid:durableId="1595281345">
    <w:abstractNumId w:val="1"/>
  </w:num>
  <w:num w:numId="3" w16cid:durableId="148643902">
    <w:abstractNumId w:val="2"/>
  </w:num>
  <w:num w:numId="4" w16cid:durableId="1027178194">
    <w:abstractNumId w:val="0"/>
  </w:num>
  <w:num w:numId="5" w16cid:durableId="1116020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75E"/>
    <w:rsid w:val="00533ED5"/>
    <w:rsid w:val="006065F8"/>
    <w:rsid w:val="0064682E"/>
    <w:rsid w:val="00675B92"/>
    <w:rsid w:val="00791343"/>
    <w:rsid w:val="00995917"/>
    <w:rsid w:val="00A45AD8"/>
    <w:rsid w:val="00A50E0F"/>
    <w:rsid w:val="00E6475E"/>
    <w:rsid w:val="00FE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5C4B"/>
  <w15:chartTrackingRefBased/>
  <w15:docId w15:val="{954FBE65-AD13-4EC2-90D8-148F45ED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75E"/>
    <w:rPr>
      <w:rFonts w:eastAsiaTheme="majorEastAsia" w:cstheme="majorBidi"/>
      <w:color w:val="272727" w:themeColor="text1" w:themeTint="D8"/>
    </w:rPr>
  </w:style>
  <w:style w:type="paragraph" w:styleId="Title">
    <w:name w:val="Title"/>
    <w:basedOn w:val="Normal"/>
    <w:next w:val="Normal"/>
    <w:link w:val="TitleChar"/>
    <w:uiPriority w:val="10"/>
    <w:qFormat/>
    <w:rsid w:val="00E64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75E"/>
    <w:pPr>
      <w:spacing w:before="160"/>
      <w:jc w:val="center"/>
    </w:pPr>
    <w:rPr>
      <w:i/>
      <w:iCs/>
      <w:color w:val="404040" w:themeColor="text1" w:themeTint="BF"/>
    </w:rPr>
  </w:style>
  <w:style w:type="character" w:customStyle="1" w:styleId="QuoteChar">
    <w:name w:val="Quote Char"/>
    <w:basedOn w:val="DefaultParagraphFont"/>
    <w:link w:val="Quote"/>
    <w:uiPriority w:val="29"/>
    <w:rsid w:val="00E6475E"/>
    <w:rPr>
      <w:i/>
      <w:iCs/>
      <w:color w:val="404040" w:themeColor="text1" w:themeTint="BF"/>
    </w:rPr>
  </w:style>
  <w:style w:type="paragraph" w:styleId="ListParagraph">
    <w:name w:val="List Paragraph"/>
    <w:basedOn w:val="Normal"/>
    <w:uiPriority w:val="34"/>
    <w:qFormat/>
    <w:rsid w:val="00E6475E"/>
    <w:pPr>
      <w:ind w:left="720"/>
      <w:contextualSpacing/>
    </w:pPr>
  </w:style>
  <w:style w:type="character" w:styleId="IntenseEmphasis">
    <w:name w:val="Intense Emphasis"/>
    <w:basedOn w:val="DefaultParagraphFont"/>
    <w:uiPriority w:val="21"/>
    <w:qFormat/>
    <w:rsid w:val="00E6475E"/>
    <w:rPr>
      <w:i/>
      <w:iCs/>
      <w:color w:val="0F4761" w:themeColor="accent1" w:themeShade="BF"/>
    </w:rPr>
  </w:style>
  <w:style w:type="paragraph" w:styleId="IntenseQuote">
    <w:name w:val="Intense Quote"/>
    <w:basedOn w:val="Normal"/>
    <w:next w:val="Normal"/>
    <w:link w:val="IntenseQuoteChar"/>
    <w:uiPriority w:val="30"/>
    <w:qFormat/>
    <w:rsid w:val="00E64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75E"/>
    <w:rPr>
      <w:i/>
      <w:iCs/>
      <w:color w:val="0F4761" w:themeColor="accent1" w:themeShade="BF"/>
    </w:rPr>
  </w:style>
  <w:style w:type="character" w:styleId="IntenseReference">
    <w:name w:val="Intense Reference"/>
    <w:basedOn w:val="DefaultParagraphFont"/>
    <w:uiPriority w:val="32"/>
    <w:qFormat/>
    <w:rsid w:val="00E6475E"/>
    <w:rPr>
      <w:b/>
      <w:bCs/>
      <w:smallCaps/>
      <w:color w:val="0F4761" w:themeColor="accent1" w:themeShade="BF"/>
      <w:spacing w:val="5"/>
    </w:rPr>
  </w:style>
  <w:style w:type="character" w:styleId="PlaceholderText">
    <w:name w:val="Placeholder Text"/>
    <w:basedOn w:val="DefaultParagraphFont"/>
    <w:uiPriority w:val="99"/>
    <w:semiHidden/>
    <w:rsid w:val="00533ED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Schmid</dc:creator>
  <cp:keywords/>
  <dc:description/>
  <cp:lastModifiedBy>Josh Schmid</cp:lastModifiedBy>
  <cp:revision>1</cp:revision>
  <dcterms:created xsi:type="dcterms:W3CDTF">2024-07-08T22:44:00Z</dcterms:created>
  <dcterms:modified xsi:type="dcterms:W3CDTF">2024-07-09T04:03:00Z</dcterms:modified>
</cp:coreProperties>
</file>