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4.png" ContentType="image/png"/>
  <Override PartName="/word/media/rId48.pdf" ContentType="application/pdf"/>
  <Override PartName="/word/media/rId77.pdf" ContentType="application/pdf"/>
  <Override PartName="/word/media/rId73.pdf" ContentType="application/pdf"/>
  <Override PartName="/word/media/rId85.pdf" ContentType="application/pdf"/>
  <Override PartName="/word/media/rId81.pdf" ContentType="application/pdf"/>
  <Override PartName="/word/media/rId68.pdf" ContentType="application/pdf"/>
  <Override PartName="/word/media/rId6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Methods protocol for counterfactual life table analysis of excess mortality</w:t>
      </w:r>
    </w:p>
    <w:p>
      <w:pPr>
        <w:pStyle w:val="BodyText"/>
      </w:pPr>
      <w:r>
        <w:rPr>
          <w:b/>
          <w:bCs/>
        </w:rPr>
        <w:t xml:space="preserve">Authors:</w:t>
      </w:r>
      <w:r>
        <w:t xml:space="preserve"> </w:t>
      </w:r>
      <w:r>
        <w:t xml:space="preserve">Jonas Schöley</w:t>
      </w:r>
      <m:oMath>
        <m:sSup>
          <m:e>
            <m:r>
              <m:t>​</m:t>
            </m:r>
          </m:e>
          <m:sup>
            <m:r>
              <m:t>1</m:t>
            </m:r>
          </m:sup>
        </m:sSup>
      </m:oMath>
    </w:p>
    <w:p>
      <w:pPr>
        <w:pStyle w:val="BodyText"/>
      </w:pPr>
      <w:r>
        <w:rPr>
          <w:b/>
          <w:bCs/>
        </w:rPr>
        <w:t xml:space="preserve">Affiliations:</w:t>
      </w:r>
    </w:p>
    <w:p>
      <w:pPr>
        <w:pStyle w:val="BodyText"/>
      </w:pPr>
      <m:oMath>
        <m:sSup>
          <m:e>
            <m:r>
              <m:t>​</m:t>
            </m:r>
          </m:e>
          <m:sup>
            <m:r>
              <m:t>1</m:t>
            </m:r>
          </m:sup>
        </m:sSup>
      </m:oMath>
      <w:r>
        <w:t xml:space="preserve"> </w:t>
      </w:r>
      <w:r>
        <w:t xml:space="preserve">Max Planck Institute for Demographic Research; Rostock, Germany</w:t>
      </w:r>
    </w:p>
    <w:bookmarkStart w:id="21" w:name="summary"/>
    <w:p>
      <w:pPr>
        <w:pStyle w:val="Heading1"/>
      </w:pPr>
      <w:r>
        <w:t xml:space="preserve">Summary</w:t>
      </w:r>
    </w:p>
    <w:p>
      <w:pPr>
        <w:pStyle w:val="FirstParagraph"/>
      </w:pPr>
      <w:r>
        <w:t xml:space="preserve">We calculate life tables and associated life expectancies by sex for a selection of 34 countries for the years 2000 through 2024. For the years 2020 through 2024 we calculate counterfactual life expectancies based on the continuation of pre-pandemic mortality trends and derive associated life expectancy deficits – the difference between actual and counterfactual life expectancy – as an age standardized and trend adjusted measure of excess mortality.</w:t>
      </w:r>
    </w:p>
    <w:p>
      <w:pPr>
        <w:pStyle w:val="BodyText"/>
      </w:pPr>
      <w:r>
        <w:t xml:space="preserve">The data basis for our calculation are midyear population and death counts by age, sex, and country sourced from the Short Term Mortality Fluctuations Database (HMD-STMF</w:t>
      </w:r>
      <w:r>
        <w:t xml:space="preserve"> </w:t>
      </w:r>
      <w:r>
        <w:t xml:space="preserve">), the Human Mortality Database (HMD,</w:t>
      </w:r>
      <w:r>
        <w:t xml:space="preserve"> </w:t>
      </w:r>
      <w:r>
        <w:t xml:space="preserve">), the UN World Population Prospects (WPP-2024</w:t>
      </w:r>
      <w:r>
        <w:t xml:space="preserve"> </w:t>
      </w:r>
      <w:r>
        <w:t xml:space="preserve">), and national statistical offices (ONS</w:t>
      </w:r>
      <w:r>
        <w:t xml:space="preserve"> </w:t>
      </w:r>
      <w:r>
        <w:t xml:space="preserve">, CDC</w:t>
      </w:r>
      <w:r>
        <w:t xml:space="preserve"> </w:t>
      </w:r>
      <w:r>
        <w:t xml:space="preserve">). For a complete list of sources by country see methods appendix</w:t>
      </w:r>
      <w:r>
        <w:t xml:space="preserve"> </w:t>
      </w:r>
      <w:r>
        <w:t xml:space="preserve">“Data sources”</w:t>
      </w:r>
      <w:r>
        <w:t xml:space="preserve">.</w:t>
      </w:r>
    </w:p>
    <w:p>
      <w:pPr>
        <w:pStyle w:val="BodyText"/>
      </w:pPr>
      <w:r>
        <w:t xml:space="preserve">Age specific death counts are harmonized to a single year age grouping with open age group 100+ using the PCLM method</w:t>
      </w:r>
      <w:r>
        <w:t xml:space="preserve"> </w:t>
      </w:r>
      <w:r>
        <w:t xml:space="preserve">. Weekly death counts are aggregated to annual counts and midyear population estimates are converted to person years of exposure adjusting for the effect of leap weeks. To adjust for systematic bias in registered deaths between annualized STMF data and HMD annual totals we estimate correction factors based on a statistical model (see methods appendix</w:t>
      </w:r>
      <w:r>
        <w:t xml:space="preserve"> </w:t>
      </w:r>
      <w:r>
        <w:t xml:space="preserve">“Bias correction of age specific annual death counts”</w:t>
      </w:r>
      <w:r>
        <w:t xml:space="preserve">).</w:t>
      </w:r>
    </w:p>
    <w:p>
      <w:pPr>
        <w:pStyle w:val="BodyText"/>
      </w:pPr>
      <w:r>
        <w:t xml:space="preserve">Given the harmonized annual death counts and population exposures by age and sex we calculate period life tables using the standard piecewise-exponential model. We then fit a Poisson-Lee-Carter model</w:t>
      </w:r>
      <w:r>
        <w:t xml:space="preserve"> </w:t>
      </w:r>
      <w:r>
        <w:t xml:space="preserve"> </w:t>
      </w:r>
      <w:r>
        <w:t xml:space="preserve">using the R library</w:t>
      </w:r>
      <w:r>
        <w:t xml:space="preserve"> </w:t>
      </w:r>
      <w:r>
        <w:rPr>
          <w:rStyle w:val="VerbatimChar"/>
        </w:rPr>
        <w:t xml:space="preserve">StMoMo</w:t>
      </w:r>
      <w:r>
        <w:t xml:space="preserve"> </w:t>
      </w:r>
      <w:r>
        <w:t xml:space="preserve"> </w:t>
      </w:r>
      <w:r>
        <w:t xml:space="preserve">to the available pre-pandemic data since 2000 and forecast counterfactual age specific mortality rates and death counts over the years 2020 through 2024. Life expectancy deficits (LED) are then derived along with P-scores</w:t>
      </w:r>
      <w:r>
        <w:t xml:space="preserve"> </w:t>
      </w:r>
      <w:r>
        <w:t xml:space="preserve"> </w:t>
      </w:r>
      <w:r>
        <w:t xml:space="preserve">and the Mean unfulfilled lifespan (MUL,</w:t>
      </w:r>
      <w:r>
        <w:t xml:space="preserve"> </w:t>
      </w:r>
      <w:r>
        <w:t xml:space="preserve">) as alternative measures of excess. We decompose the life expectancy deficits into age specific contributions using the Arriaga method</w:t>
      </w:r>
      <w:r>
        <w:t xml:space="preserve"> </w:t>
      </w:r>
      <w:r>
        <w:t xml:space="preserve">.</w:t>
      </w:r>
    </w:p>
    <w:p>
      <w:pPr>
        <w:pStyle w:val="BodyText"/>
      </w:pPr>
      <w:r>
        <w:t xml:space="preserve">Throughout the analysis population exposures and annual death counts by sex are aggregated as needed to derive results for both sexes combined and for the joint period 2020-2024.</w:t>
      </w:r>
    </w:p>
    <w:p>
      <w:pPr>
        <w:pStyle w:val="BodyText"/>
      </w:pPr>
      <w:r>
        <w:t xml:space="preserve">We perform simulation based uncertainty propagation throughout our analysis via a Poisson parametric bootstrap of the life table estimates and a random walk simulation of the Lee-Carter forecast. Based on this we derive a p-value for the estimated life expectancy deficit, i.e. the probability of observing or exceeding an estimated life expectancy deficit given the continuation of pre-pandemic trends.</w:t>
      </w:r>
    </w:p>
    <w:p>
      <w:pPr>
        <w:pStyle w:val="BodyText"/>
      </w:pPr>
      <w:r>
        <w:t xml:space="preserve">The complete analysis workflow is explained in detail in the methods appendix. The analysis script is available from</w:t>
      </w:r>
      <w:r>
        <w:t xml:space="preserve"> </w:t>
      </w:r>
      <w:hyperlink r:id="rId20">
        <w:r>
          <w:rPr>
            <w:rStyle w:val="VerbatimChar"/>
          </w:rPr>
          <w:t xml:space="preserve">https://github.com/jschoeley/e0deficit</w:t>
        </w:r>
      </w:hyperlink>
      <w:r>
        <w:t xml:space="preserve">.</w:t>
      </w:r>
    </w:p>
    <w:bookmarkEnd w:id="21"/>
    <w:bookmarkStart w:id="26" w:name="data-sources"/>
    <w:p>
      <w:pPr>
        <w:pStyle w:val="Heading1"/>
      </w:pPr>
      <w:r>
        <w:t xml:space="preserve">Data sources</w:t>
      </w:r>
      <w:r>
        <w:t xml:space="preserve"> </w:t>
      </w:r>
      <w:r>
        <w:rPr>
          <w:rStyle w:val="FootnoteReference"/>
        </w:rPr>
        <w:footnoteReference w:id="22"/>
      </w:r>
    </w:p>
    <w:p>
      <w:pPr>
        <w:pStyle w:val="BodyText"/>
      </w:pPr>
      <w:r>
        <w:t xml:space="preserve">The basis for our analysis are death and population counts by age, year, sex, and country. We source the death counts from:</w:t>
      </w:r>
    </w:p>
    <w:p>
      <w:pPr>
        <w:numPr>
          <w:ilvl w:val="0"/>
          <w:numId w:val="1001"/>
        </w:numPr>
      </w:pPr>
      <w:r>
        <w:t xml:space="preserve">The Short-term mortality fluctuations (HMD-STMF,</w:t>
      </w:r>
      <w:r>
        <w:t xml:space="preserve"> </w:t>
      </w:r>
      <w:r>
        <w:t xml:space="preserve">) input data base for weekly death counts by age and sex across countries. This is our main source. The data is updated weekly and includes the most recent information on death counts. Using HMD-STMF allows for timely updates of annual life expectancy estimates across countries.</w:t>
      </w:r>
    </w:p>
    <w:p>
      <w:pPr>
        <w:numPr>
          <w:ilvl w:val="0"/>
          <w:numId w:val="1001"/>
        </w:numPr>
      </w:pPr>
      <w:r>
        <w:t xml:space="preserve">The UK’s Office for National Statistics (ONS,</w:t>
      </w:r>
      <w:r>
        <w:t xml:space="preserve"> </w:t>
      </w:r>
      <w:r>
        <w:t xml:space="preserve">) annual death counts by age and sex for England and Wales. We use this data for years 2010 through 2019 because the age grouping in the HMD-STMF data for these years is too coarse for reliable life expectancy estimates.</w:t>
      </w:r>
    </w:p>
    <w:p>
      <w:pPr>
        <w:numPr>
          <w:ilvl w:val="0"/>
          <w:numId w:val="1001"/>
        </w:numPr>
      </w:pPr>
      <w:r>
        <w:t xml:space="preserve">The US Centers for Disease Control and Prevention (CDC,</w:t>
      </w:r>
      <w:r>
        <w:t xml:space="preserve"> </w:t>
      </w:r>
      <w:r>
        <w:t xml:space="preserve">) for annual death counts by age and sex for the United States. We use this data for years 2000 through 2019 for the US, lacking any HMD-STMF data for these years.</w:t>
      </w:r>
    </w:p>
    <w:p>
      <w:pPr>
        <w:numPr>
          <w:ilvl w:val="0"/>
          <w:numId w:val="1001"/>
        </w:numPr>
      </w:pPr>
      <w:r>
        <w:t xml:space="preserve">The Human Mortality Database (HMD,</w:t>
      </w:r>
      <w:r>
        <w:t xml:space="preserve"> </w:t>
      </w:r>
      <w:r>
        <w:t xml:space="preserve">) for annual death counts and exposures for those countries for which a complete series is available through 2024.</w:t>
      </w:r>
    </w:p>
    <w:p>
      <w:pPr>
        <w:pStyle w:val="FirstParagraph"/>
      </w:pPr>
      <w:r>
        <w:t xml:space="preserve">Population data form the basis for our person year exposure estimates and are sourced from:</w:t>
      </w:r>
    </w:p>
    <w:p>
      <w:pPr>
        <w:numPr>
          <w:ilvl w:val="0"/>
          <w:numId w:val="1002"/>
        </w:numPr>
      </w:pPr>
      <w:r>
        <w:t xml:space="preserve">The World Population Prospects 2024 (WPP-2024,</w:t>
      </w:r>
      <w:r>
        <w:t xml:space="preserve"> </w:t>
      </w:r>
      <w:r>
        <w:t xml:space="preserve">) for midyear population estimates and projections by age, year and country.</w:t>
      </w:r>
    </w:p>
    <w:p>
      <w:pPr>
        <w:numPr>
          <w:ilvl w:val="0"/>
          <w:numId w:val="1002"/>
        </w:numPr>
      </w:pPr>
      <w:r>
        <w:t xml:space="preserve">The HMD for midyear population estimates by age, year and country for those countries for which a complete series is available through 2024 and for the regions of the UK.</w:t>
      </w:r>
    </w:p>
    <w:p>
      <w:pPr>
        <w:pStyle w:val="FirstParagraph"/>
      </w:pPr>
      <w:r>
        <w:t xml:space="preserve">For a list of data sources by country and year see Table</w:t>
      </w:r>
      <w:r>
        <w:t xml:space="preserve"> </w:t>
      </w:r>
      <w:hyperlink w:anchor="tab:sources">
        <w:r>
          <w:rPr>
            <w:rStyle w:val="Hyperlink"/>
          </w:rPr>
          <w:t xml:space="preserve">1</w:t>
        </w:r>
      </w:hyperlink>
      <w:r>
        <w:t xml:space="preserve">.</w:t>
      </w:r>
    </w:p>
    <w:bookmarkStart w:id="25" w:name="tab:sources"/>
    <w:p>
      <w:pPr>
        <w:pStyle w:val="TableCaption"/>
      </w:pPr>
      <w:r>
        <w:t xml:space="preserve">Data sources by country and year.</w:t>
      </w:r>
    </w:p>
    <w:tbl>
      <w:tblPr>
        <w:tblStyle w:val="Table"/>
        <w:tblW w:type="auto" w:w="0"/>
        <w:tblLook w:firstRow="1" w:lastRow="0" w:firstColumn="0" w:lastColumn="0" w:noHBand="0" w:noVBand="0" w:val="0020"/>
        <w:tblCaption w:val="Data sources by country and year."/>
      </w:tblPr>
      <w:tblGrid>
        <w:gridCol w:w="1980"/>
        <w:gridCol w:w="1980"/>
        <w:gridCol w:w="1980"/>
        <w:gridCol w:w="1980"/>
      </w:tblGrid>
      <w:tr>
        <w:trPr>
          <w:tblHeader w:val="on"/>
        </w:trPr>
        <w:tc>
          <w:tcPr/>
          <w:p>
            <w:pPr>
              <w:pStyle w:val="Compact"/>
              <w:jc w:val="left"/>
            </w:pPr>
            <w:r>
              <w:t xml:space="preserve">Country</w:t>
            </w:r>
          </w:p>
        </w:tc>
        <w:tc>
          <w:tcPr/>
          <w:p>
            <w:pPr>
              <w:pStyle w:val="Compact"/>
              <w:jc w:val="left"/>
            </w:pPr>
            <w:r>
              <w:t xml:space="preserve">Period</w:t>
            </w:r>
          </w:p>
        </w:tc>
        <w:tc>
          <w:tcPr/>
          <w:p>
            <w:pPr>
              <w:pStyle w:val="Compact"/>
              <w:jc w:val="left"/>
            </w:pPr>
            <w:r>
              <w:t xml:space="preserve">Death counts</w:t>
            </w:r>
          </w:p>
        </w:tc>
        <w:tc>
          <w:tcPr/>
          <w:p>
            <w:pPr>
              <w:pStyle w:val="Compact"/>
              <w:jc w:val="left"/>
            </w:pPr>
            <w:r>
              <w:t xml:space="preserve">Population</w:t>
            </w:r>
          </w:p>
        </w:tc>
      </w:tr>
      <w:tr>
        <w:tc>
          <w:tcPr/>
          <w:p>
            <w:pPr>
              <w:pStyle w:val="Compact"/>
              <w:jc w:val="left"/>
            </w:pPr>
            <w:r>
              <w:t xml:space="preserve">Austria</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Belgium</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Bulgaria</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Switzerland</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Chile</w:t>
            </w:r>
          </w:p>
        </w:tc>
        <w:tc>
          <w:tcPr/>
          <w:p>
            <w:pPr>
              <w:pStyle w:val="Compact"/>
              <w:jc w:val="left"/>
            </w:pPr>
            <w:r>
              <w:t xml:space="preserve">2000-2015</w:t>
            </w:r>
          </w:p>
        </w:tc>
        <w:tc>
          <w:tcPr/>
          <w:p>
            <w:pPr>
              <w:pStyle w:val="Compact"/>
              <w:jc w:val="left"/>
            </w:pPr>
            <w:r>
              <w:t xml:space="preserve">HMD</w:t>
            </w:r>
          </w:p>
        </w:tc>
        <w:tc>
          <w:tcPr/>
          <w:p>
            <w:pPr>
              <w:pStyle w:val="Compact"/>
              <w:jc w:val="left"/>
            </w:pPr>
            <w:r>
              <w:t xml:space="preserve">WPP-2024</w:t>
            </w:r>
          </w:p>
        </w:tc>
      </w:tr>
      <w:tr>
        <w:tc>
          <w:tcPr/>
          <w:p>
            <w:pPr>
              <w:pStyle w:val="Compact"/>
              <w:jc w:val="left"/>
            </w:pPr>
            <w:r>
              <w:t xml:space="preserve">Chile</w:t>
            </w:r>
          </w:p>
        </w:tc>
        <w:tc>
          <w:tcPr/>
          <w:p>
            <w:pPr>
              <w:pStyle w:val="Compact"/>
              <w:jc w:val="left"/>
            </w:pPr>
            <w:r>
              <w:t xml:space="preserve">2016-2024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Czech Republic</w:t>
            </w:r>
          </w:p>
        </w:tc>
        <w:tc>
          <w:tcPr/>
          <w:p>
            <w:pPr>
              <w:pStyle w:val="Compact"/>
              <w:jc w:val="left"/>
            </w:pPr>
            <w:r>
              <w:t xml:space="preserve">2000-2004</w:t>
            </w:r>
          </w:p>
        </w:tc>
        <w:tc>
          <w:tcPr/>
          <w:p>
            <w:pPr>
              <w:pStyle w:val="Compact"/>
              <w:jc w:val="left"/>
            </w:pPr>
            <w:r>
              <w:t xml:space="preserve">-</w:t>
            </w:r>
          </w:p>
        </w:tc>
        <w:tc>
          <w:tcPr/>
          <w:p>
            <w:pPr>
              <w:pStyle w:val="Compact"/>
              <w:jc w:val="left"/>
            </w:pPr>
            <w:r>
              <w:t xml:space="preserve">WPP-2024</w:t>
            </w:r>
          </w:p>
        </w:tc>
      </w:tr>
      <w:tr>
        <w:tc>
          <w:tcPr/>
          <w:p>
            <w:pPr>
              <w:pStyle w:val="Compact"/>
              <w:jc w:val="left"/>
            </w:pPr>
            <w:r>
              <w:t xml:space="preserve">Czech Republic</w:t>
            </w:r>
          </w:p>
        </w:tc>
        <w:tc>
          <w:tcPr/>
          <w:p>
            <w:pPr>
              <w:pStyle w:val="Compact"/>
              <w:jc w:val="left"/>
            </w:pPr>
            <w:r>
              <w:t xml:space="preserve">2005-2024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Germany</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Denmark</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Estonia</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Spain</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Finland</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France</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England and Wales</w:t>
            </w:r>
          </w:p>
        </w:tc>
        <w:tc>
          <w:tcPr/>
          <w:p>
            <w:pPr>
              <w:pStyle w:val="Compact"/>
              <w:jc w:val="left"/>
            </w:pPr>
            <w:r>
              <w:t xml:space="preserve">2000-2009</w:t>
            </w:r>
          </w:p>
        </w:tc>
        <w:tc>
          <w:tcPr/>
          <w:p>
            <w:pPr>
              <w:pStyle w:val="Compact"/>
              <w:jc w:val="left"/>
            </w:pPr>
            <w:r>
              <w:t xml:space="preserve">-</w:t>
            </w:r>
          </w:p>
        </w:tc>
        <w:tc>
          <w:tcPr/>
          <w:p>
            <w:pPr>
              <w:pStyle w:val="Compact"/>
              <w:jc w:val="left"/>
            </w:pPr>
            <w:r>
              <w:t xml:space="preserve">HMD-EST</w:t>
            </w:r>
          </w:p>
        </w:tc>
      </w:tr>
      <w:tr>
        <w:tc>
          <w:tcPr/>
          <w:p>
            <w:pPr>
              <w:pStyle w:val="Compact"/>
              <w:jc w:val="left"/>
            </w:pPr>
            <w:r>
              <w:t xml:space="preserve">England and Wales</w:t>
            </w:r>
          </w:p>
        </w:tc>
        <w:tc>
          <w:tcPr/>
          <w:p>
            <w:pPr>
              <w:pStyle w:val="Compact"/>
              <w:jc w:val="left"/>
            </w:pPr>
            <w:r>
              <w:t xml:space="preserve">2010-2019</w:t>
            </w:r>
          </w:p>
        </w:tc>
        <w:tc>
          <w:tcPr/>
          <w:p>
            <w:pPr>
              <w:pStyle w:val="Compact"/>
              <w:jc w:val="left"/>
            </w:pPr>
            <w:r>
              <w:t xml:space="preserve">ONS</w:t>
            </w:r>
          </w:p>
        </w:tc>
        <w:tc>
          <w:tcPr/>
          <w:p>
            <w:pPr>
              <w:pStyle w:val="Compact"/>
              <w:jc w:val="left"/>
            </w:pPr>
            <w:r>
              <w:t xml:space="preserve">HMD-EST</w:t>
            </w:r>
          </w:p>
        </w:tc>
      </w:tr>
      <w:tr>
        <w:tc>
          <w:tcPr/>
          <w:p>
            <w:pPr>
              <w:pStyle w:val="Compact"/>
              <w:jc w:val="left"/>
            </w:pPr>
            <w:r>
              <w:t xml:space="preserve">England and Wales</w:t>
            </w:r>
          </w:p>
        </w:tc>
        <w:tc>
          <w:tcPr/>
          <w:p>
            <w:pPr>
              <w:pStyle w:val="Compact"/>
              <w:jc w:val="left"/>
            </w:pPr>
            <w:r>
              <w:t xml:space="preserve">2020-2022</w:t>
            </w:r>
          </w:p>
        </w:tc>
        <w:tc>
          <w:tcPr/>
          <w:p>
            <w:pPr>
              <w:pStyle w:val="Compact"/>
              <w:jc w:val="left"/>
            </w:pPr>
            <w:r>
              <w:t xml:space="preserve">HMD-STMF</w:t>
            </w:r>
          </w:p>
        </w:tc>
        <w:tc>
          <w:tcPr/>
          <w:p>
            <w:pPr>
              <w:pStyle w:val="Compact"/>
              <w:jc w:val="left"/>
            </w:pPr>
            <w:r>
              <w:t xml:space="preserve">HMD-EST</w:t>
            </w:r>
          </w:p>
        </w:tc>
      </w:tr>
      <w:tr>
        <w:tc>
          <w:tcPr/>
          <w:p>
            <w:pPr>
              <w:pStyle w:val="Compact"/>
              <w:jc w:val="left"/>
            </w:pPr>
            <w:r>
              <w:t xml:space="preserve">England and Wales</w:t>
            </w:r>
          </w:p>
        </w:tc>
        <w:tc>
          <w:tcPr/>
          <w:p>
            <w:pPr>
              <w:pStyle w:val="Compact"/>
              <w:jc w:val="left"/>
            </w:pPr>
            <w:r>
              <w:t xml:space="preserve">2023-2024</w:t>
            </w:r>
          </w:p>
        </w:tc>
        <w:tc>
          <w:tcPr/>
          <w:p>
            <w:pPr>
              <w:pStyle w:val="Compact"/>
              <w:jc w:val="left"/>
            </w:pPr>
            <w:r>
              <w:t xml:space="preserve">HMD-STMF</w:t>
            </w:r>
          </w:p>
        </w:tc>
        <w:tc>
          <w:tcPr/>
          <w:p>
            <w:pPr>
              <w:pStyle w:val="Compact"/>
              <w:jc w:val="left"/>
            </w:pPr>
            <w:r>
              <w:t xml:space="preserve">HMD-PRJ</w:t>
            </w:r>
          </w:p>
        </w:tc>
      </w:tr>
      <w:tr>
        <w:tc>
          <w:tcPr/>
          <w:p>
            <w:pPr>
              <w:pStyle w:val="Compact"/>
              <w:jc w:val="left"/>
            </w:pPr>
            <w:r>
              <w:t xml:space="preserve">Northern Ireland</w:t>
            </w:r>
          </w:p>
        </w:tc>
        <w:tc>
          <w:tcPr/>
          <w:p>
            <w:pPr>
              <w:pStyle w:val="Compact"/>
              <w:jc w:val="left"/>
            </w:pPr>
            <w:r>
              <w:t xml:space="preserve">2000-2021</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Northern Ireland</w:t>
            </w:r>
          </w:p>
        </w:tc>
        <w:tc>
          <w:tcPr/>
          <w:p>
            <w:pPr>
              <w:pStyle w:val="Compact"/>
              <w:jc w:val="left"/>
            </w:pPr>
            <w:r>
              <w:t xml:space="preserve">2022</w:t>
            </w:r>
          </w:p>
        </w:tc>
        <w:tc>
          <w:tcPr/>
          <w:p>
            <w:pPr>
              <w:pStyle w:val="Compact"/>
              <w:jc w:val="left"/>
            </w:pPr>
            <w:r>
              <w:t xml:space="preserve">HMD-STMF</w:t>
            </w:r>
          </w:p>
        </w:tc>
        <w:tc>
          <w:tcPr/>
          <w:p>
            <w:pPr>
              <w:pStyle w:val="Compact"/>
              <w:jc w:val="left"/>
            </w:pPr>
            <w:r>
              <w:t xml:space="preserve">HMD-EST</w:t>
            </w:r>
          </w:p>
        </w:tc>
      </w:tr>
      <w:tr>
        <w:tc>
          <w:tcPr/>
          <w:p>
            <w:pPr>
              <w:pStyle w:val="Compact"/>
              <w:jc w:val="left"/>
            </w:pPr>
            <w:r>
              <w:t xml:space="preserve">Northern Ireland</w:t>
            </w:r>
          </w:p>
        </w:tc>
        <w:tc>
          <w:tcPr/>
          <w:p>
            <w:pPr>
              <w:pStyle w:val="Compact"/>
              <w:jc w:val="left"/>
            </w:pPr>
            <w:r>
              <w:t xml:space="preserve">2023-2024</w:t>
            </w:r>
          </w:p>
        </w:tc>
        <w:tc>
          <w:tcPr/>
          <w:p>
            <w:pPr>
              <w:pStyle w:val="Compact"/>
              <w:jc w:val="left"/>
            </w:pPr>
            <w:r>
              <w:t xml:space="preserve">HMD-STMF</w:t>
            </w:r>
          </w:p>
        </w:tc>
        <w:tc>
          <w:tcPr/>
          <w:p>
            <w:pPr>
              <w:pStyle w:val="Compact"/>
              <w:jc w:val="left"/>
            </w:pPr>
            <w:r>
              <w:t xml:space="preserve">HMD-PRJ</w:t>
            </w:r>
          </w:p>
        </w:tc>
      </w:tr>
      <w:tr>
        <w:tc>
          <w:tcPr/>
          <w:p>
            <w:pPr>
              <w:pStyle w:val="Compact"/>
              <w:jc w:val="left"/>
            </w:pPr>
            <w:r>
              <w:t xml:space="preserve">Scotland</w:t>
            </w:r>
          </w:p>
        </w:tc>
        <w:tc>
          <w:tcPr/>
          <w:p>
            <w:pPr>
              <w:pStyle w:val="Compact"/>
              <w:jc w:val="left"/>
            </w:pPr>
            <w:r>
              <w:t xml:space="preserve">2000-2022</w:t>
            </w:r>
          </w:p>
        </w:tc>
        <w:tc>
          <w:tcPr/>
          <w:p>
            <w:pPr>
              <w:pStyle w:val="Compact"/>
              <w:jc w:val="left"/>
            </w:pPr>
            <w:r>
              <w:t xml:space="preserve">HMD-STMF</w:t>
            </w:r>
          </w:p>
        </w:tc>
        <w:tc>
          <w:tcPr/>
          <w:p>
            <w:pPr>
              <w:pStyle w:val="Compact"/>
              <w:jc w:val="left"/>
            </w:pPr>
            <w:r>
              <w:t xml:space="preserve">HMD-EST</w:t>
            </w:r>
          </w:p>
        </w:tc>
      </w:tr>
      <w:tr>
        <w:tc>
          <w:tcPr/>
          <w:p>
            <w:pPr>
              <w:pStyle w:val="Compact"/>
              <w:jc w:val="left"/>
            </w:pPr>
            <w:r>
              <w:t xml:space="preserve">Scotland</w:t>
            </w:r>
          </w:p>
        </w:tc>
        <w:tc>
          <w:tcPr/>
          <w:p>
            <w:pPr>
              <w:pStyle w:val="Compact"/>
              <w:jc w:val="left"/>
            </w:pPr>
            <w:r>
              <w:t xml:space="preserve">2023-2024</w:t>
            </w:r>
          </w:p>
        </w:tc>
        <w:tc>
          <w:tcPr/>
          <w:p>
            <w:pPr>
              <w:pStyle w:val="Compact"/>
              <w:jc w:val="left"/>
            </w:pPr>
            <w:r>
              <w:t xml:space="preserve">HMD-STMF</w:t>
            </w:r>
          </w:p>
        </w:tc>
        <w:tc>
          <w:tcPr/>
          <w:p>
            <w:pPr>
              <w:pStyle w:val="Compact"/>
              <w:jc w:val="left"/>
            </w:pPr>
            <w:r>
              <w:t xml:space="preserve">HMD-PRJ</w:t>
            </w:r>
          </w:p>
        </w:tc>
      </w:tr>
      <w:tr>
        <w:tc>
          <w:tcPr/>
          <w:p>
            <w:pPr>
              <w:pStyle w:val="Compact"/>
              <w:jc w:val="left"/>
            </w:pPr>
            <w:r>
              <w:t xml:space="preserve">Greece</w:t>
            </w:r>
          </w:p>
        </w:tc>
        <w:tc>
          <w:tcPr/>
          <w:p>
            <w:pPr>
              <w:pStyle w:val="Compact"/>
              <w:jc w:val="left"/>
            </w:pPr>
            <w:r>
              <w:t xml:space="preserve">2000-2014</w:t>
            </w:r>
          </w:p>
        </w:tc>
        <w:tc>
          <w:tcPr/>
          <w:p>
            <w:pPr>
              <w:pStyle w:val="Compact"/>
              <w:jc w:val="left"/>
            </w:pPr>
            <w:r>
              <w:t xml:space="preserve">HMD</w:t>
            </w:r>
          </w:p>
        </w:tc>
        <w:tc>
          <w:tcPr/>
          <w:p>
            <w:pPr>
              <w:pStyle w:val="Compact"/>
              <w:jc w:val="left"/>
            </w:pPr>
            <w:r>
              <w:t xml:space="preserve">WPP-2024</w:t>
            </w:r>
          </w:p>
        </w:tc>
      </w:tr>
      <w:tr>
        <w:tc>
          <w:tcPr/>
          <w:p>
            <w:pPr>
              <w:pStyle w:val="Compact"/>
              <w:jc w:val="left"/>
            </w:pPr>
            <w:r>
              <w:t xml:space="preserve">Greece</w:t>
            </w:r>
          </w:p>
        </w:tc>
        <w:tc>
          <w:tcPr/>
          <w:p>
            <w:pPr>
              <w:pStyle w:val="Compact"/>
              <w:jc w:val="left"/>
            </w:pPr>
            <w:r>
              <w:t xml:space="preserve">2015-2024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Croatia</w:t>
            </w:r>
          </w:p>
        </w:tc>
        <w:tc>
          <w:tcPr/>
          <w:p>
            <w:pPr>
              <w:pStyle w:val="Compact"/>
              <w:jc w:val="left"/>
            </w:pPr>
            <w:r>
              <w:t xml:space="preserve">2000</w:t>
            </w:r>
          </w:p>
        </w:tc>
        <w:tc>
          <w:tcPr/>
          <w:p>
            <w:pPr>
              <w:pStyle w:val="Compact"/>
              <w:jc w:val="left"/>
            </w:pPr>
            <w:r>
              <w:t xml:space="preserve">-</w:t>
            </w:r>
          </w:p>
        </w:tc>
        <w:tc>
          <w:tcPr/>
          <w:p>
            <w:pPr>
              <w:pStyle w:val="Compact"/>
              <w:jc w:val="left"/>
            </w:pPr>
            <w:r>
              <w:t xml:space="preserve">WPP-2024</w:t>
            </w:r>
          </w:p>
        </w:tc>
      </w:tr>
      <w:tr>
        <w:tc>
          <w:tcPr/>
          <w:p>
            <w:pPr>
              <w:pStyle w:val="Compact"/>
              <w:jc w:val="left"/>
            </w:pPr>
            <w:r>
              <w:t xml:space="preserve">Croatia</w:t>
            </w:r>
          </w:p>
        </w:tc>
        <w:tc>
          <w:tcPr/>
          <w:p>
            <w:pPr>
              <w:pStyle w:val="Compact"/>
              <w:jc w:val="left"/>
            </w:pPr>
            <w:r>
              <w:t xml:space="preserve">2001-2024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Hungary</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Israel</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Iceland</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Italy</w:t>
            </w:r>
          </w:p>
        </w:tc>
        <w:tc>
          <w:tcPr/>
          <w:p>
            <w:pPr>
              <w:pStyle w:val="Compact"/>
              <w:jc w:val="left"/>
            </w:pPr>
            <w:r>
              <w:t xml:space="preserve">2000-2010</w:t>
            </w:r>
          </w:p>
        </w:tc>
        <w:tc>
          <w:tcPr/>
          <w:p>
            <w:pPr>
              <w:pStyle w:val="Compact"/>
              <w:jc w:val="left"/>
            </w:pPr>
            <w:r>
              <w:t xml:space="preserve">-</w:t>
            </w:r>
          </w:p>
        </w:tc>
        <w:tc>
          <w:tcPr/>
          <w:p>
            <w:pPr>
              <w:pStyle w:val="Compact"/>
              <w:jc w:val="left"/>
            </w:pPr>
            <w:r>
              <w:t xml:space="preserve">WPP-2024</w:t>
            </w:r>
          </w:p>
        </w:tc>
      </w:tr>
      <w:tr>
        <w:tc>
          <w:tcPr/>
          <w:p>
            <w:pPr>
              <w:pStyle w:val="Compact"/>
              <w:jc w:val="left"/>
            </w:pPr>
            <w:r>
              <w:t xml:space="preserve">Italy</w:t>
            </w:r>
          </w:p>
        </w:tc>
        <w:tc>
          <w:tcPr/>
          <w:p>
            <w:pPr>
              <w:pStyle w:val="Compact"/>
              <w:jc w:val="left"/>
            </w:pPr>
            <w:r>
              <w:t xml:space="preserve">2011-2024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Japan</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Lithuania</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Luxembourg</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Latvia</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Netherlands</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Norway</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Poland</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Portugal</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Sweden</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Slovenia</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Slovakia</w:t>
            </w:r>
          </w:p>
        </w:tc>
        <w:tc>
          <w:tcPr/>
          <w:p>
            <w:pPr>
              <w:pStyle w:val="Compact"/>
              <w:jc w:val="left"/>
            </w:pPr>
            <w:r>
              <w:t xml:space="preserve">2000-2024</w:t>
            </w:r>
          </w:p>
        </w:tc>
        <w:tc>
          <w:tcPr/>
          <w:p>
            <w:pPr>
              <w:pStyle w:val="Compact"/>
              <w:jc w:val="left"/>
            </w:pPr>
            <w:r>
              <w:t xml:space="preserve">HMD</w:t>
            </w:r>
          </w:p>
        </w:tc>
        <w:tc>
          <w:tcPr/>
          <w:p>
            <w:pPr>
              <w:pStyle w:val="Compact"/>
              <w:jc w:val="left"/>
            </w:pPr>
            <w:r>
              <w:t xml:space="preserve">HMD-EST</w:t>
            </w:r>
          </w:p>
        </w:tc>
      </w:tr>
      <w:tr>
        <w:tc>
          <w:tcPr/>
          <w:p>
            <w:pPr>
              <w:pStyle w:val="Compact"/>
              <w:jc w:val="left"/>
            </w:pPr>
            <w:r>
              <w:t xml:space="preserve">Taiwan</w:t>
            </w:r>
          </w:p>
        </w:tc>
        <w:tc>
          <w:tcPr/>
          <w:p>
            <w:pPr>
              <w:pStyle w:val="Compact"/>
              <w:jc w:val="left"/>
            </w:pPr>
            <w:r>
              <w:t xml:space="preserve">2000-2024</w:t>
            </w:r>
          </w:p>
        </w:tc>
        <w:tc>
          <w:tcPr/>
          <w:p>
            <w:pPr>
              <w:pStyle w:val="Compact"/>
              <w:jc w:val="left"/>
            </w:pPr>
            <w:r>
              <w:t xml:space="preserve">HMD-STMF</w:t>
            </w:r>
          </w:p>
        </w:tc>
        <w:tc>
          <w:tcPr/>
          <w:p>
            <w:pPr>
              <w:pStyle w:val="Compact"/>
              <w:jc w:val="left"/>
            </w:pPr>
            <w:r>
              <w:t xml:space="preserve">WPP-2024</w:t>
            </w:r>
          </w:p>
        </w:tc>
      </w:tr>
      <w:tr>
        <w:tc>
          <w:tcPr/>
          <w:p>
            <w:pPr>
              <w:pStyle w:val="Compact"/>
              <w:jc w:val="left"/>
            </w:pPr>
            <w:r>
              <w:t xml:space="preserve">USA</w:t>
            </w:r>
          </w:p>
        </w:tc>
        <w:tc>
          <w:tcPr/>
          <w:p>
            <w:pPr>
              <w:pStyle w:val="Compact"/>
              <w:jc w:val="left"/>
            </w:pPr>
            <w:r>
              <w:t xml:space="preserve">2000-2019</w:t>
            </w:r>
          </w:p>
        </w:tc>
        <w:tc>
          <w:tcPr/>
          <w:p>
            <w:pPr>
              <w:pStyle w:val="Compact"/>
              <w:jc w:val="left"/>
            </w:pPr>
            <w:r>
              <w:t xml:space="preserve">CDC</w:t>
            </w:r>
          </w:p>
        </w:tc>
        <w:tc>
          <w:tcPr/>
          <w:p>
            <w:pPr>
              <w:pStyle w:val="Compact"/>
              <w:jc w:val="left"/>
            </w:pPr>
            <w:r>
              <w:t xml:space="preserve">WPP-2024</w:t>
            </w:r>
          </w:p>
        </w:tc>
      </w:tr>
      <w:tr>
        <w:tc>
          <w:tcPr/>
          <w:p>
            <w:pPr>
              <w:pStyle w:val="Compact"/>
              <w:jc w:val="left"/>
            </w:pPr>
            <w:r>
              <w:t xml:space="preserve">USA</w:t>
            </w:r>
          </w:p>
        </w:tc>
        <w:tc>
          <w:tcPr/>
          <w:p>
            <w:pPr>
              <w:pStyle w:val="Compact"/>
              <w:jc w:val="left"/>
            </w:pPr>
            <w:r>
              <w:t xml:space="preserve">2020-2024</w:t>
            </w:r>
          </w:p>
        </w:tc>
        <w:tc>
          <w:tcPr/>
          <w:p>
            <w:pPr>
              <w:pStyle w:val="Compact"/>
              <w:jc w:val="left"/>
            </w:pPr>
            <w:r>
              <w:t xml:space="preserve">HMD-STMF</w:t>
            </w:r>
          </w:p>
        </w:tc>
        <w:tc>
          <w:tcPr/>
          <w:p>
            <w:pPr>
              <w:pStyle w:val="Compact"/>
              <w:jc w:val="left"/>
            </w:pPr>
            <w:r>
              <w:t xml:space="preserve">WPP-2024</w:t>
            </w:r>
          </w:p>
        </w:tc>
      </w:tr>
    </w:tbl>
    <w:bookmarkEnd w:id="25"/>
    <w:bookmarkEnd w:id="26"/>
    <w:bookmarkStart w:id="31" w:name="data-harmonization"/>
    <w:p>
      <w:pPr>
        <w:pStyle w:val="Heading1"/>
      </w:pPr>
      <w:r>
        <w:t xml:space="preserve">Data harmonization</w:t>
      </w:r>
      <w:r>
        <w:t xml:space="preserve"> </w:t>
      </w:r>
      <w:r>
        <w:rPr>
          <w:rStyle w:val="FootnoteReference"/>
        </w:rPr>
        <w:footnoteReference w:id="27"/>
      </w:r>
    </w:p>
    <w:bookmarkStart w:id="29" w:name="death-count-age-harmonization"/>
    <w:p>
      <w:pPr>
        <w:pStyle w:val="Heading2"/>
      </w:pPr>
      <w:r>
        <w:t xml:space="preserve">Death count age harmonization</w:t>
      </w:r>
    </w:p>
    <w:p>
      <w:pPr>
        <w:pStyle w:val="FirstParagraph"/>
      </w:pPr>
      <w:r>
        <w:t xml:space="preserve">As the HMD-STMF input data is not harmonized in terms of age grouping we perform a model based ungrouping of deaths into single ages for each region-year-sex stratum using the Penalized Composite Link Method (PCLM)</w:t>
      </w:r>
      <w:r>
        <w:t xml:space="preserve"> </w:t>
      </w:r>
      <w:r>
        <w:t xml:space="preserve"> </w:t>
      </w:r>
      <w:r>
        <w:t xml:space="preserve">implemented in the R package</w:t>
      </w:r>
      <w:r>
        <w:t xml:space="preserve"> </w:t>
      </w:r>
      <w:r>
        <w:rPr>
          <w:rStyle w:val="VerbatimChar"/>
        </w:rPr>
        <w:t xml:space="preserve">ungroup</w:t>
      </w:r>
      <w:r>
        <w:t xml:space="preserve"> </w:t>
      </w:r>
      <w:r>
        <w:t xml:space="preserve">.</w:t>
      </w:r>
    </w:p>
    <w:p>
      <w:pPr>
        <w:pStyle w:val="BodyText"/>
      </w:pPr>
      <w:r>
        <w:t xml:space="preserve">The original death counts over single year age groups</w:t>
      </w:r>
      <w:r>
        <w:t xml:space="preserve"> </w:t>
      </w:r>
      <m:oMath>
        <m:sSup>
          <m:e>
            <m:r>
              <m:rPr>
                <m:sty m:val="b"/>
              </m:rPr>
              <m:t>d</m:t>
            </m:r>
          </m:e>
          <m:sup>
            <m:r>
              <m:rPr>
                <m:sty m:val="p"/>
              </m:rPr>
              <m:t>s</m:t>
            </m:r>
            <m:r>
              <m:rPr>
                <m:sty m:val="p"/>
              </m:rPr>
              <m:t>i</m:t>
            </m:r>
            <m:r>
              <m:rPr>
                <m:sty m:val="p"/>
              </m:rPr>
              <m:t>n</m:t>
            </m:r>
            <m:r>
              <m:rPr>
                <m:sty m:val="p"/>
              </m:rPr>
              <m:t>g</m:t>
            </m:r>
            <m:r>
              <m:rPr>
                <m:sty m:val="p"/>
              </m:rPr>
              <m:t>l</m:t>
            </m:r>
            <m:r>
              <m:rPr>
                <m:sty m:val="p"/>
              </m:rPr>
              <m:t>e</m:t>
            </m:r>
          </m:sup>
        </m:sSup>
        <m:r>
          <m:rPr>
            <m:sty m:val="p"/>
          </m:rPr>
          <m:t>=</m:t>
        </m:r>
        <m:sSup>
          <m:e>
            <m:d>
              <m:dPr>
                <m:begChr m:val="("/>
                <m:sepChr m:val=""/>
                <m:endChr m:val=")"/>
                <m:grow/>
              </m:dPr>
              <m:e>
                <m:sSub>
                  <m:e>
                    <m:r>
                      <m:t>d</m:t>
                    </m:r>
                  </m:e>
                  <m:sub>
                    <m:r>
                      <m:t>j</m:t>
                    </m:r>
                    <m:r>
                      <m:rPr>
                        <m:sty m:val="p"/>
                      </m:rPr>
                      <m:t>=</m:t>
                    </m:r>
                    <m:r>
                      <m:t>1</m:t>
                    </m:r>
                  </m:sub>
                </m:sSub>
                <m:r>
                  <m:rPr>
                    <m:sty m:val="p"/>
                  </m:rPr>
                  <m:t>,</m:t>
                </m:r>
                <m:r>
                  <m:rPr>
                    <m:sty m:val="p"/>
                  </m:rPr>
                  <m:t>…</m:t>
                </m:r>
                <m:r>
                  <m:rPr>
                    <m:sty m:val="p"/>
                  </m:rPr>
                  <m:t>,</m:t>
                </m:r>
                <m:sSub>
                  <m:e>
                    <m:r>
                      <m:t>d</m:t>
                    </m:r>
                  </m:e>
                  <m:sub>
                    <m:r>
                      <m:t>J</m:t>
                    </m:r>
                  </m:sub>
                </m:sSub>
              </m:e>
            </m:d>
          </m:e>
          <m:sup>
            <m:r>
              <m:rPr>
                <m:sty m:val="p"/>
              </m:rPr>
              <m:t>⊺</m:t>
            </m:r>
          </m:sup>
        </m:sSup>
      </m:oMath>
      <w:r>
        <w:t xml:space="preserve"> </w:t>
      </w:r>
      <w:r>
        <w:t xml:space="preserve">have been grouped (summed) into discrete age bins</w:t>
      </w:r>
      <w:r>
        <w:t xml:space="preserve"> </w:t>
      </w:r>
      <m:oMath>
        <m:sSup>
          <m:e>
            <m:r>
              <m:rPr>
                <m:sty m:val="b"/>
              </m:rPr>
              <m:t>d</m:t>
            </m:r>
          </m:e>
          <m:sup>
            <m:r>
              <m:rPr>
                <m:sty m:val="p"/>
              </m:rPr>
              <m:t>g</m:t>
            </m:r>
            <m:r>
              <m:rPr>
                <m:sty m:val="p"/>
              </m:rPr>
              <m:t>r</m:t>
            </m:r>
            <m:r>
              <m:rPr>
                <m:sty m:val="p"/>
              </m:rPr>
              <m:t>o</m:t>
            </m:r>
            <m:r>
              <m:rPr>
                <m:sty m:val="p"/>
              </m:rPr>
              <m:t>u</m:t>
            </m:r>
            <m:r>
              <m:rPr>
                <m:sty m:val="p"/>
              </m:rPr>
              <m:t>p</m:t>
            </m:r>
            <m:r>
              <m:rPr>
                <m:sty m:val="p"/>
              </m:rPr>
              <m:t>e</m:t>
            </m:r>
            <m:r>
              <m:rPr>
                <m:sty m:val="p"/>
              </m:rPr>
              <m:t>d</m:t>
            </m:r>
          </m:sup>
        </m:sSup>
        <m:r>
          <m:rPr>
            <m:sty m:val="p"/>
          </m:rPr>
          <m:t>=</m:t>
        </m:r>
        <m:sSup>
          <m:e>
            <m:d>
              <m:dPr>
                <m:begChr m:val="("/>
                <m:sepChr m:val=""/>
                <m:endChr m:val=")"/>
                <m:grow/>
              </m:dPr>
              <m:e>
                <m:sSub>
                  <m:e>
                    <m:r>
                      <m:t>d</m:t>
                    </m:r>
                  </m:e>
                  <m:sub>
                    <m:r>
                      <m:t>i</m:t>
                    </m:r>
                    <m:r>
                      <m:rPr>
                        <m:sty m:val="p"/>
                      </m:rPr>
                      <m:t>=</m:t>
                    </m:r>
                    <m:r>
                      <m:t>1</m:t>
                    </m:r>
                  </m:sub>
                </m:sSub>
                <m:r>
                  <m:rPr>
                    <m:sty m:val="p"/>
                  </m:rPr>
                  <m:t>,</m:t>
                </m:r>
                <m:r>
                  <m:rPr>
                    <m:sty m:val="p"/>
                  </m:rPr>
                  <m:t>…</m:t>
                </m:r>
                <m:r>
                  <m:rPr>
                    <m:sty m:val="p"/>
                  </m:rPr>
                  <m:t>,</m:t>
                </m:r>
                <m:sSub>
                  <m:e>
                    <m:r>
                      <m:t>d</m:t>
                    </m:r>
                  </m:e>
                  <m:sub>
                    <m:r>
                      <m:t>I</m:t>
                    </m:r>
                  </m:sub>
                </m:sSub>
              </m:e>
            </m:d>
          </m:e>
          <m:sup>
            <m:r>
              <m:rPr>
                <m:sty m:val="p"/>
              </m:rPr>
              <m:t>⊺</m:t>
            </m:r>
          </m:sup>
        </m:sSup>
      </m:oMath>
      <w:r>
        <w:t xml:space="preserve"> </w:t>
      </w:r>
      <w:r>
        <w:t xml:space="preserve">of varying width. We assume the grouped death counts to arise from a Poisson distribution with mean</w:t>
      </w:r>
      <w:r>
        <w:t xml:space="preserve"> </w:t>
      </w:r>
      <m:oMath>
        <m:sSub>
          <m:e>
            <m:r>
              <m:t>μ</m:t>
            </m:r>
          </m:e>
          <m:sub>
            <m:r>
              <m:t>i</m:t>
            </m:r>
          </m:sub>
        </m:sSub>
      </m:oMath>
      <w:r>
        <w:t xml:space="preserve">:</w:t>
      </w:r>
    </w:p>
    <w:p>
      <w:pPr>
        <w:pStyle w:val="BodyText"/>
      </w:pPr>
      <m:oMathPara>
        <m:oMathParaPr>
          <m:jc m:val="center"/>
        </m:oMathParaPr>
        <m:oMath>
          <m:sSubSup>
            <m:e>
              <m:r>
                <m:t>d</m:t>
              </m:r>
            </m:e>
            <m:sub>
              <m:r>
                <m:t>i</m:t>
              </m:r>
            </m:sub>
            <m:sup>
              <m:r>
                <m:rPr>
                  <m:sty m:val="p"/>
                </m:rPr>
                <m:t>g</m:t>
              </m:r>
              <m:r>
                <m:rPr>
                  <m:sty m:val="p"/>
                </m:rPr>
                <m:t>r</m:t>
              </m:r>
              <m:r>
                <m:rPr>
                  <m:sty m:val="p"/>
                </m:rPr>
                <m:t>o</m:t>
              </m:r>
              <m:r>
                <m:rPr>
                  <m:sty m:val="p"/>
                </m:rPr>
                <m:t>u</m:t>
              </m:r>
              <m:r>
                <m:rPr>
                  <m:sty m:val="p"/>
                </m:rPr>
                <m:t>p</m:t>
              </m:r>
              <m:r>
                <m:rPr>
                  <m:sty m:val="p"/>
                </m:rPr>
                <m:t>e</m:t>
              </m:r>
              <m:r>
                <m:rPr>
                  <m:sty m:val="p"/>
                </m:rPr>
                <m:t>d</m:t>
              </m:r>
            </m:sup>
          </m:sSubSup>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sepChr m:val=""/>
              <m:endChr m:val=")"/>
              <m:grow/>
            </m:dPr>
            <m:e>
              <m:sSub>
                <m:e>
                  <m:r>
                    <m:t>μ</m:t>
                  </m:r>
                </m:e>
                <m:sub>
                  <m:r>
                    <m:t>i</m:t>
                  </m:r>
                </m:sub>
              </m:sSub>
            </m:e>
          </m:d>
          <m:r>
            <m:rPr>
              <m:sty m:val="p"/>
            </m:rPr>
            <m:t>.</m:t>
          </m:r>
        </m:oMath>
      </m:oMathPara>
    </w:p>
    <w:p>
      <w:pPr>
        <w:pStyle w:val="FirstParagraph"/>
      </w:pPr>
      <w:r>
        <w:t xml:space="preserve">The PCLM methods seeks to recover the means of the original single year death counts,</w:t>
      </w:r>
      <w:r>
        <w:t xml:space="preserve"> </w:t>
      </w:r>
      <m:oMath>
        <m:r>
          <m:rPr>
            <m:sty m:val="b"/>
          </m:rPr>
          <m:t>γ</m:t>
        </m:r>
        <m:r>
          <m:rPr>
            <m:sty m:val="p"/>
          </m:rPr>
          <m:t>=</m:t>
        </m:r>
        <m:sSup>
          <m:e>
            <m:d>
              <m:dPr>
                <m:begChr m:val="("/>
                <m:sepChr m:val=""/>
                <m:endChr m:val=")"/>
                <m:grow/>
              </m:dPr>
              <m:e>
                <m:sSub>
                  <m:e>
                    <m:r>
                      <m:t>γ</m:t>
                    </m:r>
                  </m:e>
                  <m:sub>
                    <m:r>
                      <m:t>j</m:t>
                    </m:r>
                    <m:r>
                      <m:rPr>
                        <m:sty m:val="p"/>
                      </m:rPr>
                      <m:t>=</m:t>
                    </m:r>
                    <m:r>
                      <m:t>1</m:t>
                    </m:r>
                  </m:sub>
                </m:sSub>
                <m:r>
                  <m:rPr>
                    <m:sty m:val="p"/>
                  </m:rPr>
                  <m:t>,</m:t>
                </m:r>
                <m:r>
                  <m:rPr>
                    <m:sty m:val="p"/>
                  </m:rPr>
                  <m:t>…</m:t>
                </m:r>
                <m:r>
                  <m:rPr>
                    <m:sty m:val="p"/>
                  </m:rPr>
                  <m:t>,</m:t>
                </m:r>
                <m:sSub>
                  <m:e>
                    <m:r>
                      <m:t>γ</m:t>
                    </m:r>
                  </m:e>
                  <m:sub>
                    <m:r>
                      <m:t>J</m:t>
                    </m:r>
                  </m:sub>
                </m:sSub>
              </m:e>
            </m:d>
          </m:e>
          <m:sup>
            <m:r>
              <m:rPr>
                <m:sty m:val="p"/>
              </m:rPr>
              <m:t>⊺</m:t>
            </m:r>
          </m:sup>
        </m:sSup>
      </m:oMath>
      <w:r>
        <w:t xml:space="preserve">. To that end, one can encode the age aggregation into a binary composition matrix</w:t>
      </w:r>
      <w:r>
        <w:t xml:space="preserve"> </w:t>
      </w:r>
      <m:oMath>
        <m:r>
          <m:rPr>
            <m:sty m:val="b"/>
          </m:rPr>
          <m:t>C</m:t>
        </m:r>
      </m:oMath>
      <w:r>
        <w:t xml:space="preserve"> </w:t>
      </w:r>
      <w:r>
        <w:t xml:space="preserve">with dimensions</w:t>
      </w:r>
      <w:r>
        <w:t xml:space="preserve"> </w:t>
      </w:r>
      <m:oMath>
        <m:r>
          <m:t>I</m:t>
        </m:r>
        <m:r>
          <m:rPr>
            <m:sty m:val="p"/>
          </m:rPr>
          <m:t>×</m:t>
        </m:r>
        <m:r>
          <m:t>J</m:t>
        </m:r>
      </m:oMath>
      <w:r>
        <w:t xml:space="preserve"> </w:t>
      </w:r>
      <w:r>
        <w:t xml:space="preserve">such that</w:t>
      </w:r>
      <w:r>
        <w:t xml:space="preserve"> </w:t>
      </w:r>
      <m:oMath>
        <m:sSup>
          <m:e>
            <m:r>
              <m:rPr>
                <m:sty m:val="b"/>
              </m:rPr>
              <m:t>d</m:t>
            </m:r>
          </m:e>
          <m:sup>
            <m:r>
              <m:rPr>
                <m:sty m:val="p"/>
              </m:rPr>
              <m:t>g</m:t>
            </m:r>
            <m:r>
              <m:rPr>
                <m:sty m:val="p"/>
              </m:rPr>
              <m:t>r</m:t>
            </m:r>
            <m:r>
              <m:rPr>
                <m:sty m:val="p"/>
              </m:rPr>
              <m:t>o</m:t>
            </m:r>
            <m:r>
              <m:rPr>
                <m:sty m:val="p"/>
              </m:rPr>
              <m:t>u</m:t>
            </m:r>
            <m:r>
              <m:rPr>
                <m:sty m:val="p"/>
              </m:rPr>
              <m:t>p</m:t>
            </m:r>
            <m:r>
              <m:rPr>
                <m:sty m:val="p"/>
              </m:rPr>
              <m:t>e</m:t>
            </m:r>
            <m:r>
              <m:rPr>
                <m:sty m:val="p"/>
              </m:rPr>
              <m:t>d</m:t>
            </m:r>
          </m:sup>
        </m:sSup>
        <m:r>
          <m:rPr>
            <m:sty m:val="p"/>
          </m:rPr>
          <m:t>=</m:t>
        </m:r>
        <m:r>
          <m:rPr>
            <m:sty m:val="b"/>
          </m:rPr>
          <m:t>C</m:t>
        </m:r>
        <m:sSup>
          <m:e>
            <m:r>
              <m:rPr>
                <m:sty m:val="b"/>
              </m:rPr>
              <m:t>d</m:t>
            </m:r>
          </m:e>
          <m:sup>
            <m:r>
              <m:rPr>
                <m:sty m:val="p"/>
              </m:rPr>
              <m:t>s</m:t>
            </m:r>
            <m:r>
              <m:rPr>
                <m:sty m:val="p"/>
              </m:rPr>
              <m:t>i</m:t>
            </m:r>
            <m:r>
              <m:rPr>
                <m:sty m:val="p"/>
              </m:rPr>
              <m:t>n</m:t>
            </m:r>
            <m:r>
              <m:rPr>
                <m:sty m:val="p"/>
              </m:rPr>
              <m:t>g</m:t>
            </m:r>
            <m:r>
              <m:rPr>
                <m:sty m:val="p"/>
              </m:rPr>
              <m:t>l</m:t>
            </m:r>
            <m:r>
              <m:rPr>
                <m:sty m:val="p"/>
              </m:rPr>
              <m:t>e</m:t>
            </m:r>
          </m:sup>
        </m:sSup>
      </m:oMath>
      <w:r>
        <w:t xml:space="preserve">. The grouped Poisson rates are then connected to the single age means via the composite link</w:t>
      </w:r>
    </w:p>
    <w:p>
      <w:pPr>
        <w:pStyle w:val="BodyText"/>
      </w:pPr>
      <m:oMathPara>
        <m:oMathParaPr>
          <m:jc m:val="center"/>
        </m:oMathParaPr>
        <m:oMath>
          <m:r>
            <m:rPr>
              <m:sty m:val="b"/>
            </m:rPr>
            <m:t>μ</m:t>
          </m:r>
          <m:r>
            <m:rPr>
              <m:sty m:val="p"/>
            </m:rPr>
            <m:t>=</m:t>
          </m:r>
          <m:r>
            <m:rPr>
              <m:sty m:val="b"/>
            </m:rPr>
            <m:t>C</m:t>
          </m:r>
          <m:r>
            <m:rPr>
              <m:sty m:val="b"/>
            </m:rPr>
            <m:t>γ</m:t>
          </m:r>
          <m:r>
            <m:rPr>
              <m:sty m:val="p"/>
            </m:rPr>
            <m:t>.</m:t>
          </m:r>
        </m:oMath>
      </m:oMathPara>
    </w:p>
    <w:p>
      <w:pPr>
        <w:pStyle w:val="FirstParagraph"/>
      </w:pPr>
      <w:r>
        <w:t xml:space="preserve">By specifying that the</w:t>
      </w:r>
      <w:r>
        <w:t xml:space="preserve"> </w:t>
      </w:r>
      <m:oMath>
        <m:r>
          <m:rPr>
            <m:sty m:val="b"/>
          </m:rPr>
          <m:t>γ</m:t>
        </m:r>
      </m:oMath>
      <w:r>
        <w:t xml:space="preserve"> </w:t>
      </w:r>
      <w:r>
        <w:t xml:space="preserve">are a smooth function of age,</w:t>
      </w:r>
    </w:p>
    <w:p>
      <w:pPr>
        <w:pStyle w:val="BodyText"/>
      </w:pPr>
      <m:oMathPara>
        <m:oMathParaPr>
          <m:jc m:val="center"/>
        </m:oMathParaPr>
        <m:oMath>
          <m:sSub>
            <m:e>
              <m:r>
                <m:t>γ</m:t>
              </m:r>
            </m:e>
            <m:sub>
              <m:r>
                <m:t>j</m:t>
              </m:r>
            </m:sub>
          </m:sSub>
          <m:r>
            <m:rPr>
              <m:sty m:val="p"/>
            </m:rPr>
            <m:t>=</m:t>
          </m:r>
          <m:r>
            <m:rPr>
              <m:sty m:val="p"/>
            </m:rPr>
            <m:t>exp</m:t>
          </m:r>
          <m:d>
            <m:dPr>
              <m:begChr m:val="("/>
              <m:sepChr m:val=""/>
              <m:endChr m:val=")"/>
              <m:grow/>
            </m:dPr>
            <m:e>
              <m:r>
                <m:t>s</m:t>
              </m:r>
              <m:r>
                <m:rPr>
                  <m:sty m:val="p"/>
                </m:rPr>
                <m:t>(</m:t>
              </m:r>
              <m:r>
                <m:t>x</m:t>
              </m:r>
              <m:d>
                <m:dPr>
                  <m:begChr m:val="("/>
                  <m:sepChr m:val=""/>
                  <m:endChr m:val=")"/>
                  <m:grow/>
                </m:dPr>
                <m:e>
                  <m:r>
                    <m:t>j</m:t>
                  </m:r>
                </m:e>
              </m:d>
            </m:e>
          </m:d>
          <m:r>
            <m:rPr>
              <m:sty m:val="p"/>
            </m:rPr>
            <m:t>,</m:t>
          </m:r>
        </m:oMath>
      </m:oMathPara>
    </w:p>
    <w:p>
      <w:pPr>
        <w:pStyle w:val="FirstParagraph"/>
      </w:pPr>
      <w:r>
        <w:t xml:space="preserve">where</w:t>
      </w:r>
      <w:r>
        <w:t xml:space="preserve"> </w:t>
      </w:r>
      <m:oMath>
        <m:r>
          <m:t>s</m:t>
        </m:r>
        <m:d>
          <m:dPr>
            <m:begChr m:val="("/>
            <m:sepChr m:val=""/>
            <m:endChr m:val=")"/>
            <m:grow/>
          </m:dPr>
          <m:e>
            <m:r>
              <m:t>x</m:t>
            </m:r>
            <m:d>
              <m:dPr>
                <m:begChr m:val="("/>
                <m:sepChr m:val=""/>
                <m:endChr m:val=")"/>
                <m:grow/>
              </m:dPr>
              <m:e>
                <m:r>
                  <m:t>j</m:t>
                </m:r>
              </m:e>
            </m:d>
          </m:e>
        </m:d>
      </m:oMath>
      <w:r>
        <w:t xml:space="preserve"> </w:t>
      </w:r>
      <w:r>
        <w:t xml:space="preserve">is a P-spline over the starting age</w:t>
      </w:r>
      <w:r>
        <w:t xml:space="preserve"> </w:t>
      </w:r>
      <m:oMath>
        <m:r>
          <m:t>x</m:t>
        </m:r>
      </m:oMath>
      <w:r>
        <w:t xml:space="preserve"> </w:t>
      </w:r>
      <w:r>
        <w:t xml:space="preserve">of single year age groups</w:t>
      </w:r>
      <w:r>
        <w:t xml:space="preserve"> </w:t>
      </w:r>
      <m:oMath>
        <m:r>
          <m:t>j</m:t>
        </m:r>
        <m:r>
          <m:rPr>
            <m:sty m:val="p"/>
          </m:rPr>
          <m:t>∈</m:t>
        </m:r>
        <m:r>
          <m:t>1</m:t>
        </m:r>
        <m:r>
          <m:rPr>
            <m:sty m:val="p"/>
          </m:rPr>
          <m:t>,</m:t>
        </m:r>
        <m:r>
          <m:rPr>
            <m:sty m:val="p"/>
          </m:rPr>
          <m:t>…</m:t>
        </m:r>
        <m:r>
          <m:rPr>
            <m:sty m:val="p"/>
          </m:rPr>
          <m:t>,</m:t>
        </m:r>
        <m:r>
          <m:t>J</m:t>
        </m:r>
      </m:oMath>
      <w:r>
        <w:t xml:space="preserve">, a penalized likelihood solution can be found for the vector of mean death counts by single age. To get an integer estimate of the death count in single age</w:t>
      </w:r>
      <w:r>
        <w:t xml:space="preserve"> </w:t>
      </w:r>
      <m:oMath>
        <m:r>
          <m:t>x</m:t>
        </m:r>
      </m:oMath>
      <w:r>
        <w:t xml:space="preserve"> </w:t>
      </w:r>
      <w:r>
        <w:t xml:space="preserve">we round</w:t>
      </w:r>
      <w:r>
        <w:t xml:space="preserve"> </w:t>
      </w:r>
      <m:oMath>
        <m:sSub>
          <m:e>
            <m:r>
              <m:t>γ</m:t>
            </m:r>
          </m:e>
          <m:sub>
            <m:r>
              <m:t>x</m:t>
            </m:r>
          </m:sub>
        </m:sSub>
        <m:d>
          <m:dPr>
            <m:begChr m:val="("/>
            <m:sepChr m:val=""/>
            <m:endChr m:val=")"/>
            <m:grow/>
          </m:dPr>
          <m:e>
            <m:r>
              <m:t>j</m:t>
            </m:r>
          </m:e>
        </m:d>
      </m:oMath>
      <w:r>
        <w:t xml:space="preserve"> </w:t>
      </w:r>
      <w:r>
        <w:t xml:space="preserve">down to the next integer,</w:t>
      </w:r>
    </w:p>
    <w:p>
      <w:pPr>
        <w:pStyle w:val="BodyText"/>
      </w:pPr>
      <m:oMathPara>
        <m:oMathParaPr>
          <m:jc m:val="center"/>
        </m:oMathParaPr>
        <m:oMath>
          <m:sSup>
            <m:e>
              <m:acc>
                <m:accPr>
                  <m:chr m:val="̂"/>
                </m:accPr>
                <m:e>
                  <m:sSub>
                    <m:e>
                      <m:r>
                        <m:t>d</m:t>
                      </m:r>
                    </m:e>
                    <m:sub>
                      <m:r>
                        <m:t>x</m:t>
                      </m:r>
                    </m:sub>
                  </m:sSub>
                </m:e>
              </m:acc>
            </m:e>
            <m:sup>
              <m:r>
                <m:rPr>
                  <m:sty m:val="p"/>
                </m:rPr>
                <m:t>s</m:t>
              </m:r>
              <m:r>
                <m:rPr>
                  <m:sty m:val="p"/>
                </m:rPr>
                <m:t>i</m:t>
              </m:r>
              <m:r>
                <m:rPr>
                  <m:sty m:val="p"/>
                </m:rPr>
                <m:t>n</m:t>
              </m:r>
              <m:r>
                <m:rPr>
                  <m:sty m:val="p"/>
                </m:rPr>
                <m:t>g</m:t>
              </m:r>
              <m:r>
                <m:rPr>
                  <m:sty m:val="p"/>
                </m:rPr>
                <m:t>l</m:t>
              </m:r>
              <m:r>
                <m:rPr>
                  <m:sty m:val="p"/>
                </m:rPr>
                <m:t>e</m:t>
              </m:r>
            </m:sup>
          </m:sSup>
          <m:r>
            <m:rPr>
              <m:sty m:val="p"/>
            </m:rPr>
            <m:t>=</m:t>
          </m:r>
          <m:r>
            <m:rPr>
              <m:sty m:val="p"/>
            </m:rPr>
            <m:t>⌊</m:t>
          </m:r>
          <m:sSub>
            <m:e>
              <m:r>
                <m:t>γ</m:t>
              </m:r>
            </m:e>
            <m:sub>
              <m:r>
                <m:t>x</m:t>
              </m:r>
              <m:d>
                <m:dPr>
                  <m:begChr m:val="("/>
                  <m:sepChr m:val=""/>
                  <m:endChr m:val=")"/>
                  <m:grow/>
                </m:dPr>
                <m:e>
                  <m:r>
                    <m:t>j</m:t>
                  </m:r>
                </m:e>
              </m:d>
            </m:sub>
          </m:sSub>
          <m:r>
            <m:rPr>
              <m:sty m:val="p"/>
            </m:rPr>
            <m:t>⌋</m:t>
          </m:r>
          <m:r>
            <m:rPr>
              <m:sty m:val="p"/>
            </m:rPr>
            <m:t>,</m:t>
          </m:r>
        </m:oMath>
      </m:oMathPara>
    </w:p>
    <w:p>
      <w:pPr>
        <w:pStyle w:val="FirstParagraph"/>
      </w:pPr>
      <w:r>
        <w:t xml:space="preserve">such that</w:t>
      </w:r>
      <w:r>
        <w:t xml:space="preserve"> </w:t>
      </w:r>
      <m:oMath>
        <m:acc>
          <m:accPr>
            <m:chr m:val="̂"/>
          </m:accPr>
          <m:e>
            <m:sSub>
              <m:e>
                <m:r>
                  <m:t>d</m:t>
                </m:r>
              </m:e>
              <m:sub>
                <m:r>
                  <m:t>x</m:t>
                </m:r>
              </m:sub>
            </m:sSub>
          </m:e>
        </m:acc>
      </m:oMath>
      <w:r>
        <w:t xml:space="preserve"> </w:t>
      </w:r>
      <w:r>
        <w:t xml:space="preserve">corresponds to the mode of the Poisson distribution with rate</w:t>
      </w:r>
      <w:r>
        <w:t xml:space="preserve"> </w:t>
      </w:r>
      <m:oMath>
        <m:sSub>
          <m:e>
            <m:r>
              <m:t>γ</m:t>
            </m:r>
          </m:e>
          <m:sub>
            <m:r>
              <m:t>x</m:t>
            </m:r>
            <m:d>
              <m:dPr>
                <m:begChr m:val="("/>
                <m:sepChr m:val=""/>
                <m:endChr m:val=")"/>
                <m:grow/>
              </m:dPr>
              <m:e>
                <m:r>
                  <m:t>j</m:t>
                </m:r>
              </m:e>
            </m:d>
          </m:sub>
        </m:sSub>
      </m:oMath>
      <w:r>
        <w:t xml:space="preserve">.</w:t>
      </w:r>
    </w:p>
    <w:p>
      <w:pPr>
        <w:pStyle w:val="BodyText"/>
      </w:pPr>
      <w:r>
        <w:t xml:space="preserve">Because the age grouping scheme may vary within a year, the ungrouping is separately applied to each region</w:t>
      </w:r>
      <w:r>
        <w:t xml:space="preserve"> </w:t>
      </w:r>
      <m:oMath>
        <m:r>
          <m:rPr>
            <m:sty m:val="p"/>
          </m:rPr>
          <m:t>×</m:t>
        </m:r>
      </m:oMath>
      <w:r>
        <w:t xml:space="preserve"> </w:t>
      </w:r>
      <w:r>
        <w:t xml:space="preserve">sex</w:t>
      </w:r>
      <w:r>
        <w:t xml:space="preserve"> </w:t>
      </w:r>
      <m:oMath>
        <m:r>
          <m:rPr>
            <m:sty m:val="p"/>
          </m:rPr>
          <m:t>×</m:t>
        </m:r>
      </m:oMath>
      <w:r>
        <w:t xml:space="preserve"> </w:t>
      </w:r>
      <w:r>
        <w:t xml:space="preserve">year</w:t>
      </w:r>
      <w:r>
        <w:t xml:space="preserve"> </w:t>
      </w:r>
      <m:oMath>
        <m:r>
          <m:rPr>
            <m:sty m:val="p"/>
          </m:rPr>
          <m:t>×</m:t>
        </m:r>
      </m:oMath>
      <w:r>
        <w:t xml:space="preserve"> </w:t>
      </w:r>
      <w:r>
        <w:t xml:space="preserve">age pattern combination in the input data. In a final step, the harmonized sub-annual HMD-STMF death counts are summed into annual death counts by age,</w:t>
      </w:r>
      <w:r>
        <w:t xml:space="preserve"> </w:t>
      </w:r>
      <m:oMath>
        <m:sSub>
          <m:e>
            <m:acc>
              <m:accPr>
                <m:chr m:val="̂"/>
              </m:accPr>
              <m:e>
                <m:r>
                  <m:t>d</m:t>
                </m:r>
              </m:e>
            </m:acc>
          </m:e>
          <m:sub>
            <m:r>
              <m:t>x</m:t>
            </m:r>
            <m:r>
              <m:t>y</m:t>
            </m:r>
          </m:sub>
        </m:sSub>
      </m:oMath>
      <w:r>
        <w:t xml:space="preserve">.</w:t>
      </w:r>
    </w:p>
    <w:bookmarkEnd w:id="29"/>
    <w:bookmarkStart w:id="30" w:name="exposure-time-calculation"/>
    <w:p>
      <w:pPr>
        <w:pStyle w:val="Heading2"/>
      </w:pPr>
      <w:r>
        <w:t xml:space="preserve">Exposure time calculation</w:t>
      </w:r>
    </w:p>
    <w:p>
      <w:pPr>
        <w:pStyle w:val="FirstParagraph"/>
      </w:pPr>
      <w:r>
        <w:t xml:space="preserve">We derive person years of exposure by age and year,</w:t>
      </w:r>
      <w:r>
        <w:t xml:space="preserve"> </w:t>
      </w:r>
      <m:oMath>
        <m:sSub>
          <m:e>
            <m:r>
              <m:t>E</m:t>
            </m:r>
          </m:e>
          <m:sub>
            <m:r>
              <m:t>x</m:t>
            </m:r>
            <m:r>
              <m:t>y</m:t>
            </m:r>
          </m:sub>
        </m:sSub>
      </m:oMath>
      <w:r>
        <w:t xml:space="preserve">, from the midyear population estimates,</w:t>
      </w:r>
      <w:r>
        <w:t xml:space="preserve"> </w:t>
      </w:r>
      <m:oMath>
        <m:sSubSup>
          <m:e>
            <m:r>
              <m:t>N</m:t>
            </m:r>
          </m:e>
          <m:sub>
            <m:r>
              <m:t>x</m:t>
            </m:r>
            <m:r>
              <m:t>y</m:t>
            </m:r>
          </m:sub>
          <m:sup>
            <m:r>
              <m:rPr>
                <m:sty m:val="p"/>
              </m:rPr>
              <m:t>m</m:t>
            </m:r>
            <m:r>
              <m:rPr>
                <m:sty m:val="p"/>
              </m:rPr>
              <m:t>i</m:t>
            </m:r>
            <m:r>
              <m:rPr>
                <m:sty m:val="p"/>
              </m:rPr>
              <m:t>d</m:t>
            </m:r>
            <m:r>
              <m:rPr>
                <m:sty m:val="p"/>
              </m:rPr>
              <m:t>y</m:t>
            </m:r>
            <m:r>
              <m:rPr>
                <m:sty m:val="p"/>
              </m:rPr>
              <m:t>e</m:t>
            </m:r>
            <m:r>
              <m:rPr>
                <m:sty m:val="p"/>
              </m:rPr>
              <m:t>a</m:t>
            </m:r>
            <m:r>
              <m:rPr>
                <m:sty m:val="p"/>
              </m:rPr>
              <m:t>r</m:t>
            </m:r>
          </m:sup>
        </m:sSubSup>
      </m:oMath>
      <w:r>
        <w:t xml:space="preserve">. We choose the HMD midyear population for exposure calculation for those countries where a complete series is available through 2024 and for the regions of UK. Otherwise we choose the World Population Prospects 2024 data which is always complete throughout 2024. To complete HMD exposures for the UK regions we perform a stable population projection based on the most recent HMD population data and 5 year average (2015 through 2019) age specific mortality and fertility rates. Exposures are adjusted for the length of the observation period within a year, taking into account weeks with missing data and leap-weeks.</w:t>
      </w:r>
    </w:p>
    <w:p>
      <w:pPr>
        <w:pStyle w:val="BodyText"/>
      </w:pPr>
      <m:oMathPara>
        <m:oMathParaPr>
          <m:jc m:val="center"/>
        </m:oMathParaPr>
        <m:oMath>
          <m:sSub>
            <m:e>
              <m:r>
                <m:t>E</m:t>
              </m:r>
            </m:e>
            <m:sub>
              <m:r>
                <m:t>x</m:t>
              </m:r>
              <m:r>
                <m:t>y</m:t>
              </m:r>
            </m:sub>
          </m:sSub>
          <m:r>
            <m:rPr>
              <m:sty m:val="p"/>
            </m:rPr>
            <m:t>=</m:t>
          </m:r>
          <m:sSubSup>
            <m:e>
              <m:r>
                <m:t>N</m:t>
              </m:r>
            </m:e>
            <m:sub>
              <m:r>
                <m:t>x</m:t>
              </m:r>
              <m:r>
                <m:t>y</m:t>
              </m:r>
            </m:sub>
            <m:sup>
              <m:r>
                <m:rPr>
                  <m:sty m:val="p"/>
                </m:rPr>
                <m:t>m</m:t>
              </m:r>
              <m:r>
                <m:rPr>
                  <m:sty m:val="p"/>
                </m:rPr>
                <m:t>i</m:t>
              </m:r>
              <m:r>
                <m:rPr>
                  <m:sty m:val="p"/>
                </m:rPr>
                <m:t>d</m:t>
              </m:r>
              <m:r>
                <m:rPr>
                  <m:sty m:val="p"/>
                </m:rPr>
                <m:t>y</m:t>
              </m:r>
              <m:r>
                <m:rPr>
                  <m:sty m:val="p"/>
                </m:rPr>
                <m:t>e</m:t>
              </m:r>
              <m:r>
                <m:rPr>
                  <m:sty m:val="p"/>
                </m:rPr>
                <m:t>a</m:t>
              </m:r>
              <m:r>
                <m:rPr>
                  <m:sty m:val="p"/>
                </m:rPr>
                <m:t>r</m:t>
              </m:r>
            </m:sup>
          </m:sSubSup>
          <m:sSubSup>
            <m:e>
              <m:r>
                <m:t>n</m:t>
              </m:r>
            </m:e>
            <m:sub>
              <m:r>
                <m:t>y</m:t>
              </m:r>
            </m:sub>
            <m:sup>
              <m:r>
                <m:rPr>
                  <m:sty m:val="p"/>
                </m:rPr>
                <m:t>o</m:t>
              </m:r>
              <m:r>
                <m:rPr>
                  <m:sty m:val="p"/>
                </m:rPr>
                <m:t>b</m:t>
              </m:r>
              <m:r>
                <m:rPr>
                  <m:sty m:val="p"/>
                </m:rPr>
                <m:t>s</m:t>
              </m:r>
              <m:r>
                <m:rPr>
                  <m:sty m:val="p"/>
                </m:rPr>
                <m:t>e</m:t>
              </m:r>
              <m:r>
                <m:rPr>
                  <m:sty m:val="p"/>
                </m:rPr>
                <m:t>r</m:t>
              </m:r>
              <m:r>
                <m:rPr>
                  <m:sty m:val="p"/>
                </m:rPr>
                <m:t>v</m:t>
              </m:r>
              <m:r>
                <m:rPr>
                  <m:sty m:val="p"/>
                </m:rPr>
                <m:t>e</m:t>
              </m:r>
              <m:r>
                <m:rPr>
                  <m:sty m:val="p"/>
                </m:rPr>
                <m:t>d</m:t>
              </m:r>
              <m:r>
                <m:rPr>
                  <m:sty m:val="p"/>
                </m:rPr>
                <m:t>−</m:t>
              </m:r>
              <m:r>
                <m:rPr>
                  <m:sty m:val="p"/>
                </m:rPr>
                <m:t>w</m:t>
              </m:r>
              <m:r>
                <m:rPr>
                  <m:sty m:val="p"/>
                </m:rPr>
                <m:t>e</m:t>
              </m:r>
              <m:r>
                <m:rPr>
                  <m:sty m:val="p"/>
                </m:rPr>
                <m:t>e</m:t>
              </m:r>
              <m:r>
                <m:rPr>
                  <m:sty m:val="p"/>
                </m:rPr>
                <m:t>k</m:t>
              </m:r>
              <m:r>
                <m:rPr>
                  <m:sty m:val="p"/>
                </m:rPr>
                <m:t>s</m:t>
              </m:r>
            </m:sup>
          </m:sSubSup>
          <m:r>
            <m:rPr>
              <m:sty m:val="p"/>
            </m:rPr>
            <m:t>/</m:t>
          </m:r>
          <m:r>
            <m:t>52</m:t>
          </m:r>
          <m:r>
            <m:rPr>
              <m:sty m:val="p"/>
            </m:rPr>
            <m:t>.</m:t>
          </m:r>
        </m:oMath>
      </m:oMathPara>
    </w:p>
    <w:bookmarkEnd w:id="30"/>
    <w:bookmarkEnd w:id="31"/>
    <w:bookmarkStart w:id="42" w:name="X0c950c5a59157a94dc193c35ebcf4b56f5ae21b"/>
    <w:p>
      <w:pPr>
        <w:pStyle w:val="Heading1"/>
      </w:pPr>
      <w:r>
        <w:t xml:space="preserve">Bias correction of age specific annual death counts</w:t>
      </w:r>
      <w:r>
        <w:t xml:space="preserve"> </w:t>
      </w:r>
      <w:r>
        <w:rPr>
          <w:rStyle w:val="FootnoteReference"/>
        </w:rPr>
        <w:footnoteReference w:id="32"/>
      </w:r>
    </w:p>
    <w:p>
      <w:pPr>
        <w:pStyle w:val="BodyText"/>
      </w:pPr>
      <w:r>
        <w:t xml:space="preserve">The purpose of our bias correction model is to correct any systematic deviations between our age specific mortality rate estimates and the official annual estimates. While the HMD-STMF death counts allow for timely estimates of current mortality they sometimes deviate substantially from official annual estimates due to different population definitions and reporting guidelines in the weekly death reporting compared to the annual reporting. Because these systematic biases are stable in time, they can be estimated and corrected. To that end we estimate a correction factor</w:t>
      </w:r>
      <w:r>
        <w:t xml:space="preserve"> </w:t>
      </w:r>
      <m:oMath>
        <m:sSub>
          <m:e>
            <m:acc>
              <m:accPr>
                <m:chr m:val="̂"/>
              </m:accPr>
              <m:e>
                <m:r>
                  <m:t>c</m:t>
                </m:r>
              </m:e>
            </m:acc>
          </m:e>
          <m:sub>
            <m:r>
              <m:t>x</m:t>
            </m:r>
            <m:r>
              <m:t>y</m:t>
            </m:r>
          </m:sub>
        </m:sSub>
      </m:oMath>
      <w:r>
        <w:t xml:space="preserve"> </w:t>
      </w:r>
      <w:r>
        <w:t xml:space="preserve">which, if multiplied with the single age annual death counts,</w:t>
      </w:r>
      <w:r>
        <w:t xml:space="preserve"> </w:t>
      </w:r>
      <m:oMath>
        <m:sSub>
          <m:e>
            <m:acc>
              <m:accPr>
                <m:chr m:val="̂"/>
              </m:accPr>
              <m:e>
                <m:r>
                  <m:t>d</m:t>
                </m:r>
              </m:e>
            </m:acc>
          </m:e>
          <m:sub>
            <m:r>
              <m:t>x</m:t>
            </m:r>
            <m:r>
              <m:t>y</m:t>
            </m:r>
          </m:sub>
        </m:sSub>
      </m:oMath>
      <w:r>
        <w:t xml:space="preserve">, yields the corrected counts:</w:t>
      </w:r>
    </w:p>
    <w:p>
      <w:pPr>
        <w:pStyle w:val="BodyText"/>
      </w:pPr>
      <m:oMathPara>
        <m:oMathParaPr>
          <m:jc m:val="center"/>
        </m:oMathParaPr>
        <m:oMath>
          <m:sSubSup>
            <m:e>
              <m:acc>
                <m:accPr>
                  <m:chr m:val="̂"/>
                </m:accPr>
                <m:e>
                  <m:r>
                    <m:t>d</m:t>
                  </m:r>
                </m:e>
              </m:acc>
            </m:e>
            <m:sub>
              <m:r>
                <m:t>x</m:t>
              </m:r>
              <m:r>
                <m:t>y</m:t>
              </m:r>
            </m:sub>
            <m:sup>
              <m:r>
                <m:rPr>
                  <m:sty m:val="p"/>
                </m:rPr>
                <m:t>c</m:t>
              </m:r>
              <m:r>
                <m:rPr>
                  <m:sty m:val="p"/>
                </m:rPr>
                <m:t>o</m:t>
              </m:r>
              <m:r>
                <m:rPr>
                  <m:sty m:val="p"/>
                </m:rPr>
                <m:t>r</m:t>
              </m:r>
              <m:r>
                <m:rPr>
                  <m:sty m:val="p"/>
                </m:rPr>
                <m:t>r</m:t>
              </m:r>
              <m:r>
                <m:rPr>
                  <m:sty m:val="p"/>
                </m:rPr>
                <m:t>e</m:t>
              </m:r>
              <m:r>
                <m:rPr>
                  <m:sty m:val="p"/>
                </m:rPr>
                <m:t>c</m:t>
              </m:r>
              <m:r>
                <m:rPr>
                  <m:sty m:val="p"/>
                </m:rPr>
                <m:t>t</m:t>
              </m:r>
              <m:r>
                <m:rPr>
                  <m:sty m:val="p"/>
                </m:rPr>
                <m:t>e</m:t>
              </m:r>
              <m:r>
                <m:rPr>
                  <m:sty m:val="p"/>
                </m:rPr>
                <m:t>d</m:t>
              </m:r>
            </m:sup>
          </m:sSubSup>
          <m:r>
            <m:rPr>
              <m:sty m:val="p"/>
            </m:rPr>
            <m:t>=</m:t>
          </m:r>
          <m:sSub>
            <m:e>
              <m:acc>
                <m:accPr>
                  <m:chr m:val="̂"/>
                </m:accPr>
                <m:e>
                  <m:r>
                    <m:t>c</m:t>
                  </m:r>
                </m:e>
              </m:acc>
            </m:e>
            <m:sub>
              <m:r>
                <m:t>x</m:t>
              </m:r>
              <m:r>
                <m:t>y</m:t>
              </m:r>
            </m:sub>
          </m:sSub>
          <m:r>
            <m:rPr>
              <m:sty m:val="p"/>
            </m:rPr>
            <m:t>⋅</m:t>
          </m:r>
          <m:sSub>
            <m:e>
              <m:acc>
                <m:accPr>
                  <m:chr m:val="̂"/>
                </m:accPr>
                <m:e>
                  <m:r>
                    <m:t>d</m:t>
                  </m:r>
                </m:e>
              </m:acc>
            </m:e>
            <m:sub>
              <m:r>
                <m:t>x</m:t>
              </m:r>
              <m:r>
                <m:t>y</m:t>
              </m:r>
            </m:sub>
          </m:sSub>
          <m:r>
            <m:rPr>
              <m:sty m:val="p"/>
            </m:rPr>
            <m:t>.</m:t>
          </m:r>
        </m:oMath>
      </m:oMathPara>
    </w:p>
    <w:p>
      <w:pPr>
        <w:pStyle w:val="FirstParagraph"/>
      </w:pPr>
      <w:r>
        <w:t xml:space="preserve">We estimate the correction factor via the Poisson model</w:t>
      </w:r>
    </w:p>
    <w:p>
      <w:pPr>
        <w:pStyle w:val="BodyText"/>
      </w:pPr>
      <m:oMathPara>
        <m:oMathParaPr>
          <m:jc m:val="center"/>
        </m:oMathParaPr>
        <m:oMath>
          <m:sSubSup>
            <m:e>
              <m:r>
                <m:t>d</m:t>
              </m:r>
            </m:e>
            <m:sub>
              <m:r>
                <m:t>x</m:t>
              </m:r>
              <m:r>
                <m:t>y</m:t>
              </m:r>
            </m:sub>
            <m:sup>
              <m:r>
                <m:rPr>
                  <m:sty m:val="p"/>
                </m:rPr>
                <m:t>b</m:t>
              </m:r>
              <m:r>
                <m:rPr>
                  <m:sty m:val="p"/>
                </m:rPr>
                <m:t>e</m:t>
              </m:r>
              <m:r>
                <m:rPr>
                  <m:sty m:val="p"/>
                </m:rPr>
                <m:t>n</m:t>
              </m:r>
              <m:r>
                <m:rPr>
                  <m:sty m:val="p"/>
                </m:rPr>
                <m:t>c</m:t>
              </m:r>
              <m:r>
                <m:rPr>
                  <m:sty m:val="p"/>
                </m:rPr>
                <m:t>h</m:t>
              </m:r>
              <m:r>
                <m:rPr>
                  <m:sty m:val="p"/>
                </m:rPr>
                <m:t>m</m:t>
              </m:r>
              <m:r>
                <m:rPr>
                  <m:sty m:val="p"/>
                </m:rPr>
                <m:t>a</m:t>
              </m:r>
              <m:r>
                <m:rPr>
                  <m:sty m:val="p"/>
                </m:rPr>
                <m:t>r</m:t>
              </m:r>
              <m:r>
                <m:rPr>
                  <m:sty m:val="p"/>
                </m:rPr>
                <m:t>k</m:t>
              </m:r>
            </m:sup>
          </m:sSubSup>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sepChr m:val=""/>
              <m:endChr m:val=")"/>
              <m:grow/>
            </m:dPr>
            <m:e>
              <m:sSub>
                <m:e>
                  <m:r>
                    <m:t>c</m:t>
                  </m:r>
                </m:e>
                <m:sub>
                  <m:r>
                    <m:t>x</m:t>
                  </m:r>
                  <m:r>
                    <m:t>y</m:t>
                  </m:r>
                </m:sub>
              </m:sSub>
              <m:r>
                <m:rPr>
                  <m:sty m:val="p"/>
                </m:rPr>
                <m:t>⋅</m:t>
              </m:r>
              <m:sSub>
                <m:e>
                  <m:acc>
                    <m:accPr>
                      <m:chr m:val="̂"/>
                    </m:accPr>
                    <m:e>
                      <m:r>
                        <m:t>d</m:t>
                      </m:r>
                    </m:e>
                  </m:acc>
                </m:e>
                <m:sub>
                  <m:r>
                    <m:t>x</m:t>
                  </m:r>
                  <m:r>
                    <m:t>y</m:t>
                  </m:r>
                </m:sub>
              </m:sSub>
            </m:e>
          </m:d>
          <m:r>
            <m:rPr>
              <m:sty m:val="p"/>
            </m:rPr>
            <m:t>,</m:t>
          </m:r>
        </m:oMath>
      </m:oMathPara>
    </w:p>
    <w:p>
      <w:pPr>
        <w:pStyle w:val="FirstParagraph"/>
      </w:pPr>
      <w:r>
        <w:t xml:space="preserve">where the benchmark death counts are taken from the HMD and</w:t>
      </w:r>
    </w:p>
    <w:p>
      <w:pPr>
        <w:pStyle w:val="BodyText"/>
      </w:pPr>
      <m:oMathPara>
        <m:oMathParaPr>
          <m:jc m:val="center"/>
        </m:oMathParaPr>
        <m:oMath>
          <m:sSub>
            <m:e>
              <m:r>
                <m:t>c</m:t>
              </m:r>
            </m:e>
            <m:sub>
              <m:r>
                <m:t>x</m:t>
              </m:r>
              <m:r>
                <m:t>y</m:t>
              </m:r>
            </m:sub>
          </m:sSub>
          <m:r>
            <m:rPr>
              <m:sty m:val="p"/>
            </m:rPr>
            <m:t>=</m:t>
          </m:r>
          <m:r>
            <m:rPr>
              <m:sty m:val="p"/>
            </m:rPr>
            <m:t>exp</m:t>
          </m:r>
          <m:d>
            <m:dPr>
              <m:begChr m:val="("/>
              <m:sepChr m:val=""/>
              <m:endChr m:val=")"/>
              <m:grow/>
            </m:dPr>
            <m:e>
              <m:sSub>
                <m:e>
                  <m:r>
                    <m:t>s</m:t>
                  </m:r>
                </m:e>
                <m:sub>
                  <m:r>
                    <m:t>y</m:t>
                  </m:r>
                </m:sub>
              </m:sSub>
              <m:d>
                <m:dPr>
                  <m:begChr m:val="("/>
                  <m:sepChr m:val=""/>
                  <m:endChr m:val=")"/>
                  <m:grow/>
                </m:dPr>
                <m:e>
                  <m:r>
                    <m:t>x</m:t>
                  </m:r>
                  <m:r>
                    <m:rPr>
                      <m:sty m:val="p"/>
                    </m:rPr>
                    <m:t>|</m:t>
                  </m:r>
                  <m:r>
                    <m:t>y</m:t>
                  </m:r>
                </m:e>
              </m:d>
            </m:e>
          </m:d>
          <m:r>
            <m:rPr>
              <m:sty m:val="p"/>
            </m:rPr>
            <m:t>,</m:t>
          </m:r>
        </m:oMath>
      </m:oMathPara>
    </w:p>
    <w:p>
      <w:pPr>
        <w:pStyle w:val="FirstParagraph"/>
      </w:pPr>
      <w:r>
        <w:t xml:space="preserve">is a smooth age effect estimated separately for each year capturing the time varying deviations between uncorrected and benchmark death counts. The correction factor from the last year with available benchmark data will be used in subsequent years.</w:t>
      </w:r>
    </w:p>
    <w:p>
      <w:pPr>
        <w:pStyle w:val="BodyText"/>
      </w:pPr>
      <w:r>
        <w:t xml:space="preserve">Figures</w:t>
      </w:r>
      <w:r>
        <w:t xml:space="preserve"> </w:t>
      </w:r>
      <w:hyperlink w:anchor="fig:biascorrection-a">
        <w:r>
          <w:rPr>
            <w:rStyle w:val="Hyperlink"/>
          </w:rPr>
          <w:t xml:space="preserve">1</w:t>
        </w:r>
      </w:hyperlink>
      <w:r>
        <w:t xml:space="preserve"> </w:t>
      </w:r>
      <w:r>
        <w:t xml:space="preserve">and</w:t>
      </w:r>
      <w:r>
        <w:t xml:space="preserve"> </w:t>
      </w:r>
      <w:hyperlink w:anchor="fig:biascorrection-b">
        <w:r>
          <w:rPr>
            <w:rStyle w:val="Hyperlink"/>
          </w:rPr>
          <w:t xml:space="preserve">2</w:t>
        </w:r>
      </w:hyperlink>
      <w:r>
        <w:t xml:space="preserve"> </w:t>
      </w:r>
      <w:r>
        <w:t xml:space="preserve">show the estimated correction factors and the bias corrected age specific death counts by year for the example of Austrian females. The model is fit separately to each region and sex.</w:t>
      </w:r>
    </w:p>
    <w:bookmarkStart w:id="37" w:name="fig:biascorrection-a"/>
    <w:p>
      <w:pPr>
        <w:pStyle w:val="CaptionedFigure"/>
      </w:pPr>
      <w:r>
        <w:drawing>
          <wp:inline>
            <wp:extent cx="5334000" cy="5282276"/>
            <wp:effectExtent b="0" l="0" r="0" t="0"/>
            <wp:docPr descr="" title="" id="35" name="Picture"/>
            <a:graphic>
              <a:graphicData uri="http://schemas.openxmlformats.org/drawingml/2006/picture">
                <pic:pic>
                  <pic:nvPicPr>
                    <pic:cNvPr descr="31-bias_correction_diagnostics_b.png" id="36" name="Picture"/>
                    <pic:cNvPicPr>
                      <a:picLocks noChangeArrowheads="1" noChangeAspect="1"/>
                    </pic:cNvPicPr>
                  </pic:nvPicPr>
                  <pic:blipFill>
                    <a:blip r:embed="rId34"/>
                    <a:stretch>
                      <a:fillRect/>
                    </a:stretch>
                  </pic:blipFill>
                  <pic:spPr bwMode="auto">
                    <a:xfrm>
                      <a:off x="0" y="0"/>
                      <a:ext cx="5334000" cy="5282276"/>
                    </a:xfrm>
                    <a:prstGeom prst="rect">
                      <a:avLst/>
                    </a:prstGeom>
                    <a:noFill/>
                    <a:ln w="9525">
                      <a:noFill/>
                      <a:headEnd/>
                      <a:tailEnd/>
                    </a:ln>
                  </pic:spPr>
                </pic:pic>
              </a:graphicData>
            </a:graphic>
          </wp:inline>
        </w:drawing>
      </w:r>
    </w:p>
    <w:p>
      <w:pPr>
        <w:pStyle w:val="ImageCaption"/>
      </w:pPr>
      <w:r>
        <w:t xml:space="preserve">Demonstration of estimated (red) bias correction factors</w:t>
      </w:r>
      <w:r>
        <w:t xml:space="preserve"> </w:t>
      </w:r>
      <m:oMath>
        <m:sSub>
          <m:e>
            <m:r>
              <m:t>c</m:t>
            </m:r>
          </m:e>
          <m:sub>
            <m:r>
              <m:t>x</m:t>
            </m:r>
            <m:r>
              <m:t>y</m:t>
            </m:r>
          </m:sub>
        </m:sSub>
      </m:oMath>
      <w:r>
        <w:t xml:space="preserve"> </w:t>
      </w:r>
      <w:r>
        <w:t xml:space="preserve">vs. raw correction factors (black) for Austrian females.</w:t>
      </w:r>
    </w:p>
    <w:bookmarkEnd w:id="37"/>
    <w:bookmarkStart w:id="41" w:name="fig:biascorrection-b"/>
    <w:p>
      <w:pPr>
        <w:pStyle w:val="CaptionedFigure"/>
      </w:pPr>
      <w:r>
        <w:drawing>
          <wp:inline>
            <wp:extent cx="5334000" cy="5285450"/>
            <wp:effectExtent b="0" l="0" r="0" t="0"/>
            <wp:docPr descr="" title="" id="39" name="Picture"/>
            <a:graphic>
              <a:graphicData uri="http://schemas.openxmlformats.org/drawingml/2006/picture">
                <pic:pic>
                  <pic:nvPicPr>
                    <pic:cNvPr descr="31-bias_correction_diagnostics_a.png" id="40" name="Picture"/>
                    <pic:cNvPicPr>
                      <a:picLocks noChangeArrowheads="1" noChangeAspect="1"/>
                    </pic:cNvPicPr>
                  </pic:nvPicPr>
                  <pic:blipFill>
                    <a:blip r:embed="rId38"/>
                    <a:stretch>
                      <a:fillRect/>
                    </a:stretch>
                  </pic:blipFill>
                  <pic:spPr bwMode="auto">
                    <a:xfrm>
                      <a:off x="0" y="0"/>
                      <a:ext cx="5334000" cy="5285450"/>
                    </a:xfrm>
                    <a:prstGeom prst="rect">
                      <a:avLst/>
                    </a:prstGeom>
                    <a:noFill/>
                    <a:ln w="9525">
                      <a:noFill/>
                      <a:headEnd/>
                      <a:tailEnd/>
                    </a:ln>
                  </pic:spPr>
                </pic:pic>
              </a:graphicData>
            </a:graphic>
          </wp:inline>
        </w:drawing>
      </w:r>
    </w:p>
    <w:p>
      <w:pPr>
        <w:pStyle w:val="ImageCaption"/>
      </w:pPr>
      <w:r>
        <w:t xml:space="preserve">Demonstration of bias corrected ungrouped age specific death rates (red) vs. non-corrected death rates (black) and HMD benchmark death rates (green) for Austrian females.</w:t>
      </w:r>
    </w:p>
    <w:bookmarkEnd w:id="41"/>
    <w:bookmarkEnd w:id="42"/>
    <w:bookmarkStart w:id="45" w:name="counterfactual-mortality-forecast"/>
    <w:p>
      <w:pPr>
        <w:pStyle w:val="Heading1"/>
      </w:pPr>
      <w:r>
        <w:t xml:space="preserve">Counterfactual mortality forecast</w:t>
      </w:r>
      <w:r>
        <w:t xml:space="preserve"> </w:t>
      </w:r>
      <w:r>
        <w:rPr>
          <w:rStyle w:val="FootnoteReference"/>
        </w:rPr>
        <w:footnoteReference w:id="43"/>
      </w:r>
    </w:p>
    <w:p>
      <w:pPr>
        <w:pStyle w:val="BodyText"/>
      </w:pPr>
      <w:r>
        <w:t xml:space="preserve">In order to calculate the life expectancy under continuation of pre-pandemic trends we forecast age specific mortality rates over the years 2020-2024 using a Poisson-Lee-Carter model given the data available up to January 2020.</w:t>
      </w:r>
    </w:p>
    <w:p>
      <w:pPr>
        <w:pStyle w:val="BodyText"/>
      </w:pPr>
      <w:r>
        <w:t xml:space="preserve">We fit a Poisson-Lee-Carter model</w:t>
      </w:r>
      <w:r>
        <w:t xml:space="preserve"> </w:t>
      </w:r>
      <w:r>
        <w:t xml:space="preserve"> </w:t>
      </w:r>
      <w:r>
        <w:t xml:space="preserve">where death counts at single age</w:t>
      </w:r>
      <w:r>
        <w:t xml:space="preserve"> </w:t>
      </w:r>
      <m:oMath>
        <m:r>
          <m:t>x</m:t>
        </m:r>
      </m:oMath>
      <w:r>
        <w:t xml:space="preserve"> </w:t>
      </w:r>
      <w:r>
        <w:t xml:space="preserve">and single year</w:t>
      </w:r>
      <w:r>
        <w:t xml:space="preserve"> </w:t>
      </w:r>
      <m:oMath>
        <m:r>
          <m:t>y</m:t>
        </m:r>
      </m:oMath>
      <w:r>
        <w:t xml:space="preserve"> </w:t>
      </w:r>
      <w:r>
        <w:t xml:space="preserve">are distributed</w:t>
      </w:r>
    </w:p>
    <w:p>
      <w:pPr>
        <w:pStyle w:val="BodyText"/>
      </w:pPr>
      <m:oMathPara>
        <m:oMathParaPr>
          <m:jc m:val="center"/>
        </m:oMathParaPr>
        <m:oMath>
          <m:sSub>
            <m:e>
              <m:r>
                <m:t>d</m:t>
              </m:r>
            </m:e>
            <m:sub>
              <m:r>
                <m:t>x</m:t>
              </m:r>
              <m:r>
                <m:t>y</m:t>
              </m:r>
            </m:sub>
          </m:sSub>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sepChr m:val=""/>
              <m:endChr m:val=")"/>
              <m:grow/>
            </m:dPr>
            <m:e>
              <m:sSub>
                <m:e>
                  <m:r>
                    <m:t>μ</m:t>
                  </m:r>
                </m:e>
                <m:sub>
                  <m:r>
                    <m:t>x</m:t>
                  </m:r>
                  <m:r>
                    <m:t>y</m:t>
                  </m:r>
                </m:sub>
              </m:sSub>
              <m:r>
                <m:t> </m:t>
              </m:r>
              <m:sSub>
                <m:e>
                  <m:r>
                    <m:t>E</m:t>
                  </m:r>
                </m:e>
                <m:sub>
                  <m:r>
                    <m:t>x</m:t>
                  </m:r>
                  <m:r>
                    <m:t>y</m:t>
                  </m:r>
                </m:sub>
              </m:sSub>
            </m:e>
          </m:d>
          <m:r>
            <m:rPr>
              <m:sty m:val="p"/>
            </m:rPr>
            <m:t>,</m:t>
          </m:r>
        </m:oMath>
      </m:oMathPara>
    </w:p>
    <w:p>
      <w:pPr>
        <w:pStyle w:val="FirstParagraph"/>
      </w:pPr>
      <w:r>
        <w:t xml:space="preserve">with death rates</w:t>
      </w:r>
    </w:p>
    <w:p>
      <w:pPr>
        <w:pStyle w:val="BodyText"/>
      </w:pPr>
      <m:oMathPara>
        <m:oMathParaPr>
          <m:jc m:val="center"/>
        </m:oMathParaPr>
        <m:oMath>
          <m:sSub>
            <m:e>
              <m:r>
                <m:t>μ</m:t>
              </m:r>
            </m:e>
            <m:sub>
              <m:r>
                <m:t>x</m:t>
              </m:r>
              <m:r>
                <m:t>y</m:t>
              </m:r>
            </m:sub>
          </m:sSub>
          <m:r>
            <m:rPr>
              <m:sty m:val="p"/>
            </m:rPr>
            <m:t>=</m:t>
          </m:r>
          <m:r>
            <m:rPr>
              <m:sty m:val="p"/>
            </m:rPr>
            <m:t>exp</m:t>
          </m:r>
          <m:d>
            <m:dPr>
              <m:begChr m:val="("/>
              <m:sepChr m:val=""/>
              <m:endChr m:val=")"/>
              <m:grow/>
            </m:dPr>
            <m:e>
              <m:sSub>
                <m:e>
                  <m:r>
                    <m:t>α</m:t>
                  </m:r>
                </m:e>
                <m:sub>
                  <m:r>
                    <m:t>x</m:t>
                  </m:r>
                </m:sub>
              </m:sSub>
              <m:r>
                <m:rPr>
                  <m:sty m:val="p"/>
                </m:rPr>
                <m:t>+</m:t>
              </m:r>
              <m:sSub>
                <m:e>
                  <m:r>
                    <m:t>β</m:t>
                  </m:r>
                </m:e>
                <m:sub>
                  <m:r>
                    <m:t>x</m:t>
                  </m:r>
                </m:sub>
              </m:sSub>
              <m:sSub>
                <m:e>
                  <m:r>
                    <m:t>κ</m:t>
                  </m:r>
                </m:e>
                <m:sub>
                  <m:r>
                    <m:t>y</m:t>
                  </m:r>
                </m:sub>
              </m:sSub>
            </m:e>
          </m:d>
          <m:r>
            <m:rPr>
              <m:sty m:val="p"/>
            </m:rPr>
            <m:t>,</m:t>
          </m:r>
        </m:oMath>
      </m:oMathPara>
    </w:p>
    <w:p>
      <w:pPr>
        <w:pStyle w:val="FirstParagraph"/>
      </w:pPr>
      <w:r>
        <w:t xml:space="preserve">and identifiability constraints</w:t>
      </w:r>
      <w:r>
        <w:t xml:space="preserve"> </w:t>
      </w:r>
      <m:oMath>
        <m:nary>
          <m:naryPr>
            <m:chr m:val="∑"/>
            <m:limLoc m:val="undOvr"/>
            <m:subHide m:val="off"/>
            <m:supHide m:val="on"/>
          </m:naryPr>
          <m:sub>
            <m:r>
              <m:t>y</m:t>
            </m:r>
          </m:sub>
          <m:sup>
            <m:r>
              <m:t>​</m:t>
            </m:r>
          </m:sup>
          <m:e>
            <m:sSub>
              <m:e>
                <m:r>
                  <m:t>κ</m:t>
                </m:r>
              </m:e>
              <m:sub>
                <m:r>
                  <m:t>y</m:t>
                </m:r>
              </m:sub>
            </m:sSub>
          </m:e>
        </m:nary>
        <m:r>
          <m:rPr>
            <m:sty m:val="p"/>
          </m:rPr>
          <m:t>=</m:t>
        </m:r>
        <m:r>
          <m:t>0</m:t>
        </m:r>
      </m:oMath>
      <w:r>
        <w:t xml:space="preserve"> </w:t>
      </w:r>
      <w:r>
        <w:t xml:space="preserve">and</w:t>
      </w:r>
      <w:r>
        <w:t xml:space="preserve"> </w:t>
      </w:r>
      <m:oMath>
        <m:nary>
          <m:naryPr>
            <m:chr m:val="∑"/>
            <m:limLoc m:val="undOvr"/>
            <m:subHide m:val="off"/>
            <m:supHide m:val="on"/>
          </m:naryPr>
          <m:sub>
            <m:r>
              <m:t>x</m:t>
            </m:r>
          </m:sub>
          <m:sup>
            <m:r>
              <m:t>​</m:t>
            </m:r>
          </m:sup>
          <m:e>
            <m:sSub>
              <m:e>
                <m:r>
                  <m:t>β</m:t>
                </m:r>
              </m:e>
              <m:sub>
                <m:r>
                  <m:t>x</m:t>
                </m:r>
              </m:sub>
            </m:sSub>
          </m:e>
        </m:nary>
        <m:r>
          <m:rPr>
            <m:sty m:val="p"/>
          </m:rPr>
          <m:t>=</m:t>
        </m:r>
        <m:r>
          <m:t>1</m:t>
        </m:r>
      </m:oMath>
      <w:r>
        <w:t xml:space="preserve">.</w:t>
      </w:r>
    </w:p>
    <w:p>
      <w:pPr>
        <w:pStyle w:val="BodyText"/>
      </w:pPr>
      <w:r>
        <w:t xml:space="preserve">We forecast</w:t>
      </w:r>
      <w:r>
        <w:t xml:space="preserve"> </w:t>
      </w:r>
      <m:oMath>
        <m:sSub>
          <m:e>
            <m:r>
              <m:t>μ</m:t>
            </m:r>
          </m:e>
          <m:sub>
            <m:r>
              <m:t>x</m:t>
            </m:r>
            <m:r>
              <m:t>y</m:t>
            </m:r>
          </m:sub>
        </m:sSub>
      </m:oMath>
      <w:r>
        <w:t xml:space="preserve"> </w:t>
      </w:r>
      <w:r>
        <w:t xml:space="preserve">past the fitting period via the usual random walk with drift over</w:t>
      </w:r>
      <w:r>
        <w:t xml:space="preserve"> </w:t>
      </w:r>
      <m:oMath>
        <m:sSub>
          <m:e>
            <m:r>
              <m:t>κ</m:t>
            </m:r>
          </m:e>
          <m:sub>
            <m:r>
              <m:t>y</m:t>
            </m:r>
          </m:sub>
        </m:sSub>
      </m:oMath>
      <w:r>
        <w:t xml:space="preserve">,</w:t>
      </w:r>
    </w:p>
    <w:p>
      <w:pPr>
        <w:pStyle w:val="BodyText"/>
      </w:pPr>
      <m:oMathPara>
        <m:oMathParaPr>
          <m:jc m:val="center"/>
        </m:oMathParaPr>
        <m:oMath>
          <m:sSub>
            <m:e>
              <m:r>
                <m:t>κ</m:t>
              </m:r>
            </m:e>
            <m:sub>
              <m:r>
                <m:t>y</m:t>
              </m:r>
              <m:r>
                <m:rPr>
                  <m:sty m:val="p"/>
                </m:rPr>
                <m:t>+</m:t>
              </m:r>
              <m:r>
                <m:t>1</m:t>
              </m:r>
            </m:sub>
          </m:sSub>
          <m:r>
            <m:rPr>
              <m:sty m:val="p"/>
            </m:rPr>
            <m:t>=</m:t>
          </m:r>
          <m:sSub>
            <m:e>
              <m:r>
                <m:t>κ</m:t>
              </m:r>
            </m:e>
            <m:sub>
              <m:r>
                <m:t>y</m:t>
              </m:r>
            </m:sub>
          </m:sSub>
          <m:r>
            <m:rPr>
              <m:sty m:val="p"/>
            </m:rPr>
            <m:t>+</m:t>
          </m:r>
          <m:acc>
            <m:accPr>
              <m:chr m:val="̂"/>
            </m:accPr>
            <m:e>
              <m:r>
                <m:t>b</m:t>
              </m:r>
            </m:e>
          </m:acc>
          <m:r>
            <m:rPr>
              <m:sty m:val="p"/>
            </m:rPr>
            <m:t>+</m:t>
          </m:r>
          <m:r>
            <m:rPr>
              <m:sty m:val="p"/>
            </m:rPr>
            <m:t>N</m:t>
          </m:r>
          <m:r>
            <m:rPr>
              <m:sty m:val="p"/>
            </m:rPr>
            <m:t>o</m:t>
          </m:r>
          <m:r>
            <m:rPr>
              <m:sty m:val="p"/>
            </m:rPr>
            <m:t>r</m:t>
          </m:r>
          <m:r>
            <m:rPr>
              <m:sty m:val="p"/>
            </m:rPr>
            <m:t>m</m:t>
          </m:r>
          <m:r>
            <m:rPr>
              <m:sty m:val="p"/>
            </m:rPr>
            <m:t>a</m:t>
          </m:r>
          <m:r>
            <m:rPr>
              <m:sty m:val="p"/>
            </m:rPr>
            <m:t>l</m:t>
          </m:r>
          <m:d>
            <m:dPr>
              <m:begChr m:val="("/>
              <m:sepChr m:val=""/>
              <m:endChr m:val=")"/>
              <m:grow/>
            </m:dPr>
            <m:e>
              <m:r>
                <m:rPr>
                  <m:sty m:val="p"/>
                </m:rPr>
                <m:t>0</m:t>
              </m:r>
              <m:r>
                <m:rPr>
                  <m:sty m:val="p"/>
                </m:rPr>
                <m:t>,</m:t>
              </m:r>
              <m:acc>
                <m:accPr>
                  <m:chr m:val="̂"/>
                </m:accPr>
                <m:e>
                  <m:r>
                    <m:rPr>
                      <m:sty m:val="p"/>
                    </m:rPr>
                    <m:t>σ</m:t>
                  </m:r>
                </m:e>
              </m:acc>
            </m:e>
          </m:d>
          <m:r>
            <m:rPr>
              <m:sty m:val="p"/>
            </m:rPr>
            <m:t>.</m:t>
          </m:r>
        </m:oMath>
      </m:oMathPara>
    </w:p>
    <w:p>
      <w:pPr>
        <w:pStyle w:val="FirstParagraph"/>
      </w:pPr>
      <w:r>
        <w:t xml:space="preserve">We estimate the variance and mean difference of the estimated year-on-year</w:t>
      </w:r>
      <w:r>
        <w:t xml:space="preserve"> </w:t>
      </w:r>
      <m:oMath>
        <m:sSub>
          <m:e>
            <m:r>
              <m:t>κ</m:t>
            </m:r>
          </m:e>
          <m:sub>
            <m:r>
              <m:t>y</m:t>
            </m:r>
          </m:sub>
        </m:sSub>
      </m:oMath>
      <w:r>
        <w:t xml:space="preserve"> </w:t>
      </w:r>
      <w:r>
        <w:t xml:space="preserve">changes and simulate a corresponding random walk with drift over the years 2020-2024. The resulting forecasts of</w:t>
      </w:r>
      <w:r>
        <w:t xml:space="preserve"> </w:t>
      </w:r>
      <m:oMath>
        <m:r>
          <m:t>κ</m:t>
        </m:r>
      </m:oMath>
      <w:r>
        <w:t xml:space="preserve"> </w:t>
      </w:r>
      <w:r>
        <w:t xml:space="preserve">are then used to derive a corresponding surface of age-period mortality rates</w:t>
      </w:r>
      <w:r>
        <w:t xml:space="preserve"> </w:t>
      </w:r>
      <m:oMath>
        <m:sSubSup>
          <m:e>
            <m:r>
              <m:t>μ</m:t>
            </m:r>
          </m:e>
          <m:sub>
            <m:r>
              <m:t>x</m:t>
            </m:r>
            <m:r>
              <m:t>y</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r>
          <m:rPr>
            <m:sty m:val="p"/>
          </m:rPr>
          <m:t>exp</m:t>
        </m:r>
        <m:d>
          <m:dPr>
            <m:begChr m:val="("/>
            <m:sepChr m:val=""/>
            <m:endChr m:val=")"/>
            <m:grow/>
          </m:dPr>
          <m:e>
            <m:sSub>
              <m:e>
                <m:r>
                  <m:t>α</m:t>
                </m:r>
              </m:e>
              <m:sub>
                <m:r>
                  <m:t>x</m:t>
                </m:r>
              </m:sub>
            </m:sSub>
            <m:r>
              <m:rPr>
                <m:sty m:val="p"/>
              </m:rPr>
              <m:t>+</m:t>
            </m:r>
            <m:sSub>
              <m:e>
                <m:r>
                  <m:t>β</m:t>
                </m:r>
              </m:e>
              <m:sub>
                <m:r>
                  <m:t>x</m:t>
                </m:r>
              </m:sub>
            </m:sSub>
            <m:sSub>
              <m:e>
                <m:r>
                  <m:t>κ</m:t>
                </m:r>
              </m:e>
              <m:sub>
                <m:r>
                  <m:t>y</m:t>
                </m:r>
              </m:sub>
            </m:sSub>
          </m:e>
        </m:d>
      </m:oMath>
      <w:r>
        <w:t xml:space="preserve"> </w:t>
      </w:r>
      <w:r>
        <w:t xml:space="preserve">for forecast horizon</w:t>
      </w:r>
      <w:r>
        <w:t xml:space="preserve"> </w:t>
      </w:r>
      <m:oMath>
        <m:r>
          <m:t>y</m:t>
        </m:r>
        <m:r>
          <m:rPr>
            <m:sty m:val="p"/>
          </m:rPr>
          <m:t>∈</m:t>
        </m:r>
        <m:r>
          <m:rPr>
            <m:sty m:val="p"/>
          </m:rPr>
          <m:t>{</m:t>
        </m:r>
        <m:r>
          <m:t>2020</m:t>
        </m:r>
        <m:r>
          <m:rPr>
            <m:sty m:val="p"/>
          </m:rPr>
          <m:t>,</m:t>
        </m:r>
        <m:r>
          <m:t>2021</m:t>
        </m:r>
        <m:r>
          <m:rPr>
            <m:sty m:val="p"/>
          </m:rPr>
          <m:t>,</m:t>
        </m:r>
        <m:r>
          <m:rPr>
            <m:sty m:val="p"/>
          </m:rPr>
          <m:t>…</m:t>
        </m:r>
        <m:r>
          <m:rPr>
            <m:sty m:val="p"/>
          </m:rPr>
          <m:t>,</m:t>
        </m:r>
        <m:r>
          <m:t>2024</m:t>
        </m:r>
        <m:r>
          <m:rPr>
            <m:sty m:val="p"/>
          </m:rPr>
          <m:t>}</m:t>
        </m:r>
      </m:oMath>
      <w:r>
        <w:t xml:space="preserve">. We fit the model using the R library</w:t>
      </w:r>
      <w:r>
        <w:t xml:space="preserve"> </w:t>
      </w:r>
      <w:r>
        <w:rPr>
          <w:rStyle w:val="VerbatimChar"/>
        </w:rPr>
        <w:t xml:space="preserve">StMoMo</w:t>
      </w:r>
      <w:r>
        <w:t xml:space="preserve"> </w:t>
      </w:r>
      <w:r>
        <w:t xml:space="preserve">. Forecast uncertainty is propagated throughout the rest of the analysis via 250 samples of the forecasted</w:t>
      </w:r>
      <w:r>
        <w:t xml:space="preserve"> </w:t>
      </w:r>
      <m:oMath>
        <m:sSubSup>
          <m:e>
            <m:r>
              <m:t>μ</m:t>
            </m:r>
          </m:e>
          <m:sub>
            <m:r>
              <m:t>x</m:t>
            </m:r>
            <m:r>
              <m:t>y</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oMath>
      <w:r>
        <w:t xml:space="preserve">.</w:t>
      </w:r>
    </w:p>
    <w:bookmarkEnd w:id="45"/>
    <w:bookmarkStart w:id="52" w:name="life-table-inference"/>
    <w:p>
      <w:pPr>
        <w:pStyle w:val="Heading1"/>
      </w:pPr>
      <w:r>
        <w:t xml:space="preserve">Life table inference</w:t>
      </w:r>
      <w:r>
        <w:t xml:space="preserve"> </w:t>
      </w:r>
      <w:r>
        <w:rPr>
          <w:rStyle w:val="FootnoteReference"/>
        </w:rPr>
        <w:footnoteReference w:id="46"/>
      </w:r>
    </w:p>
    <w:p>
      <w:pPr>
        <w:pStyle w:val="BodyText"/>
      </w:pPr>
      <w:r>
        <w:t xml:space="preserve">We perform a parametric bootstrap of our life table estimates based on 250 Poisson replicates of actual and expected age specific death counts for any population under consideration (for brevity sex, country, and year indices are omitted in this section).</w:t>
      </w:r>
    </w:p>
    <w:p>
      <w:pPr>
        <w:pStyle w:val="BodyText"/>
      </w:pPr>
      <w:r>
        <w:t xml:space="preserve">$$d_{x}^\mathrm{actual} \sim \mathrm{Poisson}\left( \widehat{d}_{x}^\mathrm{corrected} \right) \\
    $$</w:t>
      </w:r>
    </w:p>
    <w:p>
      <w:pPr>
        <w:pStyle w:val="FirstParagraph"/>
      </w:pPr>
      <m:oMathPara>
        <m:oMathParaPr>
          <m:jc m:val="center"/>
        </m:oMathParaPr>
        <m:oMath>
          <m:sSubSup>
            <m:e>
              <m:r>
                <m:t>d</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sepChr m:val=""/>
              <m:endChr m:val=")"/>
              <m:grow/>
            </m:dPr>
            <m:e>
              <m:sSup>
                <m:e>
                  <m:r>
                    <m:t>μ</m:t>
                  </m:r>
                </m:e>
                <m:sup>
                  <m:r>
                    <m:rPr>
                      <m:sty m:val="p"/>
                    </m:rPr>
                    <m:t>e</m:t>
                  </m:r>
                  <m:r>
                    <m:rPr>
                      <m:sty m:val="p"/>
                    </m:rPr>
                    <m:t>x</m:t>
                  </m:r>
                  <m:r>
                    <m:rPr>
                      <m:sty m:val="p"/>
                    </m:rPr>
                    <m:t>p</m:t>
                  </m:r>
                  <m:r>
                    <m:rPr>
                      <m:sty m:val="p"/>
                    </m:rPr>
                    <m:t>e</m:t>
                  </m:r>
                  <m:r>
                    <m:rPr>
                      <m:sty m:val="p"/>
                    </m:rPr>
                    <m:t>c</m:t>
                  </m:r>
                  <m:r>
                    <m:rPr>
                      <m:sty m:val="p"/>
                    </m:rPr>
                    <m:t>t</m:t>
                  </m:r>
                  <m:r>
                    <m:rPr>
                      <m:sty m:val="p"/>
                    </m:rPr>
                    <m:t>e</m:t>
                  </m:r>
                  <m:r>
                    <m:rPr>
                      <m:sty m:val="p"/>
                    </m:rPr>
                    <m:t>d</m:t>
                  </m:r>
                </m:sup>
              </m:sSup>
              <m:r>
                <m:rPr>
                  <m:sty m:val="p"/>
                </m:rPr>
                <m:t>⋅</m:t>
              </m:r>
              <m:sSub>
                <m:e>
                  <m:r>
                    <m:t>E</m:t>
                  </m:r>
                </m:e>
                <m:sub>
                  <m:r>
                    <m:t>x</m:t>
                  </m:r>
                </m:sub>
              </m:sSub>
            </m:e>
          </m:d>
        </m:oMath>
      </m:oMathPara>
    </w:p>
    <w:p>
      <w:pPr>
        <w:pStyle w:val="FirstParagraph"/>
      </w:pPr>
      <w:r>
        <w:t xml:space="preserve">At this point we aggregate the simulated death counts along with the person years of exposure into larger populations of interest, e.g. male and female are summed to total population and annual data are summed to multi-year aggregates. All of the following analysis steps are also performed for the newly created aggregated populations.</w:t>
      </w:r>
    </w:p>
    <w:p>
      <w:pPr>
        <w:pStyle w:val="BodyText"/>
      </w:pPr>
      <w:r>
        <w:t xml:space="preserve">For any given population and for each sample draw we calculate the actual and expected central death rates by age as</w:t>
      </w:r>
    </w:p>
    <w:p>
      <w:pPr>
        <w:pStyle w:val="BodyText"/>
      </w:pPr>
      <m:oMathPara>
        <m:oMathParaPr>
          <m:jc m:val="center"/>
        </m:oMathParaPr>
        <m:oMath>
          <m:sSubSup>
            <m:e>
              <m:r>
                <m:t>m</m:t>
              </m:r>
            </m:e>
            <m:sub>
              <m:r>
                <m:t>x</m:t>
              </m:r>
            </m:sub>
            <m:sup>
              <m:r>
                <m:rPr>
                  <m:sty m:val="p"/>
                </m:rPr>
                <m:t>a</m:t>
              </m:r>
              <m:r>
                <m:rPr>
                  <m:sty m:val="p"/>
                </m:rPr>
                <m:t>c</m:t>
              </m:r>
              <m:r>
                <m:rPr>
                  <m:sty m:val="p"/>
                </m:rPr>
                <m:t>t</m:t>
              </m:r>
              <m:r>
                <m:rPr>
                  <m:sty m:val="p"/>
                </m:rPr>
                <m:t>u</m:t>
              </m:r>
              <m:r>
                <m:rPr>
                  <m:sty m:val="p"/>
                </m:rPr>
                <m:t>a</m:t>
              </m:r>
              <m:r>
                <m:rPr>
                  <m:sty m:val="p"/>
                </m:rPr>
                <m:t>l</m:t>
              </m:r>
            </m:sup>
          </m:sSubSup>
          <m:r>
            <m:rPr>
              <m:sty m:val="p"/>
            </m:rPr>
            <m:t>=</m:t>
          </m:r>
          <m:sSubSup>
            <m:e>
              <m:r>
                <m:t>d</m:t>
              </m:r>
            </m:e>
            <m:sub>
              <m:r>
                <m:t>x</m:t>
              </m:r>
            </m:sub>
            <m:sup>
              <m:r>
                <m:rPr>
                  <m:sty m:val="p"/>
                </m:rPr>
                <m:t>a</m:t>
              </m:r>
              <m:r>
                <m:rPr>
                  <m:sty m:val="p"/>
                </m:rPr>
                <m:t>c</m:t>
              </m:r>
              <m:r>
                <m:rPr>
                  <m:sty m:val="p"/>
                </m:rPr>
                <m:t>t</m:t>
              </m:r>
              <m:r>
                <m:rPr>
                  <m:sty m:val="p"/>
                </m:rPr>
                <m:t>u</m:t>
              </m:r>
              <m:r>
                <m:rPr>
                  <m:sty m:val="p"/>
                </m:rPr>
                <m:t>a</m:t>
              </m:r>
              <m:r>
                <m:rPr>
                  <m:sty m:val="p"/>
                </m:rPr>
                <m:t>l</m:t>
              </m:r>
            </m:sup>
          </m:sSubSup>
          <m:r>
            <m:rPr>
              <m:sty m:val="p"/>
            </m:rPr>
            <m:t>/</m:t>
          </m:r>
          <m:sSub>
            <m:e>
              <m:r>
                <m:t>E</m:t>
              </m:r>
            </m:e>
            <m:sub>
              <m:r>
                <m:t>x</m:t>
              </m:r>
            </m:sub>
          </m:sSub>
          <m:r>
            <m:rPr>
              <m:sty m:val="p"/>
            </m:rPr>
            <m:t>,</m:t>
          </m:r>
        </m:oMath>
      </m:oMathPara>
    </w:p>
    <w:p>
      <w:pPr>
        <w:pStyle w:val="FirstParagraph"/>
      </w:pPr>
      <w:r>
        <w:t xml:space="preserve">and</w:t>
      </w:r>
    </w:p>
    <w:p>
      <w:pPr>
        <w:pStyle w:val="BodyText"/>
      </w:pPr>
      <m:oMathPara>
        <m:oMathParaPr>
          <m:jc m:val="center"/>
        </m:oMathParaPr>
        <m:oMath>
          <m:sSubSup>
            <m:e>
              <m:r>
                <m:t>m</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sSubSup>
            <m:e>
              <m:r>
                <m:t>d</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sSub>
            <m:e>
              <m:r>
                <m:t>E</m:t>
              </m:r>
            </m:e>
            <m:sub>
              <m:r>
                <m:t>x</m:t>
              </m:r>
            </m:sub>
          </m:sSub>
          <m:r>
            <m:rPr>
              <m:sty m:val="p"/>
            </m:rPr>
            <m:t>.</m:t>
          </m:r>
        </m:oMath>
      </m:oMathPara>
    </w:p>
    <w:p>
      <w:pPr>
        <w:pStyle w:val="FirstParagraph"/>
      </w:pPr>
      <w:r>
        <w:t xml:space="preserve">These rates are then transformed into life tables yielding actual and expected life expectancies,</w:t>
      </w:r>
      <w:r>
        <w:t xml:space="preserve"> </w:t>
      </w:r>
      <m:oMath>
        <m:sSubSup>
          <m:e>
            <m:r>
              <m:t>e</m:t>
            </m:r>
          </m:e>
          <m:sub>
            <m:r>
              <m:t>x</m:t>
            </m:r>
          </m:sub>
          <m:sup>
            <m:r>
              <m:rPr>
                <m:sty m:val="p"/>
              </m:rPr>
              <m:t>a</m:t>
            </m:r>
            <m:r>
              <m:rPr>
                <m:sty m:val="p"/>
              </m:rPr>
              <m:t>c</m:t>
            </m:r>
            <m:r>
              <m:rPr>
                <m:sty m:val="p"/>
              </m:rPr>
              <m:t>t</m:t>
            </m:r>
            <m:r>
              <m:rPr>
                <m:sty m:val="p"/>
              </m:rPr>
              <m:t>u</m:t>
            </m:r>
            <m:r>
              <m:rPr>
                <m:sty m:val="p"/>
              </m:rPr>
              <m:t>a</m:t>
            </m:r>
            <m:r>
              <m:rPr>
                <m:sty m:val="p"/>
              </m:rPr>
              <m:t>l</m:t>
            </m:r>
          </m:sup>
        </m:sSubSup>
      </m:oMath>
      <w:r>
        <w:t xml:space="preserve"> </w:t>
      </w:r>
      <w:r>
        <w:t xml:space="preserve">and</w:t>
      </w:r>
      <w:r>
        <w:t xml:space="preserve"> </w:t>
      </w:r>
      <m:oMath>
        <m:sSubSup>
          <m:e>
            <m:r>
              <m:t>e</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oMath>
      <w:r>
        <w:t xml:space="preserve">, for each population, year, and simulation draw. We write</w:t>
      </w:r>
      <w:r>
        <w:t xml:space="preserve"> </w:t>
      </w:r>
      <m:oMath>
        <m:sSub>
          <m:e>
            <m:r>
              <m:t>n</m:t>
            </m:r>
          </m:e>
          <m:sub>
            <m:r>
              <m:t>x</m:t>
            </m:r>
          </m:sub>
        </m:sSub>
        <m:r>
          <m:rPr>
            <m:sty m:val="p"/>
          </m:rPr>
          <m:t>=</m:t>
        </m:r>
        <m:r>
          <m:t>1</m:t>
        </m:r>
      </m:oMath>
      <w:r>
        <w:t xml:space="preserve"> </w:t>
      </w:r>
      <w:r>
        <w:t xml:space="preserve">for</w:t>
      </w:r>
      <w:r>
        <w:t xml:space="preserve"> </w:t>
      </w:r>
      <m:oMath>
        <m:r>
          <m:t>x</m:t>
        </m:r>
        <m:r>
          <m:rPr>
            <m:sty m:val="p"/>
          </m:rPr>
          <m:t>≠</m:t>
        </m:r>
        <m:r>
          <m:t>ω</m:t>
        </m:r>
      </m:oMath>
      <w:r>
        <w:t xml:space="preserve"> </w:t>
      </w:r>
      <w:r>
        <w:t xml:space="preserve">and</w:t>
      </w:r>
      <w:r>
        <w:t xml:space="preserve"> </w:t>
      </w:r>
      <m:oMath>
        <m:sSub>
          <m:e>
            <m:r>
              <m:t>n</m:t>
            </m:r>
          </m:e>
          <m:sub>
            <m:r>
              <m:t>ω</m:t>
            </m:r>
          </m:sub>
        </m:sSub>
        <m:r>
          <m:rPr>
            <m:sty m:val="p"/>
          </m:rPr>
          <m:t>=</m:t>
        </m:r>
        <m:r>
          <m:rPr>
            <m:sty m:val="p"/>
          </m:rPr>
          <m:t>∞</m:t>
        </m:r>
      </m:oMath>
      <w:r>
        <w:t xml:space="preserve"> </w:t>
      </w:r>
      <w:r>
        <w:t xml:space="preserve">for the width of the age group starting at</w:t>
      </w:r>
      <w:r>
        <w:t xml:space="preserve"> </w:t>
      </w:r>
      <m:oMath>
        <m:r>
          <m:t>x</m:t>
        </m:r>
      </m:oMath>
      <w:r>
        <w:t xml:space="preserve"> </w:t>
      </w:r>
      <w:r>
        <w:t xml:space="preserve">with</w:t>
      </w:r>
      <w:r>
        <w:t xml:space="preserve"> </w:t>
      </w:r>
      <m:oMath>
        <m:r>
          <m:t>ω</m:t>
        </m:r>
        <m:r>
          <m:rPr>
            <m:sty m:val="p"/>
          </m:rPr>
          <m:t>=</m:t>
        </m:r>
        <m:r>
          <m:t>100</m:t>
        </m:r>
      </m:oMath>
      <w:r>
        <w:t xml:space="preserve"> </w:t>
      </w:r>
      <w:r>
        <w:t xml:space="preserve">being the open age group closing the life table. Under the piecewise constant assumption we calculate the life tables as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Pr</m:t>
                </m:r>
                <m:d>
                  <m:dPr>
                    <m:begChr m:val="("/>
                    <m:sepChr m:val=""/>
                    <m:endChr m:val=")"/>
                    <m:grow/>
                  </m:dPr>
                  <m:e>
                    <m:r>
                      <m:t>X</m:t>
                    </m:r>
                    <m:r>
                      <m:rPr>
                        <m:sty m:val="p"/>
                      </m:rPr>
                      <m:t>≥</m:t>
                    </m:r>
                    <m:r>
                      <m:t>x</m:t>
                    </m:r>
                    <m:r>
                      <m:rPr>
                        <m:sty m:val="p"/>
                      </m:rPr>
                      <m:t>+</m:t>
                    </m:r>
                    <m:r>
                      <m:t>n</m:t>
                    </m:r>
                    <m:r>
                      <m:rPr>
                        <m:sty m:val="p"/>
                      </m:rPr>
                      <m:t>|</m:t>
                    </m:r>
                    <m:r>
                      <m:t>X</m:t>
                    </m:r>
                    <m:r>
                      <m:rPr>
                        <m:sty m:val="p"/>
                      </m:rPr>
                      <m:t>&gt;</m:t>
                    </m:r>
                    <m:r>
                      <m:t>x</m:t>
                    </m:r>
                  </m:e>
                </m:d>
                <m:r>
                  <m:rPr>
                    <m:sty m:val="p"/>
                  </m:rPr>
                  <m:t>=</m:t>
                </m:r>
                <m:sSub>
                  <m:e>
                    <m:r>
                      <m:t>​</m:t>
                    </m:r>
                  </m:e>
                  <m:sub>
                    <m:r>
                      <m:t>n</m:t>
                    </m:r>
                  </m:sub>
                </m:sSub>
                <m:sSub>
                  <m:e>
                    <m:r>
                      <m:t>p</m:t>
                    </m:r>
                  </m:e>
                  <m:sub>
                    <m:r>
                      <m:t>x</m:t>
                    </m:r>
                  </m:sub>
                </m:sSub>
              </m:e>
              <m:e>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sty m:val="p"/>
                            </m:rPr>
                            <m:t>i</m:t>
                          </m:r>
                          <m:r>
                            <m:rPr>
                              <m:sty m:val="p"/>
                            </m:rPr>
                            <m:t>f</m:t>
                          </m:r>
                          <m:r>
                            <m:t> </m:t>
                          </m:r>
                          <m:r>
                            <m:t>x</m:t>
                          </m:r>
                          <m:r>
                            <m:rPr>
                              <m:sty m:val="p"/>
                            </m:rPr>
                            <m:t>=</m:t>
                          </m:r>
                          <m:r>
                            <m:t>ω</m:t>
                          </m:r>
                        </m:e>
                      </m:mr>
                      <m:mr>
                        <m:e>
                          <m:r>
                            <m:rPr>
                              <m:sty m:val="p"/>
                            </m:rPr>
                            <m:t>exp</m:t>
                          </m:r>
                          <m:d>
                            <m:dPr>
                              <m:begChr m:val="("/>
                              <m:sepChr m:val=""/>
                              <m:endChr m:val=")"/>
                              <m:grow/>
                            </m:dPr>
                            <m:e>
                              <m:r>
                                <m:rPr>
                                  <m:sty m:val="p"/>
                                </m:rPr>
                                <m:t>−</m:t>
                              </m:r>
                              <m:sSub>
                                <m:e>
                                  <m:r>
                                    <m:t>​</m:t>
                                  </m:r>
                                </m:e>
                                <m:sub>
                                  <m:r>
                                    <m:t>n</m:t>
                                  </m:r>
                                </m:sub>
                              </m:sSub>
                              <m:sSub>
                                <m:e>
                                  <m:r>
                                    <m:t>m</m:t>
                                  </m:r>
                                </m:e>
                                <m:sub>
                                  <m:r>
                                    <m:t>x</m:t>
                                  </m:r>
                                </m:sub>
                              </m:sSub>
                              <m:sSub>
                                <m:e>
                                  <m:r>
                                    <m:t>n</m:t>
                                  </m:r>
                                </m:e>
                                <m:sub>
                                  <m:r>
                                    <m:t>x</m:t>
                                  </m:r>
                                </m:sub>
                              </m:sSub>
                            </m:e>
                          </m:d>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e>
            </m:mr>
            <m:mr>
              <m:e>
                <m:r>
                  <m:rPr>
                    <m:sty m:val="p"/>
                  </m:rPr>
                  <m:t>Pr</m:t>
                </m:r>
                <m:d>
                  <m:dPr>
                    <m:begChr m:val="("/>
                    <m:sepChr m:val=""/>
                    <m:endChr m:val=")"/>
                    <m:grow/>
                  </m:dPr>
                  <m:e>
                    <m:r>
                      <m:t>X</m:t>
                    </m:r>
                    <m:r>
                      <m:rPr>
                        <m:sty m:val="p"/>
                      </m:rPr>
                      <m:t>&gt;</m:t>
                    </m:r>
                    <m:r>
                      <m:t>x</m:t>
                    </m:r>
                  </m:e>
                </m:d>
                <m:r>
                  <m:rPr>
                    <m:sty m:val="p"/>
                  </m:rPr>
                  <m:t>=</m:t>
                </m:r>
                <m:sSub>
                  <m:e>
                    <m:r>
                      <m:rPr>
                        <m:sty m:val="p"/>
                      </m:rPr>
                      <m:t>ℓ</m:t>
                    </m:r>
                  </m:e>
                  <m:sub>
                    <m:r>
                      <m:t>x</m:t>
                    </m:r>
                  </m:sub>
                </m:sSub>
              </m:e>
              <m:e>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sty m:val="p"/>
                            </m:rPr>
                            <m:t>i</m:t>
                          </m:r>
                          <m:r>
                            <m:rPr>
                              <m:sty m:val="p"/>
                            </m:rPr>
                            <m:t>f</m:t>
                          </m:r>
                          <m:r>
                            <m:t> </m:t>
                          </m:r>
                          <m:r>
                            <m:t>x</m:t>
                          </m:r>
                          <m:r>
                            <m:rPr>
                              <m:sty m:val="p"/>
                            </m:rPr>
                            <m:t>=</m:t>
                          </m:r>
                          <m:r>
                            <m:t>0</m:t>
                          </m:r>
                        </m:e>
                      </m:mr>
                      <m:mr>
                        <m:e>
                          <m:nary>
                            <m:naryPr>
                              <m:chr m:val="∏"/>
                              <m:limLoc m:val="undOvr"/>
                              <m:subHide m:val="off"/>
                              <m:supHide m:val="off"/>
                            </m:naryPr>
                            <m:sub>
                              <m:r>
                                <m:t>i</m:t>
                              </m:r>
                              <m:r>
                                <m:rPr>
                                  <m:sty m:val="p"/>
                                </m:rPr>
                                <m:t>=</m:t>
                              </m:r>
                              <m:r>
                                <m:t>0</m:t>
                              </m:r>
                            </m:sub>
                            <m:sup>
                              <m:r>
                                <m:t>x</m:t>
                              </m:r>
                              <m:r>
                                <m:rPr>
                                  <m:sty m:val="p"/>
                                </m:rPr>
                                <m:t>−</m:t>
                              </m:r>
                              <m:r>
                                <m:t>1</m:t>
                              </m:r>
                            </m:sup>
                            <m:e>
                              <m:sSub>
                                <m:e>
                                  <m:r>
                                    <m:t>​</m:t>
                                  </m:r>
                                </m:e>
                                <m:sub>
                                  <m:r>
                                    <m:t>n</m:t>
                                  </m:r>
                                </m:sub>
                              </m:sSub>
                            </m:e>
                          </m:nary>
                          <m:sSub>
                            <m:e>
                              <m:r>
                                <m:t>p</m:t>
                              </m:r>
                            </m:e>
                            <m:sub>
                              <m:r>
                                <m:t>x</m:t>
                              </m:r>
                              <m:r>
                                <m:rPr>
                                  <m:sty m:val="p"/>
                                </m:rPr>
                                <m:t>=</m:t>
                              </m:r>
                              <m:r>
                                <m:t>i</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e>
            </m:mr>
            <m:mr>
              <m:e>
                <m:r>
                  <m:rPr>
                    <m:sty m:val="p"/>
                  </m:rPr>
                  <m:t>Pr</m:t>
                </m:r>
                <m:d>
                  <m:dPr>
                    <m:begChr m:val="("/>
                    <m:sepChr m:val=""/>
                    <m:endChr m:val=")"/>
                    <m:grow/>
                  </m:dPr>
                  <m:e>
                    <m:r>
                      <m:t>x</m:t>
                    </m:r>
                    <m:r>
                      <m:rPr>
                        <m:sty m:val="p"/>
                      </m:rPr>
                      <m:t>≤</m:t>
                    </m:r>
                    <m:r>
                      <m:t>X</m:t>
                    </m:r>
                    <m:r>
                      <m:rPr>
                        <m:sty m:val="p"/>
                      </m:rPr>
                      <m:t>&lt;</m:t>
                    </m:r>
                    <m:r>
                      <m:t>x</m:t>
                    </m:r>
                    <m:r>
                      <m:rPr>
                        <m:sty m:val="p"/>
                      </m:rPr>
                      <m:t>+</m:t>
                    </m:r>
                    <m:r>
                      <m:t>n</m:t>
                    </m:r>
                  </m:e>
                </m:d>
                <m:r>
                  <m:rPr>
                    <m:sty m:val="p"/>
                  </m:rPr>
                  <m:t>=</m:t>
                </m:r>
                <m:sSub>
                  <m:e>
                    <m:r>
                      <m:t>​</m:t>
                    </m:r>
                  </m:e>
                  <m:sub>
                    <m:r>
                      <m:t>n</m:t>
                    </m:r>
                  </m:sub>
                </m:sSub>
                <m:sSub>
                  <m:e>
                    <m:r>
                      <m:t>d</m:t>
                    </m:r>
                  </m:e>
                  <m:sub>
                    <m:r>
                      <m:t>x</m:t>
                    </m:r>
                  </m:sub>
                </m:sSub>
              </m:e>
              <m:e>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p"/>
                                </m:rPr>
                                <m:t>ℓ</m:t>
                              </m:r>
                            </m:e>
                            <m:sub>
                              <m:r>
                                <m:t>ω</m:t>
                              </m:r>
                            </m:sub>
                          </m:sSub>
                        </m:e>
                        <m:e>
                          <m:r>
                            <m:rPr>
                              <m:sty m:val="p"/>
                            </m:rPr>
                            <m:t>i</m:t>
                          </m:r>
                          <m:r>
                            <m:rPr>
                              <m:sty m:val="p"/>
                            </m:rPr>
                            <m:t>f</m:t>
                          </m:r>
                          <m:r>
                            <m:t> </m:t>
                          </m:r>
                          <m:r>
                            <m:t>x</m:t>
                          </m:r>
                          <m:r>
                            <m:rPr>
                              <m:sty m:val="p"/>
                            </m:rPr>
                            <m:t>=</m:t>
                          </m:r>
                          <m:r>
                            <m:t>ω</m:t>
                          </m:r>
                        </m:e>
                      </m:mr>
                      <m:mr>
                        <m:e>
                          <m:sSub>
                            <m:e>
                              <m:r>
                                <m:rPr>
                                  <m:sty m:val="p"/>
                                </m:rPr>
                                <m:t>ℓ</m:t>
                              </m:r>
                            </m:e>
                            <m:sub>
                              <m:r>
                                <m:t>x</m:t>
                              </m:r>
                              <m:r>
                                <m:rPr>
                                  <m:sty m:val="p"/>
                                </m:rPr>
                                <m:t>+</m:t>
                              </m:r>
                              <m:r>
                                <m:t>n</m:t>
                              </m:r>
                            </m:sub>
                          </m:sSub>
                          <m:r>
                            <m:rPr>
                              <m:sty m:val="p"/>
                            </m:rPr>
                            <m:t>−</m:t>
                          </m:r>
                          <m:sSub>
                            <m:e>
                              <m:r>
                                <m:rPr>
                                  <m:sty m:val="p"/>
                                </m:rPr>
                                <m:t>ℓ</m:t>
                              </m:r>
                            </m:e>
                            <m:sub>
                              <m:r>
                                <m:t>x</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e>
            </m:mr>
            <m:mr>
              <m:e>
                <m:nary>
                  <m:naryPr>
                    <m:chr m:val="∫"/>
                    <m:limLoc m:val="subSup"/>
                    <m:subHide m:val="off"/>
                    <m:supHide m:val="off"/>
                  </m:naryPr>
                  <m:sub>
                    <m:r>
                      <m:t>x</m:t>
                    </m:r>
                  </m:sub>
                  <m:sup>
                    <m:r>
                      <m:t>x</m:t>
                    </m:r>
                    <m:r>
                      <m:rPr>
                        <m:sty m:val="p"/>
                      </m:rPr>
                      <m:t>+</m:t>
                    </m:r>
                    <m:r>
                      <m:t>n</m:t>
                    </m:r>
                  </m:sup>
                  <m:e>
                    <m:sSub>
                      <m:e>
                        <m:r>
                          <m:rPr>
                            <m:sty m:val="p"/>
                          </m:rPr>
                          <m:t>ℓ</m:t>
                        </m:r>
                      </m:e>
                      <m:sub>
                        <m:r>
                          <m:t>a</m:t>
                        </m:r>
                      </m:sub>
                    </m:sSub>
                  </m:e>
                </m:nary>
                <m:r>
                  <m:t> </m:t>
                </m:r>
                <m:r>
                  <m:rPr>
                    <m:sty m:val="p"/>
                  </m:rPr>
                  <m:t>d</m:t>
                </m:r>
                <m:r>
                  <m:t>a</m:t>
                </m:r>
                <m:r>
                  <m:rPr>
                    <m:sty m:val="p"/>
                  </m:rPr>
                  <m:t>=</m:t>
                </m:r>
                <m:sSub>
                  <m:e>
                    <m:r>
                      <m:t>​</m:t>
                    </m:r>
                  </m:e>
                  <m:sub>
                    <m:r>
                      <m:t>n</m:t>
                    </m:r>
                  </m:sub>
                </m:sSub>
                <m:sSub>
                  <m:e>
                    <m:r>
                      <m:t>L</m:t>
                    </m:r>
                  </m:e>
                  <m:sub>
                    <m:r>
                      <m:t>x</m:t>
                    </m:r>
                  </m:sub>
                </m:sSub>
              </m:e>
              <m:e>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m:t>
                              </m:r>
                            </m:e>
                            <m:sub>
                              <m:r>
                                <m:t>n</m:t>
                              </m:r>
                            </m:sub>
                          </m:sSub>
                          <m:sSub>
                            <m:e>
                              <m:r>
                                <m:t>m</m:t>
                              </m:r>
                            </m:e>
                            <m:sub>
                              <m:r>
                                <m:t>x</m:t>
                              </m:r>
                            </m:sub>
                          </m:sSub>
                        </m:e>
                        <m:e>
                          <m:r>
                            <m:rPr>
                              <m:sty m:val="p"/>
                            </m:rPr>
                            <m:t>i</m:t>
                          </m:r>
                          <m:r>
                            <m:rPr>
                              <m:sty m:val="p"/>
                            </m:rPr>
                            <m:t>f</m:t>
                          </m:r>
                          <m:r>
                            <m:t> </m:t>
                          </m:r>
                          <m:r>
                            <m:t>x</m:t>
                          </m:r>
                          <m:r>
                            <m:rPr>
                              <m:sty m:val="p"/>
                            </m:rPr>
                            <m:t>=</m:t>
                          </m:r>
                          <m:r>
                            <m:t>ω</m:t>
                          </m:r>
                        </m:e>
                      </m:mr>
                      <m:mr>
                        <m:e>
                          <m:sSub>
                            <m:e>
                              <m:r>
                                <m:t>​</m:t>
                              </m:r>
                            </m:e>
                            <m:sub>
                              <m:r>
                                <m:t>n</m:t>
                              </m:r>
                            </m:sub>
                          </m:sSub>
                          <m:sSub>
                            <m:e>
                              <m:r>
                                <m:t>d</m:t>
                              </m:r>
                            </m:e>
                            <m:sub>
                              <m:r>
                                <m:t>x</m:t>
                              </m:r>
                            </m:sub>
                          </m:sSub>
                          <m:r>
                            <m:rPr>
                              <m:sty m:val="p"/>
                            </m:rPr>
                            <m:t>/</m:t>
                          </m:r>
                          <m:sSub>
                            <m:e>
                              <m:r>
                                <m:t>​</m:t>
                              </m:r>
                            </m:e>
                            <m:sub>
                              <m:r>
                                <m:t>n</m:t>
                              </m:r>
                            </m:sub>
                          </m:sSub>
                          <m:sSub>
                            <m:e>
                              <m:r>
                                <m:t>m</m:t>
                              </m:r>
                            </m:e>
                            <m:sub>
                              <m:r>
                                <m:t>x</m:t>
                              </m:r>
                            </m:sub>
                          </m:sSub>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mr>
                    </m:m>
                  </m:e>
                </m:d>
              </m:e>
            </m:mr>
            <m:mr>
              <m:e>
                <m:nary>
                  <m:naryPr>
                    <m:chr m:val="∫"/>
                    <m:limLoc m:val="subSup"/>
                    <m:subHide m:val="off"/>
                    <m:supHide m:val="off"/>
                  </m:naryPr>
                  <m:sub>
                    <m:r>
                      <m:t>x</m:t>
                    </m:r>
                  </m:sub>
                  <m:sup>
                    <m:r>
                      <m:rPr>
                        <m:sty m:val="p"/>
                      </m:rPr>
                      <m:t>∞</m:t>
                    </m:r>
                  </m:sup>
                  <m:e>
                    <m:sSub>
                      <m:e>
                        <m:r>
                          <m:rPr>
                            <m:sty m:val="p"/>
                          </m:rPr>
                          <m:t>ℓ</m:t>
                        </m:r>
                      </m:e>
                      <m:sub>
                        <m:r>
                          <m:t>a</m:t>
                        </m:r>
                      </m:sub>
                    </m:sSub>
                  </m:e>
                </m:nary>
                <m:r>
                  <m:t> </m:t>
                </m:r>
                <m:r>
                  <m:rPr>
                    <m:sty m:val="p"/>
                  </m:rPr>
                  <m:t>d</m:t>
                </m:r>
                <m:r>
                  <m:t>a</m:t>
                </m:r>
                <m:r>
                  <m:rPr>
                    <m:sty m:val="p"/>
                  </m:rPr>
                  <m:t>=</m:t>
                </m:r>
                <m:sSub>
                  <m:e>
                    <m:r>
                      <m:t>T</m:t>
                    </m:r>
                  </m:e>
                  <m:sub>
                    <m:r>
                      <m:t>x</m:t>
                    </m:r>
                  </m:sub>
                </m:sSub>
              </m:e>
              <m:e>
                <m:r>
                  <m:rPr>
                    <m:sty m:val="p"/>
                  </m:rPr>
                  <m:t>=</m:t>
                </m:r>
                <m:nary>
                  <m:naryPr>
                    <m:chr m:val="∑"/>
                    <m:limLoc m:val="undOvr"/>
                    <m:subHide m:val="off"/>
                    <m:supHide m:val="off"/>
                  </m:naryPr>
                  <m:sub>
                    <m:r>
                      <m:t>i</m:t>
                    </m:r>
                    <m:r>
                      <m:rPr>
                        <m:sty m:val="p"/>
                      </m:rPr>
                      <m:t>=</m:t>
                    </m:r>
                    <m:r>
                      <m:t>x</m:t>
                    </m:r>
                  </m:sub>
                  <m:sup>
                    <m:r>
                      <m:t>ω</m:t>
                    </m:r>
                  </m:sup>
                  <m:e>
                    <m:sSub>
                      <m:e>
                        <m:r>
                          <m:t>​</m:t>
                        </m:r>
                      </m:e>
                      <m:sub>
                        <m:r>
                          <m:t>n</m:t>
                        </m:r>
                      </m:sub>
                    </m:sSub>
                  </m:e>
                </m:nary>
                <m:sSub>
                  <m:e>
                    <m:r>
                      <m:t>L</m:t>
                    </m:r>
                  </m:e>
                  <m:sub>
                    <m:r>
                      <m:t>x</m:t>
                    </m:r>
                    <m:r>
                      <m:rPr>
                        <m:sty m:val="p"/>
                      </m:rPr>
                      <m:t>=</m:t>
                    </m:r>
                    <m:r>
                      <m:t>i</m:t>
                    </m:r>
                  </m:sub>
                </m:sSub>
              </m:e>
            </m:mr>
            <m:mr>
              <m:e>
                <m:r>
                  <m:rPr>
                    <m:sty m:val="p"/>
                    <m:scr m:val="double-struck"/>
                  </m:rPr>
                  <m:t>E</m:t>
                </m:r>
                <m:d>
                  <m:dPr>
                    <m:begChr m:val="("/>
                    <m:sepChr m:val=""/>
                    <m:endChr m:val=")"/>
                    <m:grow/>
                  </m:dPr>
                  <m:e>
                    <m:r>
                      <m:t>X</m:t>
                    </m:r>
                    <m:r>
                      <m:rPr>
                        <m:sty m:val="p"/>
                      </m:rPr>
                      <m:t>|</m:t>
                    </m:r>
                    <m:r>
                      <m:t>X</m:t>
                    </m:r>
                    <m:r>
                      <m:rPr>
                        <m:sty m:val="p"/>
                      </m:rPr>
                      <m:t>&gt;</m:t>
                    </m:r>
                    <m:r>
                      <m:t>x</m:t>
                    </m:r>
                  </m:e>
                </m:d>
                <m:r>
                  <m:rPr>
                    <m:sty m:val="p"/>
                  </m:rPr>
                  <m:t>=</m:t>
                </m:r>
                <m:sSub>
                  <m:e>
                    <m:r>
                      <m:t>e</m:t>
                    </m:r>
                  </m:e>
                  <m:sub>
                    <m:r>
                      <m:t>x</m:t>
                    </m:r>
                  </m:sub>
                </m:sSub>
              </m:e>
              <m:e>
                <m:r>
                  <m:rPr>
                    <m:sty m:val="p"/>
                  </m:rPr>
                  <m:t>=</m:t>
                </m:r>
                <m:sSub>
                  <m:e>
                    <m:r>
                      <m:t>T</m:t>
                    </m:r>
                  </m:e>
                  <m:sub>
                    <m:r>
                      <m:t>x</m:t>
                    </m:r>
                  </m:sub>
                </m:sSub>
                <m:r>
                  <m:rPr>
                    <m:sty m:val="p"/>
                  </m:rPr>
                  <m:t>/</m:t>
                </m:r>
                <m:sSub>
                  <m:e>
                    <m:r>
                      <m:rPr>
                        <m:sty m:val="p"/>
                      </m:rPr>
                      <m:t>ℓ</m:t>
                    </m:r>
                  </m:e>
                  <m:sub>
                    <m:r>
                      <m:t>x</m:t>
                    </m:r>
                  </m:sub>
                </m:sSub>
                <m:r>
                  <m:rPr>
                    <m:sty m:val="p"/>
                  </m:rPr>
                  <m:t>.</m:t>
                </m:r>
              </m:e>
            </m:mr>
          </m:m>
        </m:oMath>
      </m:oMathPara>
    </w:p>
    <w:p>
      <w:pPr>
        <w:pStyle w:val="FirstParagraph"/>
      </w:pPr>
      <w:r>
        <w:t xml:space="preserve">Now the</w:t>
      </w:r>
      <w:r>
        <w:t xml:space="preserve"> </w:t>
      </w:r>
      <w:r>
        <w:rPr>
          <w:i/>
          <w:iCs/>
        </w:rPr>
        <w:t xml:space="preserve">life expectancy deficit</w:t>
      </w:r>
      <w:r>
        <w:t xml:space="preserve"> </w:t>
      </w:r>
      <w:r>
        <w:t xml:space="preserve">can be calculated as the difference between actual and counterfactual life expectancy, the baseline life expectancy under the continuation of pre-pandemic trends,</w:t>
      </w:r>
    </w:p>
    <w:p>
      <w:pPr>
        <w:pStyle w:val="BodyText"/>
      </w:pPr>
      <m:oMathPara>
        <m:oMathParaPr>
          <m:jc m:val="center"/>
        </m:oMathParaPr>
        <m:oMath>
          <m:sSubSup>
            <m:e>
              <m:r>
                <m:t>e</m:t>
              </m:r>
            </m:e>
            <m:sub>
              <m:r>
                <m:t>0</m:t>
              </m:r>
            </m:sub>
            <m:sup>
              <m:r>
                <m:rPr>
                  <m:sty m:val="p"/>
                </m:rPr>
                <m:t>d</m:t>
              </m:r>
              <m:r>
                <m:rPr>
                  <m:sty m:val="p"/>
                </m:rPr>
                <m:t>e</m:t>
              </m:r>
              <m:r>
                <m:rPr>
                  <m:sty m:val="p"/>
                </m:rPr>
                <m:t>f</m:t>
              </m:r>
              <m:r>
                <m:rPr>
                  <m:sty m:val="p"/>
                </m:rPr>
                <m:t>i</m:t>
              </m:r>
              <m:r>
                <m:rPr>
                  <m:sty m:val="p"/>
                </m:rPr>
                <m:t>c</m:t>
              </m:r>
              <m:r>
                <m:rPr>
                  <m:sty m:val="p"/>
                </m:rPr>
                <m:t>i</m:t>
              </m:r>
              <m:r>
                <m:rPr>
                  <m:sty m:val="p"/>
                </m:rPr>
                <m:t>t</m:t>
              </m:r>
            </m:sup>
          </m:sSubSup>
          <m:r>
            <m:rPr>
              <m:sty m:val="p"/>
            </m:rPr>
            <m:t>=</m:t>
          </m:r>
          <m:sSubSup>
            <m:e>
              <m:r>
                <m:t>e</m:t>
              </m:r>
            </m:e>
            <m:sub>
              <m:r>
                <m:t>0</m:t>
              </m:r>
            </m:sub>
            <m:sup>
              <m:r>
                <m:rPr>
                  <m:sty m:val="p"/>
                </m:rPr>
                <m:t>a</m:t>
              </m:r>
              <m:r>
                <m:rPr>
                  <m:sty m:val="p"/>
                </m:rPr>
                <m:t>c</m:t>
              </m:r>
              <m:r>
                <m:rPr>
                  <m:sty m:val="p"/>
                </m:rPr>
                <m:t>t</m:t>
              </m:r>
              <m:r>
                <m:rPr>
                  <m:sty m:val="p"/>
                </m:rPr>
                <m:t>u</m:t>
              </m:r>
              <m:r>
                <m:rPr>
                  <m:sty m:val="p"/>
                </m:rPr>
                <m:t>a</m:t>
              </m:r>
              <m:r>
                <m:rPr>
                  <m:sty m:val="p"/>
                </m:rPr>
                <m:t>l</m:t>
              </m:r>
            </m:sup>
          </m:sSubSup>
          <m:r>
            <m:rPr>
              <m:sty m:val="p"/>
            </m:rPr>
            <m:t>−</m:t>
          </m:r>
          <m:sSubSup>
            <m:e>
              <m:r>
                <m:t>e</m:t>
              </m:r>
            </m:e>
            <m:sub>
              <m:r>
                <m:t>0</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oMath>
      </m:oMathPara>
    </w:p>
    <w:p>
      <w:pPr>
        <w:pStyle w:val="FirstParagraph"/>
      </w:pPr>
      <w:r>
        <w:t xml:space="preserve">Note that we define the deficit such that it is negative if actual life expectancy falls short of the expectation, i.e. if there are excess deaths, and positive if there is a life expectancy surplus, i.e. if the expectation is outperformed.</w:t>
      </w:r>
    </w:p>
    <w:p>
      <w:pPr>
        <w:pStyle w:val="BodyText"/>
      </w:pPr>
      <w:r>
        <w:t xml:space="preserve">Life expectancy deficits do not necessarily indicate a structural deviation from expected mortality trends as both the expected and the observed life tables are subject to uncertainty. Uncertainty in the expectation is mainly due to forecasting error – we do not know exactly how age specific mortality rates would have developed in the absence of the pandemic. This uncertainty is captured by the random walk of the forecasting model described earlier. Additionally, aleatoric uncertainty in the death counts induces uncertainty in the estimated central death rates which is reflected via our Poisson re-sampling scheme.</w:t>
      </w:r>
    </w:p>
    <w:p>
      <w:pPr>
        <w:pStyle w:val="BodyText"/>
      </w:pPr>
      <w:r>
        <w:t xml:space="preserve">Due to the stated sources of randomness one may observe life expectancy deficits even under the continuation of pre-pandemic trends. Thus we perform inference about the estimated</w:t>
      </w:r>
      <w:r>
        <w:t xml:space="preserve"> </w:t>
      </w:r>
      <m:oMath>
        <m:sSubSup>
          <m:e>
            <m:r>
              <m:t>e</m:t>
            </m:r>
          </m:e>
          <m:sub>
            <m:r>
              <m:t>0</m:t>
            </m:r>
          </m:sub>
          <m:sup>
            <m:r>
              <m:rPr>
                <m:sty m:val="p"/>
              </m:rPr>
              <m:t>d</m:t>
            </m:r>
            <m:r>
              <m:rPr>
                <m:sty m:val="p"/>
              </m:rPr>
              <m:t>e</m:t>
            </m:r>
            <m:r>
              <m:rPr>
                <m:sty m:val="p"/>
              </m:rPr>
              <m:t>f</m:t>
            </m:r>
            <m:r>
              <m:rPr>
                <m:sty m:val="p"/>
              </m:rPr>
              <m:t>i</m:t>
            </m:r>
            <m:r>
              <m:rPr>
                <m:sty m:val="p"/>
              </m:rPr>
              <m:t>c</m:t>
            </m:r>
            <m:r>
              <m:rPr>
                <m:sty m:val="p"/>
              </m:rPr>
              <m:t>i</m:t>
            </m:r>
            <m:r>
              <m:rPr>
                <m:sty m:val="p"/>
              </m:rPr>
              <m:t>t</m:t>
            </m:r>
          </m:sup>
        </m:sSubSup>
      </m:oMath>
      <w:r>
        <w:t xml:space="preserve"> </w:t>
      </w:r>
      <w:r>
        <w:t xml:space="preserve">by calculating a p-value stating the probability of estimating a life expectancy deficit as large as the realized deficit under the continuation of pre-pandemic trends. Life expectancy deficits under the null hypothesis of pre-pandemic trends are defined as</w:t>
      </w:r>
    </w:p>
    <w:p>
      <w:pPr>
        <w:pStyle w:val="BodyText"/>
      </w:pPr>
      <m:oMathPara>
        <m:oMathParaPr>
          <m:jc m:val="center"/>
        </m:oMathParaPr>
        <m:oMath>
          <m:r>
            <m:t>T</m:t>
          </m:r>
          <m:r>
            <m:rPr>
              <m:sty m:val="p"/>
            </m:rPr>
            <m:t>=</m:t>
          </m:r>
          <m:sSubSup>
            <m:e>
              <m:r>
                <m:t>e</m:t>
              </m:r>
            </m:e>
            <m:sub>
              <m:r>
                <m:t>0</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r>
            <m:rPr>
              <m:sty m:val="p"/>
              <m:scr m:val="double-struck"/>
            </m:rPr>
            <m:t>E</m:t>
          </m:r>
          <m:d>
            <m:dPr>
              <m:begChr m:val="("/>
              <m:sepChr m:val=""/>
              <m:endChr m:val=")"/>
              <m:grow/>
            </m:dPr>
            <m:e>
              <m:sSubSup>
                <m:e>
                  <m:r>
                    <m:t>e</m:t>
                  </m:r>
                </m:e>
                <m:sub>
                  <m:r>
                    <m:t>0</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e>
          </m:d>
          <m:r>
            <m:rPr>
              <m:sty m:val="p"/>
            </m:rPr>
            <m:t>,</m:t>
          </m:r>
        </m:oMath>
      </m:oMathPara>
    </w:p>
    <w:p>
      <w:pPr>
        <w:pStyle w:val="FirstParagraph"/>
      </w:pPr>
      <w:r>
        <w:t xml:space="preserve">and we derive the sampling distribution of</w:t>
      </w:r>
      <w:r>
        <w:t xml:space="preserve"> </w:t>
      </w:r>
      <m:oMath>
        <m:r>
          <m:t>T</m:t>
        </m:r>
      </m:oMath>
      <w:r>
        <w:t xml:space="preserve"> </w:t>
      </w:r>
      <w:r>
        <w:t xml:space="preserve">from our sample draws of</w:t>
      </w:r>
      <w:r>
        <w:t xml:space="preserve"> </w:t>
      </w:r>
      <m:oMath>
        <m:sSubSup>
          <m:e>
            <m:r>
              <m:t>e</m:t>
            </m:r>
          </m:e>
          <m:sub>
            <m:r>
              <m:t>0</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oMath>
      <w:r>
        <w:t xml:space="preserve">. We can then calculate the probability of our calculated</w:t>
      </w:r>
      <w:r>
        <w:t xml:space="preserve"> </w:t>
      </w:r>
      <m:oMath>
        <m:sSubSup>
          <m:e>
            <m:r>
              <m:t>e</m:t>
            </m:r>
          </m:e>
          <m:sub>
            <m:r>
              <m:t>0</m:t>
            </m:r>
          </m:sub>
          <m:sup>
            <m:r>
              <m:rPr>
                <m:sty m:val="p"/>
              </m:rPr>
              <m:t>d</m:t>
            </m:r>
            <m:r>
              <m:rPr>
                <m:sty m:val="p"/>
              </m:rPr>
              <m:t>e</m:t>
            </m:r>
            <m:r>
              <m:rPr>
                <m:sty m:val="p"/>
              </m:rPr>
              <m:t>f</m:t>
            </m:r>
            <m:r>
              <m:rPr>
                <m:sty m:val="p"/>
              </m:rPr>
              <m:t>i</m:t>
            </m:r>
            <m:r>
              <m:rPr>
                <m:sty m:val="p"/>
              </m:rPr>
              <m:t>c</m:t>
            </m:r>
            <m:r>
              <m:rPr>
                <m:sty m:val="p"/>
              </m:rPr>
              <m:t>i</m:t>
            </m:r>
            <m:r>
              <m:rPr>
                <m:sty m:val="p"/>
              </m:rPr>
              <m:t>t</m:t>
            </m:r>
          </m:sup>
        </m:sSubSup>
      </m:oMath>
      <w:r>
        <w:t xml:space="preserve"> </w:t>
      </w:r>
      <w:r>
        <w:t xml:space="preserve">given pre-pandemic trends as</w:t>
      </w:r>
    </w:p>
    <w:p>
      <w:pPr>
        <w:pStyle w:val="BodyText"/>
      </w:pPr>
      <m:oMathPara>
        <m:oMathParaPr>
          <m:jc m:val="center"/>
        </m:oMathParaPr>
        <m:oMath>
          <m:r>
            <m:rPr>
              <m:sty m:val="p"/>
            </m:rPr>
            <m:t>Pr</m:t>
          </m:r>
          <m:d>
            <m:dPr>
              <m:begChr m:val="("/>
              <m:sepChr m:val=""/>
              <m:endChr m:val=")"/>
              <m:grow/>
            </m:dPr>
            <m:e>
              <m:sSubSup>
                <m:e>
                  <m:r>
                    <m:t>e</m:t>
                  </m:r>
                </m:e>
                <m:sub>
                  <m:r>
                    <m:t>0</m:t>
                  </m:r>
                </m:sub>
                <m:sup>
                  <m:r>
                    <m:rPr>
                      <m:sty m:val="p"/>
                    </m:rPr>
                    <m:t>d</m:t>
                  </m:r>
                  <m:r>
                    <m:rPr>
                      <m:sty m:val="p"/>
                    </m:rPr>
                    <m:t>e</m:t>
                  </m:r>
                  <m:r>
                    <m:rPr>
                      <m:sty m:val="p"/>
                    </m:rPr>
                    <m:t>f</m:t>
                  </m:r>
                  <m:r>
                    <m:rPr>
                      <m:sty m:val="p"/>
                    </m:rPr>
                    <m:t>i</m:t>
                  </m:r>
                  <m:r>
                    <m:rPr>
                      <m:sty m:val="p"/>
                    </m:rPr>
                    <m:t>c</m:t>
                  </m:r>
                  <m:r>
                    <m:rPr>
                      <m:sty m:val="p"/>
                    </m:rPr>
                    <m:t>i</m:t>
                  </m:r>
                  <m:r>
                    <m:rPr>
                      <m:sty m:val="p"/>
                    </m:rPr>
                    <m:t>t</m:t>
                  </m:r>
                </m:sup>
              </m:sSubSup>
              <m:r>
                <m:rPr>
                  <m:sty m:val="p"/>
                </m:rPr>
                <m:t>≤</m:t>
              </m:r>
              <m:sSup>
                <m:e>
                  <m:r>
                    <m:t>T</m:t>
                  </m:r>
                </m:e>
                <m:sup>
                  <m:r>
                    <m:rPr>
                      <m:sty m:val="p"/>
                    </m:rPr>
                    <m:t>*</m:t>
                  </m:r>
                </m:sup>
              </m:sSup>
            </m:e>
          </m:d>
          <m:r>
            <m:rPr>
              <m:sty m:val="p"/>
            </m:rPr>
            <m:t>.</m:t>
          </m:r>
        </m:oMath>
      </m:oMathPara>
    </w:p>
    <w:p>
      <w:pPr>
        <w:pStyle w:val="FirstParagraph"/>
      </w:pPr>
      <w:r>
        <w:t xml:space="preserve">Figure</w:t>
      </w:r>
      <w:r>
        <w:t xml:space="preserve"> </w:t>
      </w:r>
      <w:hyperlink w:anchor="fig:pval">
        <w:r>
          <w:rPr>
            <w:rStyle w:val="Hyperlink"/>
          </w:rPr>
          <w:t xml:space="preserve">3</w:t>
        </w:r>
      </w:hyperlink>
      <w:r>
        <w:t xml:space="preserve"> </w:t>
      </w:r>
      <w:r>
        <w:t xml:space="preserve">demonstrates the procedure.</w:t>
      </w:r>
    </w:p>
    <w:bookmarkStart w:id="51" w:name="fig:pval"/>
    <w:p>
      <w:pPr>
        <w:pStyle w:val="CaptionedFigure"/>
      </w:pPr>
      <w:r>
        <w:drawing>
          <wp:inline>
            <wp:extent cx="3810000" cy="2540000"/>
            <wp:effectExtent b="0" l="0" r="0" t="0"/>
            <wp:docPr descr="" title="" id="49" name="Picture"/>
            <a:graphic>
              <a:graphicData uri="http://schemas.openxmlformats.org/drawingml/2006/picture">
                <pic:pic>
                  <pic:nvPicPr>
                    <pic:cNvPr descr="50-pval.pdf" id="50" name="Picture"/>
                    <pic:cNvPicPr>
                      <a:picLocks noChangeArrowheads="1" noChangeAspect="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Demonstration of p-value calculation for estimated life expectancy deficit.</w:t>
      </w:r>
    </w:p>
    <w:bookmarkEnd w:id="51"/>
    <w:bookmarkEnd w:id="52"/>
    <w:bookmarkStart w:id="56" w:name="clustering-of-life-expectancy-deficits"/>
    <w:p>
      <w:pPr>
        <w:pStyle w:val="Heading1"/>
      </w:pPr>
      <w:r>
        <w:t xml:space="preserve">Clustering of life expectancy deficits</w:t>
      </w:r>
      <w:r>
        <w:t xml:space="preserve"> </w:t>
      </w:r>
      <w:r>
        <w:rPr>
          <w:rStyle w:val="FootnoteReference"/>
        </w:rPr>
        <w:footnoteReference w:id="53"/>
      </w:r>
    </w:p>
    <w:p>
      <w:pPr>
        <w:pStyle w:val="BodyText"/>
      </w:pPr>
      <w:r>
        <w:t xml:space="preserve">We calculate time series of life expectancy deficits,</w:t>
      </w:r>
      <w:r>
        <w:t xml:space="preserve"> </w:t>
      </w:r>
      <m:oMath>
        <m:sSubSup>
          <m:e>
            <m:r>
              <m:t>e</m:t>
            </m:r>
          </m:e>
          <m:sub>
            <m:r>
              <m:t>0</m:t>
            </m:r>
            <m:r>
              <m:rPr>
                <m:sty m:val="p"/>
              </m:rPr>
              <m:t>,</m:t>
            </m:r>
            <m:r>
              <m:t>y</m:t>
            </m:r>
          </m:sub>
          <m:sup>
            <m:r>
              <m:rPr>
                <m:sty m:val="p"/>
              </m:rPr>
              <m:t>d</m:t>
            </m:r>
            <m:r>
              <m:rPr>
                <m:sty m:val="p"/>
              </m:rPr>
              <m:t>e</m:t>
            </m:r>
            <m:r>
              <m:rPr>
                <m:sty m:val="p"/>
              </m:rPr>
              <m:t>f</m:t>
            </m:r>
            <m:r>
              <m:rPr>
                <m:sty m:val="p"/>
              </m:rPr>
              <m:t>i</m:t>
            </m:r>
            <m:r>
              <m:rPr>
                <m:sty m:val="p"/>
              </m:rPr>
              <m:t>c</m:t>
            </m:r>
            <m:r>
              <m:rPr>
                <m:sty m:val="p"/>
              </m:rPr>
              <m:t>i</m:t>
            </m:r>
            <m:r>
              <m:rPr>
                <m:sty m:val="p"/>
              </m:rPr>
              <m:t>t</m:t>
            </m:r>
          </m:sup>
        </m:sSubSup>
      </m:oMath>
      <w:r>
        <w:t xml:space="preserve">, for years 2020 through 2024 by region. These series are then clustered into four groups: A) Early peak (peak deficit in 2020 or 2021 without pronounced worsening in 2021), B) Second wave peak (pronounced peak deficit in 2021), C) Late peak (worsening of deficits starting 2022), and D) Prolonged depression (deficits since 2020 without pronounced peak or trend). To establish robustness, we compare the group assignment under three different clustering procedures.</w:t>
      </w:r>
    </w:p>
    <w:p>
      <w:pPr>
        <w:pStyle w:val="BodyText"/>
      </w:pPr>
      <w:r>
        <w:rPr>
          <w:i/>
          <w:iCs/>
        </w:rPr>
        <w:t xml:space="preserve">Hierarchical clustering</w:t>
      </w:r>
    </w:p>
    <w:p>
      <w:pPr>
        <w:pStyle w:val="BodyText"/>
      </w:pPr>
      <w:r>
        <w:t xml:space="preserve">The group assignment for each country’s deficit trajectory is formalized by employing hierarchical clustering with a pre-specified cluster number of four. We cluster on deficit series for both sexes combined. Prior to clustering we derive three time series features for each region</w:t>
      </w:r>
      <w:r>
        <w:t xml:space="preserve"> </w:t>
      </w:r>
      <m:oMath>
        <m:r>
          <m:t>c</m:t>
        </m:r>
      </m:oMath>
      <w:r>
        <w:t xml:space="preserve">: the range of the deficits,</w:t>
      </w:r>
      <w:r>
        <w:t xml:space="preserve"> </w:t>
      </w:r>
      <m:oMath>
        <m:sSub>
          <m:e>
            <m:r>
              <m:t>r</m:t>
            </m:r>
          </m:e>
          <m:sub>
            <m:r>
              <m:t>c</m:t>
            </m:r>
          </m:sub>
        </m:sSub>
        <m:r>
          <m:rPr>
            <m:sty m:val="p"/>
          </m:rPr>
          <m:t>=</m:t>
        </m:r>
        <m:limLow>
          <m:e>
            <m:r>
              <m:rPr>
                <m:sty m:val="p"/>
              </m:rPr>
              <m:t>max</m:t>
            </m:r>
          </m:e>
          <m:lim>
            <m:r>
              <m:t>y</m:t>
            </m:r>
          </m:lim>
        </m:limLow>
        <m:d>
          <m:dPr>
            <m:begChr m:val="("/>
            <m:sepChr m:val=""/>
            <m:endChr m:val=")"/>
            <m:grow/>
          </m:dPr>
          <m:e>
            <m:sSubSup>
              <m:e>
                <m:r>
                  <m:t>e</m:t>
                </m:r>
              </m:e>
              <m:sub>
                <m:r>
                  <m:t>0</m:t>
                </m:r>
                <m:r>
                  <m:rPr>
                    <m:sty m:val="p"/>
                  </m:rPr>
                  <m:t>,</m:t>
                </m:r>
                <m:r>
                  <m:t>y</m:t>
                </m:r>
                <m:r>
                  <m:rPr>
                    <m:sty m:val="p"/>
                  </m:rPr>
                  <m:t>,</m:t>
                </m:r>
                <m:r>
                  <m:t>c</m:t>
                </m:r>
              </m:sub>
              <m:sup>
                <m:r>
                  <m:rPr>
                    <m:sty m:val="p"/>
                  </m:rPr>
                  <m:t>d</m:t>
                </m:r>
                <m:r>
                  <m:rPr>
                    <m:sty m:val="p"/>
                  </m:rPr>
                  <m:t>e</m:t>
                </m:r>
                <m:r>
                  <m:rPr>
                    <m:sty m:val="p"/>
                  </m:rPr>
                  <m:t>f</m:t>
                </m:r>
                <m:r>
                  <m:rPr>
                    <m:sty m:val="p"/>
                  </m:rPr>
                  <m:t>i</m:t>
                </m:r>
                <m:r>
                  <m:rPr>
                    <m:sty m:val="p"/>
                  </m:rPr>
                  <m:t>c</m:t>
                </m:r>
                <m:r>
                  <m:rPr>
                    <m:sty m:val="p"/>
                  </m:rPr>
                  <m:t>i</m:t>
                </m:r>
                <m:r>
                  <m:rPr>
                    <m:sty m:val="p"/>
                  </m:rPr>
                  <m:t>t</m:t>
                </m:r>
              </m:sup>
            </m:sSubSup>
          </m:e>
        </m:d>
        <m:r>
          <m:rPr>
            <m:sty m:val="p"/>
          </m:rPr>
          <m:t>−</m:t>
        </m:r>
        <m:limLow>
          <m:e>
            <m:r>
              <m:rPr>
                <m:sty m:val="p"/>
              </m:rPr>
              <m:t>min</m:t>
            </m:r>
          </m:e>
          <m:lim>
            <m:r>
              <m:t>y</m:t>
            </m:r>
          </m:lim>
        </m:limLow>
        <m:d>
          <m:dPr>
            <m:begChr m:val="("/>
            <m:sepChr m:val=""/>
            <m:endChr m:val=")"/>
            <m:grow/>
          </m:dPr>
          <m:e>
            <m:sSubSup>
              <m:e>
                <m:r>
                  <m:t>e</m:t>
                </m:r>
              </m:e>
              <m:sub>
                <m:r>
                  <m:t>0</m:t>
                </m:r>
                <m:r>
                  <m:rPr>
                    <m:sty m:val="p"/>
                  </m:rPr>
                  <m:t>,</m:t>
                </m:r>
                <m:r>
                  <m:t>y</m:t>
                </m:r>
                <m:r>
                  <m:rPr>
                    <m:sty m:val="p"/>
                  </m:rPr>
                  <m:t>,</m:t>
                </m:r>
                <m:r>
                  <m:t>c</m:t>
                </m:r>
              </m:sub>
              <m:sup>
                <m:r>
                  <m:rPr>
                    <m:sty m:val="p"/>
                  </m:rPr>
                  <m:t>d</m:t>
                </m:r>
                <m:r>
                  <m:rPr>
                    <m:sty m:val="p"/>
                  </m:rPr>
                  <m:t>e</m:t>
                </m:r>
                <m:r>
                  <m:rPr>
                    <m:sty m:val="p"/>
                  </m:rPr>
                  <m:t>f</m:t>
                </m:r>
                <m:r>
                  <m:rPr>
                    <m:sty m:val="p"/>
                  </m:rPr>
                  <m:t>i</m:t>
                </m:r>
                <m:r>
                  <m:rPr>
                    <m:sty m:val="p"/>
                  </m:rPr>
                  <m:t>c</m:t>
                </m:r>
                <m:r>
                  <m:rPr>
                    <m:sty m:val="p"/>
                  </m:rPr>
                  <m:t>i</m:t>
                </m:r>
                <m:r>
                  <m:rPr>
                    <m:sty m:val="p"/>
                  </m:rPr>
                  <m:t>t</m:t>
                </m:r>
              </m:sup>
            </m:sSubSup>
          </m:e>
        </m:d>
      </m:oMath>
      <w:r>
        <w:t xml:space="preserve">, the centered and range normalized trajectory of deficits,</w:t>
      </w:r>
      <w:r>
        <w:t xml:space="preserve"> </w:t>
      </w:r>
      <m:oMath>
        <m:sSub>
          <m:e>
            <m:r>
              <m:t>s</m:t>
            </m:r>
          </m:e>
          <m:sub>
            <m:r>
              <m:t>y</m:t>
            </m:r>
            <m:r>
              <m:rPr>
                <m:sty m:val="p"/>
              </m:rPr>
              <m:t>,</m:t>
            </m:r>
            <m:r>
              <m:t>c</m:t>
            </m:r>
          </m:sub>
        </m:sSub>
        <m:r>
          <m:rPr>
            <m:sty m:val="p"/>
          </m:rPr>
          <m:t>=</m:t>
        </m:r>
        <m:d>
          <m:dPr>
            <m:begChr m:val="("/>
            <m:sepChr m:val=""/>
            <m:endChr m:val=")"/>
            <m:grow/>
          </m:dPr>
          <m:e>
            <m:sSubSup>
              <m:e>
                <m:r>
                  <m:t>e</m:t>
                </m:r>
              </m:e>
              <m:sub>
                <m:r>
                  <m:t>0</m:t>
                </m:r>
                <m:r>
                  <m:rPr>
                    <m:sty m:val="p"/>
                  </m:rPr>
                  <m:t>,</m:t>
                </m:r>
                <m:r>
                  <m:t>y</m:t>
                </m:r>
                <m:r>
                  <m:rPr>
                    <m:sty m:val="p"/>
                  </m:rPr>
                  <m:t>,</m:t>
                </m:r>
                <m:r>
                  <m:t>c</m:t>
                </m:r>
              </m:sub>
              <m:sup>
                <m:r>
                  <m:rPr>
                    <m:sty m:val="p"/>
                  </m:rPr>
                  <m:t>d</m:t>
                </m:r>
                <m:r>
                  <m:rPr>
                    <m:sty m:val="p"/>
                  </m:rPr>
                  <m:t>e</m:t>
                </m:r>
                <m:r>
                  <m:rPr>
                    <m:sty m:val="p"/>
                  </m:rPr>
                  <m:t>f</m:t>
                </m:r>
                <m:r>
                  <m:rPr>
                    <m:sty m:val="p"/>
                  </m:rPr>
                  <m:t>i</m:t>
                </m:r>
                <m:r>
                  <m:rPr>
                    <m:sty m:val="p"/>
                  </m:rPr>
                  <m:t>c</m:t>
                </m:r>
                <m:r>
                  <m:rPr>
                    <m:sty m:val="p"/>
                  </m:rPr>
                  <m:t>i</m:t>
                </m:r>
                <m:r>
                  <m:rPr>
                    <m:sty m:val="p"/>
                  </m:rPr>
                  <m:t>t</m:t>
                </m:r>
              </m:sup>
            </m:sSubSup>
            <m:r>
              <m:rPr>
                <m:sty m:val="p"/>
              </m:rPr>
              <m:t>−</m:t>
            </m:r>
            <m:limLow>
              <m:e>
                <m:r>
                  <m:rPr>
                    <m:sty m:val="p"/>
                  </m:rPr>
                  <m:t>m</m:t>
                </m:r>
                <m:r>
                  <m:rPr>
                    <m:sty m:val="p"/>
                  </m:rPr>
                  <m:t>e</m:t>
                </m:r>
                <m:r>
                  <m:rPr>
                    <m:sty m:val="p"/>
                  </m:rPr>
                  <m:t>a</m:t>
                </m:r>
                <m:r>
                  <m:rPr>
                    <m:sty m:val="p"/>
                  </m:rPr>
                  <m:t>n</m:t>
                </m:r>
              </m:e>
              <m:lim>
                <m:r>
                  <m:t>y</m:t>
                </m:r>
              </m:lim>
            </m:limLow>
            <m:d>
              <m:dPr>
                <m:begChr m:val="("/>
                <m:sepChr m:val=""/>
                <m:endChr m:val=")"/>
                <m:grow/>
              </m:dPr>
              <m:e>
                <m:sSubSup>
                  <m:e>
                    <m:r>
                      <m:t>e</m:t>
                    </m:r>
                  </m:e>
                  <m:sub>
                    <m:r>
                      <m:t>0</m:t>
                    </m:r>
                    <m:r>
                      <m:rPr>
                        <m:sty m:val="p"/>
                      </m:rPr>
                      <m:t>,</m:t>
                    </m:r>
                    <m:r>
                      <m:t>y</m:t>
                    </m:r>
                    <m:r>
                      <m:rPr>
                        <m:sty m:val="p"/>
                      </m:rPr>
                      <m:t>,</m:t>
                    </m:r>
                    <m:r>
                      <m:t>c</m:t>
                    </m:r>
                  </m:sub>
                  <m:sup>
                    <m:r>
                      <m:rPr>
                        <m:sty m:val="p"/>
                      </m:rPr>
                      <m:t>d</m:t>
                    </m:r>
                    <m:r>
                      <m:rPr>
                        <m:sty m:val="p"/>
                      </m:rPr>
                      <m:t>e</m:t>
                    </m:r>
                    <m:r>
                      <m:rPr>
                        <m:sty m:val="p"/>
                      </m:rPr>
                      <m:t>f</m:t>
                    </m:r>
                    <m:r>
                      <m:rPr>
                        <m:sty m:val="p"/>
                      </m:rPr>
                      <m:t>i</m:t>
                    </m:r>
                    <m:r>
                      <m:rPr>
                        <m:sty m:val="p"/>
                      </m:rPr>
                      <m:t>c</m:t>
                    </m:r>
                    <m:r>
                      <m:rPr>
                        <m:sty m:val="p"/>
                      </m:rPr>
                      <m:t>i</m:t>
                    </m:r>
                    <m:r>
                      <m:rPr>
                        <m:sty m:val="p"/>
                      </m:rPr>
                      <m:t>t</m:t>
                    </m:r>
                  </m:sup>
                </m:sSubSup>
              </m:e>
            </m:d>
          </m:e>
        </m:d>
        <m:r>
          <m:rPr>
            <m:sty m:val="p"/>
          </m:rPr>
          <m:t>/</m:t>
        </m:r>
        <m:sSub>
          <m:e>
            <m:r>
              <m:t>r</m:t>
            </m:r>
          </m:e>
          <m:sub>
            <m:r>
              <m:t>c</m:t>
            </m:r>
          </m:sub>
        </m:sSub>
      </m:oMath>
      <w:r>
        <w:t xml:space="preserve">, and the first differences of</w:t>
      </w:r>
      <w:r>
        <w:t xml:space="preserve"> </w:t>
      </w:r>
      <m:oMath>
        <m:sSub>
          <m:e>
            <m:r>
              <m:t>s</m:t>
            </m:r>
          </m:e>
          <m:sub>
            <m:r>
              <m:t>y</m:t>
            </m:r>
            <m:r>
              <m:rPr>
                <m:sty m:val="p"/>
              </m:rPr>
              <m:t>,</m:t>
            </m:r>
            <m:r>
              <m:t>c</m:t>
            </m:r>
          </m:sub>
        </m:sSub>
      </m:oMath>
      <w:r>
        <w:t xml:space="preserve"> </w:t>
      </w:r>
      <w:r>
        <w:t xml:space="preserve">over time. We then run the hierarchical clustering algorithm implemented in the R package</w:t>
      </w:r>
      <w:r>
        <w:t xml:space="preserve"> </w:t>
      </w:r>
      <w:r>
        <w:rPr>
          <w:rStyle w:val="VerbatimChar"/>
        </w:rPr>
        <w:t xml:space="preserve">dtwclust</w:t>
      </w:r>
      <w:r>
        <w:t xml:space="preserve"> </w:t>
      </w:r>
      <w:r>
        <w:t xml:space="preserve">with Euclidean distance and Ward’s minimum variance method on the combined vector of features across regions to determine each regions cluster. The resulting clustering captures the phenomenology of the four qualitative groups described above.</w:t>
      </w:r>
    </w:p>
    <w:p>
      <w:pPr>
        <w:pStyle w:val="BodyText"/>
      </w:pPr>
      <w:r>
        <w:rPr>
          <w:i/>
          <w:iCs/>
        </w:rPr>
        <w:t xml:space="preserve">Probabilistic decision rule</w:t>
      </w:r>
    </w:p>
    <w:p>
      <w:pPr>
        <w:pStyle w:val="BodyText"/>
      </w:pPr>
      <w:r>
        <w:t xml:space="preserve">A similar cluster assignment can be achieved with a much simpler method of decision rules over our posterior simulation draws. First we test if a countries life expectancy deficit series features a significant (</w:t>
      </w:r>
      <m:oMath>
        <m:r>
          <m:t>α</m:t>
        </m:r>
        <m:r>
          <m:rPr>
            <m:sty m:val="p"/>
          </m:rPr>
          <m:t>=</m:t>
        </m:r>
        <m:r>
          <m:t>0.1</m:t>
        </m:r>
      </m:oMath>
      <w:r>
        <w:t xml:space="preserve">) peak or slope. If no, we assign the group D, otherwise we check if the probability for 2021 being the peak deficit year is</w:t>
      </w:r>
      <w:r>
        <w:t xml:space="preserve"> </w:t>
      </w:r>
      <m:oMath>
        <m:r>
          <m:rPr>
            <m:sty m:val="p"/>
          </m:rPr>
          <m:t>≥</m:t>
        </m:r>
        <m:r>
          <m:t>90</m:t>
        </m:r>
        <m:r>
          <m:rPr>
            <m:sty m:val="p"/>
          </m:rPr>
          <m:t>%</m:t>
        </m:r>
      </m:oMath>
      <w:r>
        <w:t xml:space="preserve">. If yes, we assign the group B, otherwise we check if the mean peak deficit was later than 2021. If yes we assign group C, otherwise group A. This method achieves an overlap of 85.3% in cluster assignment with the hierarchical clustering method.</w:t>
      </w:r>
    </w:p>
    <w:p>
      <w:pPr>
        <w:pStyle w:val="BodyText"/>
      </w:pPr>
      <w:r>
        <w:rPr>
          <w:i/>
          <w:iCs/>
        </w:rPr>
        <w:t xml:space="preserve">Non-probabilistic decision rule</w:t>
      </w:r>
    </w:p>
    <w:p>
      <w:pPr>
        <w:pStyle w:val="BodyText"/>
      </w:pPr>
      <w:r>
        <w:t xml:space="preserve">An even simpler, entirely non-probabilistic, algorithm for cluster assignment can be defined by labeling as group D every country where the deficit peak is less than 0.2 years above the deficit in neighboring years and the range is less than 0.75 years. For all remaining countries the year of peak deficit determines group A (2020), group B (2021), or group C (later than 2021). This simplistic method assigns the same label as the hierarchical clustering method in 82.4% of regions.</w:t>
      </w:r>
    </w:p>
    <w:p>
      <w:pPr>
        <w:pStyle w:val="BodyText"/>
      </w:pPr>
      <w:r>
        <w:t xml:space="preserve">Table</w:t>
      </w:r>
      <w:r>
        <w:t xml:space="preserve"> </w:t>
      </w:r>
      <w:hyperlink w:anchor="tab:cluster">
        <w:r>
          <w:rPr>
            <w:rStyle w:val="Hyperlink"/>
          </w:rPr>
          <w:t xml:space="preserve">2</w:t>
        </w:r>
      </w:hyperlink>
      <w:r>
        <w:t xml:space="preserve"> </w:t>
      </w:r>
      <w:r>
        <w:t xml:space="preserve">shows the cluster assignments per country under the three different clustering procedures. The results in the paper are reported under the hierarchical clustering.</w:t>
      </w:r>
    </w:p>
    <w:bookmarkStart w:id="55" w:name="tab:cluster"/>
    <w:p>
      <w:pPr>
        <w:pStyle w:val="TableCaption"/>
      </w:pPr>
      <w:r>
        <w:t xml:space="preserve">Regional cluster assignments under different clustering procedures.</w:t>
      </w:r>
    </w:p>
    <w:tbl>
      <w:tblPr>
        <w:tblStyle w:val="Table"/>
        <w:tblW w:type="auto" w:w="0"/>
        <w:tblLook w:firstRow="1" w:lastRow="0" w:firstColumn="0" w:lastColumn="0" w:noHBand="0" w:noVBand="0" w:val="0020"/>
        <w:tblCaption w:val="Regional cluster assignments under different clustering procedures."/>
      </w:tblPr>
      <w:tblGrid>
        <w:gridCol w:w="1980"/>
        <w:gridCol w:w="1980"/>
        <w:gridCol w:w="1980"/>
        <w:gridCol w:w="1980"/>
      </w:tblGrid>
      <w:tr>
        <w:trPr>
          <w:tblHeader w:val="on"/>
        </w:trPr>
        <w:tc>
          <w:tcPr/>
          <w:p>
            <w:pPr>
              <w:pStyle w:val="Compact"/>
              <w:jc w:val="left"/>
            </w:pPr>
            <w:r>
              <w:t xml:space="preserve">Region</w:t>
            </w:r>
          </w:p>
        </w:tc>
        <w:tc>
          <w:tcPr/>
          <w:p>
            <w:pPr>
              <w:pStyle w:val="Compact"/>
              <w:jc w:val="center"/>
            </w:pPr>
            <w:r>
              <w:t xml:space="preserve">Hierarchical</w:t>
            </w:r>
          </w:p>
        </w:tc>
        <w:tc>
          <w:tcPr/>
          <w:p>
            <w:pPr>
              <w:pStyle w:val="Compact"/>
              <w:jc w:val="center"/>
            </w:pPr>
            <w:r>
              <w:t xml:space="preserve">Probabilistic</w:t>
            </w:r>
          </w:p>
        </w:tc>
        <w:tc>
          <w:tcPr/>
          <w:p>
            <w:pPr>
              <w:pStyle w:val="Compact"/>
              <w:jc w:val="center"/>
            </w:pPr>
            <w:r>
              <w:t xml:space="preserve">Non-probabilistic</w:t>
            </w:r>
          </w:p>
        </w:tc>
      </w:tr>
      <w:tr>
        <w:tc>
          <w:tcPr/>
          <w:p>
            <w:pPr>
              <w:pStyle w:val="Compact"/>
              <w:jc w:val="left"/>
            </w:pPr>
            <w:r>
              <w:t xml:space="preserve">AT</w:t>
            </w:r>
          </w:p>
        </w:tc>
        <w:tc>
          <w:tcPr/>
          <w:p>
            <w:pPr>
              <w:pStyle w:val="Compact"/>
              <w:jc w:val="center"/>
            </w:pPr>
            <w:r>
              <w:t xml:space="preserve">D</w:t>
            </w:r>
          </w:p>
        </w:tc>
        <w:tc>
          <w:tcPr/>
          <w:p>
            <w:pPr>
              <w:pStyle w:val="Compact"/>
              <w:jc w:val="center"/>
            </w:pPr>
            <w:r>
              <w:t xml:space="preserve">D</w:t>
            </w:r>
          </w:p>
        </w:tc>
        <w:tc>
          <w:tcPr/>
          <w:p>
            <w:pPr>
              <w:pStyle w:val="Compact"/>
              <w:jc w:val="center"/>
            </w:pPr>
            <w:r>
              <w:t xml:space="preserve">D</w:t>
            </w:r>
          </w:p>
        </w:tc>
      </w:tr>
      <w:tr>
        <w:tc>
          <w:tcPr/>
          <w:p>
            <w:pPr>
              <w:pStyle w:val="Compact"/>
              <w:jc w:val="left"/>
            </w:pPr>
            <w:r>
              <w:t xml:space="preserve">BE</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r>
      <w:tr>
        <w:tc>
          <w:tcPr/>
          <w:p>
            <w:pPr>
              <w:pStyle w:val="Compact"/>
              <w:jc w:val="left"/>
            </w:pPr>
            <w:r>
              <w:t xml:space="preserve">BG</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CH</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r>
      <w:tr>
        <w:tc>
          <w:tcPr/>
          <w:p>
            <w:pPr>
              <w:pStyle w:val="Compact"/>
              <w:jc w:val="left"/>
            </w:pPr>
            <w:r>
              <w:t xml:space="preserve">CL</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CZ</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DE</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DK</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EE</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ES</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r>
      <w:tr>
        <w:tc>
          <w:tcPr/>
          <w:p>
            <w:pPr>
              <w:pStyle w:val="Compact"/>
              <w:jc w:val="left"/>
            </w:pPr>
            <w:r>
              <w:t xml:space="preserve">FI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FR</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GB-EAW</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r>
      <w:tr>
        <w:tc>
          <w:tcPr/>
          <w:p>
            <w:pPr>
              <w:pStyle w:val="Compact"/>
              <w:jc w:val="left"/>
            </w:pPr>
            <w:r>
              <w:t xml:space="preserve">GB-NIR</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GB-SCT</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B</w:t>
            </w:r>
          </w:p>
        </w:tc>
      </w:tr>
      <w:tr>
        <w:tc>
          <w:tcPr/>
          <w:p>
            <w:pPr>
              <w:pStyle w:val="Compact"/>
              <w:jc w:val="left"/>
            </w:pPr>
            <w:r>
              <w:t xml:space="preserve">GR</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HR</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HU</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IL</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IS</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IT</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r>
      <w:tr>
        <w:tc>
          <w:tcPr/>
          <w:p>
            <w:pPr>
              <w:pStyle w:val="Compact"/>
              <w:jc w:val="left"/>
            </w:pPr>
            <w:r>
              <w:t xml:space="preserve">JP</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LT</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LU</w:t>
            </w:r>
          </w:p>
        </w:tc>
        <w:tc>
          <w:tcPr/>
          <w:p>
            <w:pPr>
              <w:pStyle w:val="Compact"/>
              <w:jc w:val="center"/>
            </w:pPr>
            <w:r>
              <w:t xml:space="preserve">A</w:t>
            </w:r>
          </w:p>
        </w:tc>
        <w:tc>
          <w:tcPr/>
          <w:p>
            <w:pPr>
              <w:pStyle w:val="Compact"/>
              <w:jc w:val="center"/>
            </w:pPr>
            <w:r>
              <w:t xml:space="preserve">D</w:t>
            </w:r>
          </w:p>
        </w:tc>
        <w:tc>
          <w:tcPr/>
          <w:p>
            <w:pPr>
              <w:pStyle w:val="Compact"/>
              <w:jc w:val="center"/>
            </w:pPr>
            <w:r>
              <w:t xml:space="preserve">A</w:t>
            </w:r>
          </w:p>
        </w:tc>
      </w:tr>
      <w:tr>
        <w:tc>
          <w:tcPr/>
          <w:p>
            <w:pPr>
              <w:pStyle w:val="Compact"/>
              <w:jc w:val="left"/>
            </w:pPr>
            <w:r>
              <w:t xml:space="preserve">LV</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NL</w:t>
            </w:r>
          </w:p>
        </w:tc>
        <w:tc>
          <w:tcPr/>
          <w:p>
            <w:pPr>
              <w:pStyle w:val="Compact"/>
              <w:jc w:val="center"/>
            </w:pPr>
            <w:r>
              <w:t xml:space="preserve">D</w:t>
            </w:r>
          </w:p>
        </w:tc>
        <w:tc>
          <w:tcPr/>
          <w:p>
            <w:pPr>
              <w:pStyle w:val="Compact"/>
              <w:jc w:val="center"/>
            </w:pPr>
            <w:r>
              <w:t xml:space="preserve">D</w:t>
            </w:r>
          </w:p>
        </w:tc>
        <w:tc>
          <w:tcPr/>
          <w:p>
            <w:pPr>
              <w:pStyle w:val="Compact"/>
              <w:jc w:val="center"/>
            </w:pPr>
            <w:r>
              <w:t xml:space="preserve">D</w:t>
            </w:r>
          </w:p>
        </w:tc>
      </w:tr>
      <w:tr>
        <w:tc>
          <w:tcPr/>
          <w:p>
            <w:pPr>
              <w:pStyle w:val="Compact"/>
              <w:jc w:val="left"/>
            </w:pPr>
            <w:r>
              <w:t xml:space="preserve">NO</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PL</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PT</w:t>
            </w:r>
          </w:p>
        </w:tc>
        <w:tc>
          <w:tcPr/>
          <w:p>
            <w:pPr>
              <w:pStyle w:val="Compact"/>
              <w:jc w:val="center"/>
            </w:pPr>
            <w:r>
              <w:t xml:space="preserve">D</w:t>
            </w:r>
          </w:p>
        </w:tc>
        <w:tc>
          <w:tcPr/>
          <w:p>
            <w:pPr>
              <w:pStyle w:val="Compact"/>
              <w:jc w:val="center"/>
            </w:pPr>
            <w:r>
              <w:t xml:space="preserve">D</w:t>
            </w:r>
          </w:p>
        </w:tc>
        <w:tc>
          <w:tcPr/>
          <w:p>
            <w:pPr>
              <w:pStyle w:val="Compact"/>
              <w:jc w:val="center"/>
            </w:pPr>
            <w:r>
              <w:t xml:space="preserve">D</w:t>
            </w:r>
          </w:p>
        </w:tc>
      </w:tr>
      <w:tr>
        <w:tc>
          <w:tcPr/>
          <w:p>
            <w:pPr>
              <w:pStyle w:val="Compact"/>
              <w:jc w:val="left"/>
            </w:pPr>
            <w:r>
              <w:t xml:space="preserve">SE</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A</w:t>
            </w:r>
          </w:p>
        </w:tc>
      </w:tr>
      <w:tr>
        <w:tc>
          <w:tcPr/>
          <w:p>
            <w:pPr>
              <w:pStyle w:val="Compact"/>
              <w:jc w:val="left"/>
            </w:pPr>
            <w:r>
              <w:t xml:space="preserve">SI</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B</w:t>
            </w:r>
          </w:p>
        </w:tc>
      </w:tr>
      <w:tr>
        <w:tc>
          <w:tcPr/>
          <w:p>
            <w:pPr>
              <w:pStyle w:val="Compact"/>
              <w:jc w:val="left"/>
            </w:pPr>
            <w:r>
              <w:t xml:space="preserve">SK</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r>
        <w:tc>
          <w:tcPr/>
          <w:p>
            <w:pPr>
              <w:pStyle w:val="Compact"/>
              <w:jc w:val="left"/>
            </w:pPr>
            <w:r>
              <w:t xml:space="preserve">TW</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jc w:val="left"/>
            </w:pPr>
            <w:r>
              <w:t xml:space="preserve">US</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bl>
    <w:bookmarkEnd w:id="55"/>
    <w:bookmarkEnd w:id="56"/>
    <w:bookmarkStart w:id="58" w:name="age-decomposition-analysis"/>
    <w:p>
      <w:pPr>
        <w:pStyle w:val="Heading1"/>
      </w:pPr>
      <w:r>
        <w:t xml:space="preserve">Age decomposition analysis</w:t>
      </w:r>
      <w:r>
        <w:t xml:space="preserve"> </w:t>
      </w:r>
      <w:r>
        <w:rPr>
          <w:rStyle w:val="FootnoteReference"/>
        </w:rPr>
        <w:footnoteReference w:id="57"/>
      </w:r>
    </w:p>
    <w:p>
      <w:pPr>
        <w:pStyle w:val="BodyText"/>
      </w:pPr>
      <w:r>
        <w:t xml:space="preserve">We perform the Arriaga decomposition</w:t>
      </w:r>
      <w:r>
        <w:t xml:space="preserve"> </w:t>
      </w:r>
      <w:r>
        <w:t xml:space="preserve"> </w:t>
      </w:r>
      <w:r>
        <w:t xml:space="preserve">to attribute life expectancy deficits to age specific excess mortality. As the Arriaga decomposition is analytic and can be expressed as a series of simple arithmetic operations it lends itself well to simulation based inference where computation speed is vital. Based on the previously estimated life table quantities we calculate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t>
                    </m:r>
                  </m:e>
                  <m:sub>
                    <m:r>
                      <m:t>n</m:t>
                    </m:r>
                  </m:sub>
                </m:sSub>
                <m:sSub>
                  <m:e>
                    <m:r>
                      <m:rPr>
                        <m:sty m:val="p"/>
                      </m:rPr>
                      <m:t>D</m:t>
                    </m:r>
                    <m:r>
                      <m:rPr>
                        <m:sty m:val="p"/>
                      </m:rPr>
                      <m:t>E</m:t>
                    </m:r>
                  </m:e>
                  <m:sub>
                    <m:r>
                      <m:t>x</m:t>
                    </m:r>
                  </m:sub>
                </m:sSub>
              </m:e>
              <m:e>
                <m:r>
                  <m:rPr>
                    <m:sty m:val="p"/>
                  </m:rPr>
                  <m:t>=</m:t>
                </m:r>
                <m:d>
                  <m:dPr>
                    <m:begChr m:val="("/>
                    <m:sepChr m:val=""/>
                    <m:endChr m:val=")"/>
                    <m:grow/>
                  </m:dPr>
                  <m:e>
                    <m:sSub>
                      <m:e>
                        <m:r>
                          <m:t>​</m:t>
                        </m:r>
                      </m:e>
                      <m:sub>
                        <m:r>
                          <m:t>n</m:t>
                        </m:r>
                      </m:sub>
                    </m:sSub>
                    <m:sSubSup>
                      <m:e>
                        <m:r>
                          <m:t>L</m:t>
                        </m:r>
                      </m:e>
                      <m:sub>
                        <m:r>
                          <m:t>x</m:t>
                        </m:r>
                      </m:sub>
                      <m:sup>
                        <m:r>
                          <m:rPr>
                            <m:sty m:val="p"/>
                          </m:rPr>
                          <m:t>a</m:t>
                        </m:r>
                        <m:r>
                          <m:rPr>
                            <m:sty m:val="p"/>
                          </m:rPr>
                          <m:t>c</m:t>
                        </m:r>
                        <m:r>
                          <m:rPr>
                            <m:sty m:val="p"/>
                          </m:rPr>
                          <m:t>t</m:t>
                        </m:r>
                        <m:r>
                          <m:rPr>
                            <m:sty m:val="p"/>
                          </m:rPr>
                          <m:t>u</m:t>
                        </m:r>
                        <m:r>
                          <m:rPr>
                            <m:sty m:val="p"/>
                          </m:rPr>
                          <m:t>a</m:t>
                        </m:r>
                        <m:r>
                          <m:rPr>
                            <m:sty m:val="p"/>
                          </m:rPr>
                          <m:t>l</m:t>
                        </m:r>
                      </m:sup>
                    </m:sSubSup>
                    <m:r>
                      <m:rPr>
                        <m:sty m:val="p"/>
                      </m:rPr>
                      <m:t>/</m:t>
                    </m:r>
                    <m:sSubSup>
                      <m:e>
                        <m:r>
                          <m:rPr>
                            <m:sty m:val="p"/>
                          </m:rPr>
                          <m:t>ℓ</m:t>
                        </m:r>
                      </m:e>
                      <m:sub>
                        <m:r>
                          <m:t>x</m:t>
                        </m:r>
                      </m:sub>
                      <m:sup>
                        <m:r>
                          <m:rPr>
                            <m:sty m:val="p"/>
                          </m:rPr>
                          <m:t>a</m:t>
                        </m:r>
                        <m:r>
                          <m:rPr>
                            <m:sty m:val="p"/>
                          </m:rPr>
                          <m:t>c</m:t>
                        </m:r>
                        <m:r>
                          <m:rPr>
                            <m:sty m:val="p"/>
                          </m:rPr>
                          <m:t>t</m:t>
                        </m:r>
                        <m:r>
                          <m:rPr>
                            <m:sty m:val="p"/>
                          </m:rPr>
                          <m:t>u</m:t>
                        </m:r>
                        <m:r>
                          <m:rPr>
                            <m:sty m:val="p"/>
                          </m:rPr>
                          <m:t>a</m:t>
                        </m:r>
                        <m:r>
                          <m:rPr>
                            <m:sty m:val="p"/>
                          </m:rPr>
                          <m:t>l</m:t>
                        </m:r>
                      </m:sup>
                    </m:sSubSup>
                    <m:r>
                      <m:rPr>
                        <m:sty m:val="p"/>
                      </m:rPr>
                      <m:t>−</m:t>
                    </m:r>
                    <m:sSub>
                      <m:e>
                        <m:r>
                          <m:t>​</m:t>
                        </m:r>
                      </m:e>
                      <m:sub>
                        <m:r>
                          <m:t>n</m:t>
                        </m:r>
                      </m:sub>
                    </m:sSub>
                    <m:sSubSup>
                      <m:e>
                        <m:r>
                          <m:t>L</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sSubSup>
                      <m:e>
                        <m:r>
                          <m:rPr>
                            <m:sty m:val="p"/>
                          </m:rPr>
                          <m:t>ℓ</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e>
                </m:d>
                <m:r>
                  <m:rPr>
                    <m:sty m:val="p"/>
                  </m:rPr>
                  <m:t>⋅</m:t>
                </m:r>
                <m:sSubSup>
                  <m:e>
                    <m:r>
                      <m:rPr>
                        <m:sty m:val="p"/>
                      </m:rPr>
                      <m:t>ℓ</m:t>
                    </m:r>
                  </m:e>
                  <m:sub>
                    <m:r>
                      <m:t>x</m:t>
                    </m:r>
                  </m:sub>
                  <m:sup>
                    <m:r>
                      <m:rPr>
                        <m:sty m:val="p"/>
                      </m:rPr>
                      <m:t>a</m:t>
                    </m:r>
                    <m:r>
                      <m:rPr>
                        <m:sty m:val="p"/>
                      </m:rPr>
                      <m:t>c</m:t>
                    </m:r>
                    <m:r>
                      <m:rPr>
                        <m:sty m:val="p"/>
                      </m:rPr>
                      <m:t>t</m:t>
                    </m:r>
                    <m:r>
                      <m:rPr>
                        <m:sty m:val="p"/>
                      </m:rPr>
                      <m:t>u</m:t>
                    </m:r>
                    <m:r>
                      <m:rPr>
                        <m:sty m:val="p"/>
                      </m:rPr>
                      <m:t>a</m:t>
                    </m:r>
                    <m:r>
                      <m:rPr>
                        <m:sty m:val="p"/>
                      </m:rPr>
                      <m:t>l</m:t>
                    </m:r>
                  </m:sup>
                </m:sSubSup>
              </m:e>
            </m:mr>
            <m:mr>
              <m:e>
                <m:sSub>
                  <m:e>
                    <m:r>
                      <m:t>​</m:t>
                    </m:r>
                  </m:e>
                  <m:sub>
                    <m:r>
                      <m:t>n</m:t>
                    </m:r>
                  </m:sub>
                </m:sSub>
                <m:sSub>
                  <m:e>
                    <m:r>
                      <m:rPr>
                        <m:sty m:val="p"/>
                      </m:rPr>
                      <m:t>I</m:t>
                    </m:r>
                    <m:r>
                      <m:rPr>
                        <m:sty m:val="p"/>
                      </m:rPr>
                      <m:t>E</m:t>
                    </m:r>
                  </m:e>
                  <m:sub>
                    <m:r>
                      <m:t>x</m:t>
                    </m:r>
                  </m:sub>
                </m:sSub>
              </m:e>
              <m:e>
                <m:r>
                  <m:rPr>
                    <m:sty m:val="p"/>
                  </m:rPr>
                  <m:t>=</m:t>
                </m:r>
                <m:d>
                  <m:dPr>
                    <m:begChr m:val="("/>
                    <m:sepChr m:val=""/>
                    <m:endChr m:val=")"/>
                    <m:grow/>
                  </m:dPr>
                  <m:e>
                    <m:sSubSup>
                      <m:e>
                        <m:r>
                          <m:rPr>
                            <m:sty m:val="p"/>
                          </m:rPr>
                          <m:t>ℓ</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sSubSup>
                      <m:e>
                        <m:r>
                          <m:rPr>
                            <m:sty m:val="p"/>
                          </m:rPr>
                          <m:t>ℓ</m:t>
                        </m:r>
                      </m:e>
                      <m:sub>
                        <m:r>
                          <m:t>x</m:t>
                        </m:r>
                      </m:sub>
                      <m:sup>
                        <m:r>
                          <m:rPr>
                            <m:sty m:val="p"/>
                          </m:rPr>
                          <m:t>a</m:t>
                        </m:r>
                        <m:r>
                          <m:rPr>
                            <m:sty m:val="p"/>
                          </m:rPr>
                          <m:t>c</m:t>
                        </m:r>
                        <m:r>
                          <m:rPr>
                            <m:sty m:val="p"/>
                          </m:rPr>
                          <m:t>t</m:t>
                        </m:r>
                        <m:r>
                          <m:rPr>
                            <m:sty m:val="p"/>
                          </m:rPr>
                          <m:t>u</m:t>
                        </m:r>
                        <m:r>
                          <m:rPr>
                            <m:sty m:val="p"/>
                          </m:rPr>
                          <m:t>a</m:t>
                        </m:r>
                        <m:r>
                          <m:rPr>
                            <m:sty m:val="p"/>
                          </m:rPr>
                          <m:t>l</m:t>
                        </m:r>
                      </m:sup>
                    </m:sSubSup>
                    <m:r>
                      <m:rPr>
                        <m:sty m:val="p"/>
                      </m:rPr>
                      <m:t>−</m:t>
                    </m:r>
                    <m:sSubSup>
                      <m:e>
                        <m:r>
                          <m:rPr>
                            <m:sty m:val="p"/>
                          </m:rPr>
                          <m:t>ℓ</m:t>
                        </m:r>
                      </m:e>
                      <m:sub>
                        <m:r>
                          <m:t>x</m:t>
                        </m:r>
                        <m:r>
                          <m:rPr>
                            <m:sty m:val="p"/>
                          </m:rPr>
                          <m:t>+</m:t>
                        </m:r>
                        <m:r>
                          <m:t>n</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sSubSup>
                      <m:e>
                        <m:r>
                          <m:rPr>
                            <m:sty m:val="p"/>
                          </m:rPr>
                          <m:t>ℓ</m:t>
                        </m:r>
                      </m:e>
                      <m:sub>
                        <m:r>
                          <m:t>x</m:t>
                        </m:r>
                        <m:r>
                          <m:rPr>
                            <m:sty m:val="p"/>
                          </m:rPr>
                          <m:t>+</m:t>
                        </m:r>
                        <m:r>
                          <m:t>n</m:t>
                        </m:r>
                      </m:sub>
                      <m:sup>
                        <m:r>
                          <m:rPr>
                            <m:sty m:val="p"/>
                          </m:rPr>
                          <m:t>a</m:t>
                        </m:r>
                        <m:r>
                          <m:rPr>
                            <m:sty m:val="p"/>
                          </m:rPr>
                          <m:t>c</m:t>
                        </m:r>
                        <m:r>
                          <m:rPr>
                            <m:sty m:val="p"/>
                          </m:rPr>
                          <m:t>t</m:t>
                        </m:r>
                        <m:r>
                          <m:rPr>
                            <m:sty m:val="p"/>
                          </m:rPr>
                          <m:t>u</m:t>
                        </m:r>
                        <m:r>
                          <m:rPr>
                            <m:sty m:val="p"/>
                          </m:rPr>
                          <m:t>a</m:t>
                        </m:r>
                        <m:r>
                          <m:rPr>
                            <m:sty m:val="p"/>
                          </m:rPr>
                          <m:t>l</m:t>
                        </m:r>
                      </m:sup>
                    </m:sSubSup>
                  </m:e>
                </m:d>
                <m:r>
                  <m:rPr>
                    <m:sty m:val="p"/>
                  </m:rPr>
                  <m:t>⋅</m:t>
                </m:r>
                <m:sSub>
                  <m:e>
                    <m:r>
                      <m:t>T</m:t>
                    </m:r>
                  </m:e>
                  <m:sub>
                    <m:r>
                      <m:t>x</m:t>
                    </m:r>
                    <m:r>
                      <m:rPr>
                        <m:sty m:val="p"/>
                      </m:rPr>
                      <m:t>+</m:t>
                    </m:r>
                    <m:r>
                      <m:t>n</m:t>
                    </m:r>
                  </m:sub>
                </m:sSub>
                <m:r>
                  <m:rPr>
                    <m:sty m:val="p"/>
                  </m:rPr>
                  <m:t>,</m:t>
                </m:r>
              </m:e>
            </m:mr>
          </m:m>
        </m:oMath>
      </m:oMathPara>
    </w:p>
    <w:p>
      <w:pPr>
        <w:pStyle w:val="FirstParagraph"/>
      </w:pPr>
      <w:r>
        <w:t xml:space="preserve">which yields the contribution of excess mortality at age</w:t>
      </w:r>
      <w:r>
        <w:t xml:space="preserve"> </w:t>
      </w:r>
      <m:oMath>
        <m:r>
          <m:t>x</m:t>
        </m:r>
      </m:oMath>
      <w:r>
        <w:t xml:space="preserve"> </w:t>
      </w:r>
      <w:r>
        <w:t xml:space="preserve">to the overall life expectancy deficit:</w:t>
      </w:r>
    </w:p>
    <w:p>
      <w:pPr>
        <w:pStyle w:val="BodyText"/>
      </w:pPr>
      <m:oMathPara>
        <m:oMathParaPr>
          <m:jc m:val="center"/>
        </m:oMathParaPr>
        <m:oMath>
          <m:sSub>
            <m:e>
              <m:r>
                <m:t>​</m:t>
              </m:r>
            </m:e>
            <m:sub>
              <m:r>
                <m:t>n</m:t>
              </m:r>
            </m:sub>
          </m:sSub>
          <m:sSubSup>
            <m:e>
              <m:r>
                <m:t>Δ</m:t>
              </m:r>
            </m:e>
            <m:sub>
              <m:r>
                <m:t>x</m:t>
              </m:r>
            </m:sub>
            <m:sup>
              <m:sSub>
                <m:e>
                  <m:r>
                    <m:t>e</m:t>
                  </m:r>
                </m:e>
                <m:sub>
                  <m:r>
                    <m:t>0</m:t>
                  </m:r>
                </m:sub>
              </m:sSub>
            </m:sup>
          </m:sSubSup>
          <m:r>
            <m:rPr>
              <m:sty m:val="p"/>
            </m:rPr>
            <m:t>=</m:t>
          </m:r>
          <m:sSub>
            <m:e>
              <m:r>
                <m:t>​</m:t>
              </m:r>
            </m:e>
            <m:sub>
              <m:r>
                <m:t>n</m:t>
              </m:r>
            </m:sub>
          </m:sSub>
          <m:sSub>
            <m:e>
              <m:r>
                <m:rPr>
                  <m:sty m:val="p"/>
                </m:rPr>
                <m:t>D</m:t>
              </m:r>
              <m:r>
                <m:rPr>
                  <m:sty m:val="p"/>
                </m:rPr>
                <m:t>E</m:t>
              </m:r>
            </m:e>
            <m:sub>
              <m:r>
                <m:t>x</m:t>
              </m:r>
            </m:sub>
          </m:sSub>
          <m:r>
            <m:rPr>
              <m:sty m:val="p"/>
            </m:rPr>
            <m:t>+</m:t>
          </m:r>
          <m:sSub>
            <m:e>
              <m:r>
                <m:t>​</m:t>
              </m:r>
            </m:e>
            <m:sub>
              <m:r>
                <m:t>n</m:t>
              </m:r>
            </m:sub>
          </m:sSub>
          <m:sSub>
            <m:e>
              <m:r>
                <m:rPr>
                  <m:sty m:val="p"/>
                </m:rPr>
                <m:t>I</m:t>
              </m:r>
              <m:r>
                <m:rPr>
                  <m:sty m:val="p"/>
                </m:rPr>
                <m:t>E</m:t>
              </m:r>
            </m:e>
            <m:sub>
              <m:r>
                <m:t>x</m:t>
              </m:r>
            </m:sub>
          </m:sSub>
          <m:r>
            <m:rPr>
              <m:sty m:val="p"/>
            </m:rPr>
            <m:t>.</m:t>
          </m:r>
        </m:oMath>
      </m:oMathPara>
    </w:p>
    <w:bookmarkEnd w:id="58"/>
    <w:bookmarkStart w:id="65" w:name="alternative-measures-of-excess-mortality"/>
    <w:p>
      <w:pPr>
        <w:pStyle w:val="Heading1"/>
      </w:pPr>
      <w:r>
        <w:t xml:space="preserve">Alternative measures of excess mortality</w:t>
      </w:r>
      <w:r>
        <w:t xml:space="preserve"> </w:t>
      </w:r>
      <w:r>
        <w:rPr>
          <w:rStyle w:val="FootnoteReference"/>
        </w:rPr>
        <w:footnoteReference w:id="59"/>
      </w:r>
    </w:p>
    <w:p>
      <w:pPr>
        <w:pStyle w:val="BodyText"/>
      </w:pPr>
      <w:r>
        <w:t xml:space="preserve">In addition to the life expectancy deficit we calculate alternative measures of excess mortality as a sensitivity check.</w:t>
      </w:r>
    </w:p>
    <w:p>
      <w:pPr>
        <w:pStyle w:val="BodyText"/>
      </w:pPr>
      <w:r>
        <w:t xml:space="preserve">Excess deaths are the difference between actual and expected deaths,</w:t>
      </w:r>
    </w:p>
    <w:p>
      <w:pPr>
        <w:pStyle w:val="BodyText"/>
      </w:pPr>
      <m:oMathPara>
        <m:oMathParaPr>
          <m:jc m:val="center"/>
        </m:oMathParaPr>
        <m:oMath>
          <m:sSub>
            <m:e>
              <m:r>
                <m:rPr>
                  <m:sty m:val="p"/>
                </m:rPr>
                <m:t>E</m:t>
              </m:r>
              <m:r>
                <m:rPr>
                  <m:sty m:val="p"/>
                </m:rPr>
                <m:t>x</m:t>
              </m:r>
              <m:r>
                <m:rPr>
                  <m:sty m:val="p"/>
                </m:rPr>
                <m:t>c</m:t>
              </m:r>
              <m:r>
                <m:rPr>
                  <m:sty m:val="p"/>
                </m:rPr>
                <m:t>e</m:t>
              </m:r>
              <m:r>
                <m:rPr>
                  <m:sty m:val="p"/>
                </m:rPr>
                <m:t>s</m:t>
              </m:r>
              <m:r>
                <m:rPr>
                  <m:sty m:val="p"/>
                </m:rPr>
                <m:t>s</m:t>
              </m:r>
            </m:e>
            <m:sub>
              <m:r>
                <m:t>x</m:t>
              </m:r>
            </m:sub>
          </m:sSub>
          <m:r>
            <m:rPr>
              <m:sty m:val="p"/>
            </m:rPr>
            <m:t>=</m:t>
          </m:r>
          <m:sSubSup>
            <m:e>
              <m:r>
                <m:t>d</m:t>
              </m:r>
            </m:e>
            <m:sub>
              <m:r>
                <m:t>x</m:t>
              </m:r>
            </m:sub>
            <m:sup>
              <m:r>
                <m:rPr>
                  <m:sty m:val="p"/>
                </m:rPr>
                <m:t>a</m:t>
              </m:r>
              <m:r>
                <m:rPr>
                  <m:sty m:val="p"/>
                </m:rPr>
                <m:t>c</m:t>
              </m:r>
              <m:r>
                <m:rPr>
                  <m:sty m:val="p"/>
                </m:rPr>
                <m:t>t</m:t>
              </m:r>
              <m:r>
                <m:rPr>
                  <m:sty m:val="p"/>
                </m:rPr>
                <m:t>u</m:t>
              </m:r>
              <m:r>
                <m:rPr>
                  <m:sty m:val="p"/>
                </m:rPr>
                <m:t>a</m:t>
              </m:r>
              <m:r>
                <m:rPr>
                  <m:sty m:val="p"/>
                </m:rPr>
                <m:t>l</m:t>
              </m:r>
            </m:sup>
          </m:sSubSup>
          <m:r>
            <m:rPr>
              <m:sty m:val="p"/>
            </m:rPr>
            <m:t>−</m:t>
          </m:r>
          <m:sSubSup>
            <m:e>
              <m:r>
                <m:t>d</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oMath>
      </m:oMathPara>
    </w:p>
    <w:p>
      <w:pPr>
        <w:pStyle w:val="FirstParagraph"/>
      </w:pPr>
      <w:r>
        <w:t xml:space="preserve">and can be turned into the P-score</w:t>
      </w:r>
      <w:r>
        <w:t xml:space="preserve"> </w:t>
      </w:r>
      <w:r>
        <w:t xml:space="preserve">by aggregating over age and expressing them as a ratio to total expected deaths,</w:t>
      </w:r>
    </w:p>
    <w:p>
      <w:pPr>
        <w:pStyle w:val="BodyText"/>
      </w:pPr>
      <m:oMathPara>
        <m:oMathParaPr>
          <m:jc m:val="center"/>
        </m:oMathParaPr>
        <m:oMath>
          <m:r>
            <m:rPr>
              <m:sty m:val="p"/>
            </m:rPr>
            <m:t>P</m:t>
          </m:r>
          <m:r>
            <m:rPr>
              <m:sty m:val="p"/>
            </m:rPr>
            <m:t>s</m:t>
          </m:r>
          <m:r>
            <m:rPr>
              <m:sty m:val="p"/>
            </m:rPr>
            <m:t>c</m:t>
          </m:r>
          <m:r>
            <m:rPr>
              <m:sty m:val="p"/>
            </m:rPr>
            <m:t>o</m:t>
          </m:r>
          <m:r>
            <m:rPr>
              <m:sty m:val="p"/>
            </m:rPr>
            <m:t>r</m:t>
          </m:r>
          <m:r>
            <m:rPr>
              <m:sty m:val="p"/>
            </m:rPr>
            <m:t>e</m:t>
          </m:r>
          <m:r>
            <m:rPr>
              <m:sty m:val="p"/>
            </m:rPr>
            <m:t>=</m:t>
          </m:r>
          <m:nary>
            <m:naryPr>
              <m:chr m:val="∑"/>
              <m:limLoc m:val="undOvr"/>
              <m:subHide m:val="off"/>
              <m:supHide m:val="on"/>
            </m:naryPr>
            <m:sub>
              <m:r>
                <m:t>x</m:t>
              </m:r>
            </m:sub>
            <m:sup>
              <m:r>
                <m:t>​</m:t>
              </m:r>
            </m:sup>
            <m:e>
              <m:f>
                <m:fPr>
                  <m:type m:val="bar"/>
                </m:fPr>
                <m:num>
                  <m:sSub>
                    <m:e>
                      <m:r>
                        <m:rPr>
                          <m:sty m:val="p"/>
                        </m:rPr>
                        <m:t>E</m:t>
                      </m:r>
                      <m:r>
                        <m:rPr>
                          <m:sty m:val="p"/>
                        </m:rPr>
                        <m:t>x</m:t>
                      </m:r>
                      <m:r>
                        <m:rPr>
                          <m:sty m:val="p"/>
                        </m:rPr>
                        <m:t>c</m:t>
                      </m:r>
                      <m:r>
                        <m:rPr>
                          <m:sty m:val="p"/>
                        </m:rPr>
                        <m:t>e</m:t>
                      </m:r>
                      <m:r>
                        <m:rPr>
                          <m:sty m:val="p"/>
                        </m:rPr>
                        <m:t>s</m:t>
                      </m:r>
                      <m:r>
                        <m:rPr>
                          <m:sty m:val="p"/>
                        </m:rPr>
                        <m:t>s</m:t>
                      </m:r>
                    </m:e>
                    <m:sub>
                      <m:r>
                        <m:t>x</m:t>
                      </m:r>
                    </m:sub>
                  </m:sSub>
                </m:num>
                <m:den>
                  <m:sSubSup>
                    <m:e>
                      <m:r>
                        <m:t>d</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den>
              </m:f>
            </m:e>
          </m:nary>
          <m:r>
            <m:rPr>
              <m:sty m:val="p"/>
            </m:rPr>
            <m:t>.</m:t>
          </m:r>
        </m:oMath>
      </m:oMathPara>
    </w:p>
    <w:p>
      <w:pPr>
        <w:pStyle w:val="FirstParagraph"/>
      </w:pPr>
      <w:r>
        <w:t xml:space="preserve">The mean unfulfilled lifespan (MUL,</w:t>
      </w:r>
      <w:r>
        <w:t xml:space="preserve"> </w:t>
      </w:r>
      <w:r>
        <w:t xml:space="preserve">), like the life expectancy deficit, is based on counterfactual life expectancies. MUL is defined as the difference between the average age at death during some period and the average expected age at death under counterfactual mortality conditions.</w:t>
      </w:r>
    </w:p>
    <w:p>
      <w:pPr>
        <w:pStyle w:val="BodyText"/>
      </w:pPr>
      <m:oMathPara>
        <m:oMathParaPr>
          <m:jc m:val="center"/>
        </m:oMathParaPr>
        <m:oMath>
          <m:r>
            <m:rPr>
              <m:sty m:val="p"/>
            </m:rPr>
            <m:t>M</m:t>
          </m:r>
          <m:r>
            <m:rPr>
              <m:sty m:val="p"/>
            </m:rPr>
            <m:t>U</m:t>
          </m:r>
          <m:r>
            <m:rPr>
              <m:sty m:val="p"/>
            </m:rPr>
            <m:t>L</m:t>
          </m:r>
          <m:r>
            <m:rPr>
              <m:sty m:val="p"/>
            </m:rPr>
            <m:t>=</m:t>
          </m:r>
          <m:f>
            <m:fPr>
              <m:type m:val="bar"/>
            </m:fPr>
            <m:num>
              <m:r>
                <m:t>1</m:t>
              </m:r>
            </m:num>
            <m:den>
              <m:nary>
                <m:naryPr>
                  <m:chr m:val="∑"/>
                  <m:limLoc m:val="undOvr"/>
                  <m:subHide m:val="off"/>
                  <m:supHide m:val="on"/>
                </m:naryPr>
                <m:sub>
                  <m:r>
                    <m:t>x</m:t>
                  </m:r>
                </m:sub>
                <m:sup>
                  <m:r>
                    <m:t>​</m:t>
                  </m:r>
                </m:sup>
                <m:e>
                  <m:sSubSup>
                    <m:e>
                      <m:r>
                        <m:t>d</m:t>
                      </m:r>
                    </m:e>
                    <m:sub>
                      <m:r>
                        <m:t>x</m:t>
                      </m:r>
                    </m:sub>
                    <m:sup>
                      <m:r>
                        <m:rPr>
                          <m:sty m:val="p"/>
                        </m:rPr>
                        <m:t>a</m:t>
                      </m:r>
                      <m:r>
                        <m:rPr>
                          <m:sty m:val="p"/>
                        </m:rPr>
                        <m:t>c</m:t>
                      </m:r>
                      <m:r>
                        <m:rPr>
                          <m:sty m:val="p"/>
                        </m:rPr>
                        <m:t>t</m:t>
                      </m:r>
                      <m:r>
                        <m:rPr>
                          <m:sty m:val="p"/>
                        </m:rPr>
                        <m:t>u</m:t>
                      </m:r>
                      <m:r>
                        <m:rPr>
                          <m:sty m:val="p"/>
                        </m:rPr>
                        <m:t>a</m:t>
                      </m:r>
                      <m:r>
                        <m:rPr>
                          <m:sty m:val="p"/>
                        </m:rPr>
                        <m:t>l</m:t>
                      </m:r>
                    </m:sup>
                  </m:sSubSup>
                </m:e>
              </m:nary>
            </m:den>
          </m:f>
          <m:nary>
            <m:naryPr>
              <m:chr m:val="∑"/>
              <m:limLoc m:val="undOvr"/>
              <m:subHide m:val="off"/>
              <m:supHide m:val="on"/>
            </m:naryPr>
            <m:sub>
              <m:r>
                <m:t>x</m:t>
              </m:r>
            </m:sub>
            <m:sup>
              <m:r>
                <m:t>​</m:t>
              </m:r>
            </m:sup>
            <m:e>
              <m:sSub>
                <m:e>
                  <m:r>
                    <m:rPr>
                      <m:sty m:val="p"/>
                    </m:rPr>
                    <m:t>E</m:t>
                  </m:r>
                  <m:r>
                    <m:rPr>
                      <m:sty m:val="p"/>
                    </m:rPr>
                    <m:t>x</m:t>
                  </m:r>
                  <m:r>
                    <m:rPr>
                      <m:sty m:val="p"/>
                    </m:rPr>
                    <m:t>c</m:t>
                  </m:r>
                  <m:r>
                    <m:rPr>
                      <m:sty m:val="p"/>
                    </m:rPr>
                    <m:t>e</m:t>
                  </m:r>
                  <m:r>
                    <m:rPr>
                      <m:sty m:val="p"/>
                    </m:rPr>
                    <m:t>s</m:t>
                  </m:r>
                  <m:r>
                    <m:rPr>
                      <m:sty m:val="p"/>
                    </m:rPr>
                    <m:t>s</m:t>
                  </m:r>
                </m:e>
                <m:sub>
                  <m:r>
                    <m:t>x</m:t>
                  </m:r>
                </m:sub>
              </m:sSub>
            </m:e>
          </m:nary>
          <m:r>
            <m:rPr>
              <m:sty m:val="p"/>
            </m:rPr>
            <m:t>⋅</m:t>
          </m:r>
          <m:sSubSup>
            <m:e>
              <m:r>
                <m:t>e</m:t>
              </m:r>
            </m:e>
            <m:sub>
              <m:r>
                <m:t>x</m:t>
              </m:r>
            </m:sub>
            <m:sup>
              <m:r>
                <m:rPr>
                  <m:sty m:val="p"/>
                </m:rPr>
                <m:t>e</m:t>
              </m:r>
              <m:r>
                <m:rPr>
                  <m:sty m:val="p"/>
                </m:rPr>
                <m:t>x</m:t>
              </m:r>
              <m:r>
                <m:rPr>
                  <m:sty m:val="p"/>
                </m:rPr>
                <m:t>p</m:t>
              </m:r>
              <m:r>
                <m:rPr>
                  <m:sty m:val="p"/>
                </m:rPr>
                <m:t>e</m:t>
              </m:r>
              <m:r>
                <m:rPr>
                  <m:sty m:val="p"/>
                </m:rPr>
                <m:t>c</m:t>
              </m:r>
              <m:r>
                <m:rPr>
                  <m:sty m:val="p"/>
                </m:rPr>
                <m:t>t</m:t>
              </m:r>
              <m:r>
                <m:rPr>
                  <m:sty m:val="p"/>
                </m:rPr>
                <m:t>e</m:t>
              </m:r>
              <m:r>
                <m:rPr>
                  <m:sty m:val="p"/>
                </m:rPr>
                <m:t>d</m:t>
              </m:r>
            </m:sup>
          </m:sSubSup>
          <m:r>
            <m:rPr>
              <m:sty m:val="p"/>
            </m:rPr>
            <m:t>.</m:t>
          </m:r>
        </m:oMath>
      </m:oMathPara>
    </w:p>
    <w:p>
      <w:pPr>
        <w:pStyle w:val="FirstParagraph"/>
      </w:pPr>
      <w:r>
        <w:t xml:space="preserve">Figure</w:t>
      </w:r>
      <w:r>
        <w:t xml:space="preserve"> </w:t>
      </w:r>
      <w:hyperlink w:anchor="fig:excessmeasures">
        <w:r>
          <w:rPr>
            <w:rStyle w:val="Hyperlink"/>
          </w:rPr>
          <w:t xml:space="preserve">4</w:t>
        </w:r>
      </w:hyperlink>
      <w:r>
        <w:t xml:space="preserve"> </w:t>
      </w:r>
      <w:r>
        <w:t xml:space="preserve">shows a comparison of the three measures with each other actoss countries.</w:t>
      </w:r>
    </w:p>
    <w:bookmarkStart w:id="64" w:name="fig:excessmeasures"/>
    <w:p>
      <w:pPr>
        <w:pStyle w:val="CaptionedFigure"/>
      </w:pPr>
      <w:r>
        <w:drawing>
          <wp:inline>
            <wp:extent cx="3810000" cy="2540000"/>
            <wp:effectExtent b="0" l="0" r="0" t="0"/>
            <wp:docPr descr="" title="" id="62" name="Picture"/>
            <a:graphic>
              <a:graphicData uri="http://schemas.openxmlformats.org/drawingml/2006/picture">
                <pic:pic>
                  <pic:nvPicPr>
                    <pic:cNvPr descr="92-excessmeasures20_24.pdf" id="63"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Cross-country comparison of alternative excess mortality measures for the period 2020-2024. A) Life expectancy deficit vs. mean unfulfilled lifespan, B) Country ranking of life expectancy deficit vs. P-score, C) Country ranking of mean unfulfilled lifespan vs. P-score.</w:t>
      </w:r>
    </w:p>
    <w:bookmarkEnd w:id="64"/>
    <w:bookmarkEnd w:id="65"/>
    <w:bookmarkStart w:id="72" w:name="benchmark-tests"/>
    <w:p>
      <w:pPr>
        <w:pStyle w:val="Heading1"/>
      </w:pPr>
      <w:r>
        <w:t xml:space="preserve">Benchmark tests</w:t>
      </w:r>
      <w:r>
        <w:t xml:space="preserve"> </w:t>
      </w:r>
      <w:r>
        <w:rPr>
          <w:rStyle w:val="FootnoteReference"/>
        </w:rPr>
        <w:footnoteReference w:id="66"/>
      </w:r>
    </w:p>
    <w:bookmarkStart w:id="71" w:name="fig:benchmark"/>
    <w:p>
      <w:pPr>
        <w:pStyle w:val="CaptionedFigure"/>
      </w:pPr>
      <w:r>
        <w:drawing>
          <wp:inline>
            <wp:extent cx="3810000" cy="2540000"/>
            <wp:effectExtent b="0" l="0" r="0" t="0"/>
            <wp:docPr descr="" title="" id="69" name="Picture"/>
            <a:graphic>
              <a:graphicData uri="http://schemas.openxmlformats.org/drawingml/2006/picture">
                <pic:pic>
                  <pic:nvPicPr>
                    <pic:cNvPr descr="91-e0benchmark.pdf" id="70" name="Picture"/>
                    <pic:cNvPicPr>
                      <a:picLocks noChangeArrowheads="1" noChangeAspect="1"/>
                    </pic:cNvPicPr>
                  </pic:nvPicPr>
                  <pic:blipFill>
                    <a:blip r:embed="rId6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Comparison of our life expectancy estimates with past estimates by Eurostat and the Human Mortality Database.</w:t>
      </w:r>
    </w:p>
    <w:bookmarkEnd w:id="71"/>
    <w:bookmarkEnd w:id="72"/>
    <w:bookmarkStart w:id="89" w:name="X5f214270659d13ba3091128100ecc1e81e40cdd"/>
    <w:p>
      <w:pPr>
        <w:pStyle w:val="Heading1"/>
      </w:pPr>
      <w:r>
        <w:t xml:space="preserve">Sensitivity of results to choice of fitting period</w:t>
      </w:r>
    </w:p>
    <w:p>
      <w:pPr>
        <w:pStyle w:val="FirstParagraph"/>
      </w:pPr>
      <w:r>
        <w:t xml:space="preserve">As a robustness check we re-calculated key results in our paper under a 10 year fitting period for the counterfactual life expectancy. Key results remain robust under either 10 or 20 years of fitting while the existence of significant life expectancy deficits in 2024 changes for some countries.</w:t>
      </w:r>
    </w:p>
    <w:p>
      <w:pPr>
        <w:pStyle w:val="BodyText"/>
      </w:pPr>
      <w:r>
        <w:t xml:space="preserve">The cluster assignment under the hierarchical clustering algorithm is perfectly robust against changes in the fitting period with identical clusters identified under either analysis. Visually, the salient features of each cluster remain robust. A 10 year fitting period yields slightly lower life expectancy deficits 2020-24 compared to the longer fit (see Figures</w:t>
      </w:r>
      <w:r>
        <w:t xml:space="preserve"> </w:t>
      </w:r>
      <w:hyperlink w:anchor="fig:deficit20y">
        <w:r>
          <w:rPr>
            <w:rStyle w:val="Hyperlink"/>
          </w:rPr>
          <w:t xml:space="preserve">6</w:t>
        </w:r>
      </w:hyperlink>
      <w:r>
        <w:t xml:space="preserve"> </w:t>
      </w:r>
      <w:r>
        <w:t xml:space="preserve">and</w:t>
      </w:r>
      <w:r>
        <w:t xml:space="preserve"> </w:t>
      </w:r>
      <w:hyperlink w:anchor="fig:deficit10y">
        <w:r>
          <w:rPr>
            <w:rStyle w:val="Hyperlink"/>
          </w:rPr>
          <w:t xml:space="preserve">7</w:t>
        </w:r>
      </w:hyperlink>
      <w:r>
        <w:t xml:space="preserve">).</w:t>
      </w:r>
    </w:p>
    <w:bookmarkStart w:id="76" w:name="fig:deficit20y"/>
    <w:p>
      <w:pPr>
        <w:pStyle w:val="CaptionedFigure"/>
      </w:pPr>
      <w:r>
        <w:drawing>
          <wp:inline>
            <wp:extent cx="3810000" cy="2540000"/>
            <wp:effectExtent b="0" l="0" r="0" t="0"/>
            <wp:docPr descr="" title="" id="74" name="Picture"/>
            <a:graphic>
              <a:graphicData uri="http://schemas.openxmlformats.org/drawingml/2006/picture">
                <pic:pic>
                  <pic:nvPicPr>
                    <pic:cNvPr descr="60-e0deficittypology_20y_fitting_window.pdf" id="75" name="Picture"/>
                    <pic:cNvPicPr>
                      <a:picLocks noChangeArrowheads="1" noChangeAspect="1"/>
                    </pic:cNvPicPr>
                  </pic:nvPicPr>
                  <pic:blipFill>
                    <a:blip r:embed="rId7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Deficit typology under 20 year Lee-Carter fitting period.</w:t>
      </w:r>
    </w:p>
    <w:bookmarkEnd w:id="76"/>
    <w:bookmarkStart w:id="80" w:name="fig:deficit10y"/>
    <w:p>
      <w:pPr>
        <w:pStyle w:val="CaptionedFigure"/>
      </w:pPr>
      <w:r>
        <w:drawing>
          <wp:inline>
            <wp:extent cx="3810000" cy="2540000"/>
            <wp:effectExtent b="0" l="0" r="0" t="0"/>
            <wp:docPr descr="" title="" id="78" name="Picture"/>
            <a:graphic>
              <a:graphicData uri="http://schemas.openxmlformats.org/drawingml/2006/picture">
                <pic:pic>
                  <pic:nvPicPr>
                    <pic:cNvPr descr="60-e0deficittypology_10y_fitting_window.pdf"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Deficit typology under 10 year Lee-Carter fitting period.</w:t>
      </w:r>
    </w:p>
    <w:bookmarkEnd w:id="80"/>
    <w:p>
      <w:pPr>
        <w:pStyle w:val="BodyText"/>
      </w:pPr>
      <w:r>
        <w:t xml:space="preserve">Under a 20 year fitting period we estimated 12 countries (AT, CL, DK, FI, GB-NIR, GR, IL, JP, NL, NO, TW, US) with a significant (</w:t>
      </w:r>
      <m:oMath>
        <m:r>
          <m:t>p</m:t>
        </m:r>
        <m:r>
          <m:rPr>
            <m:sty m:val="p"/>
          </m:rPr>
          <m:t>&lt;</m:t>
        </m:r>
        <m:r>
          <m:t>0.05</m:t>
        </m:r>
      </m:oMath>
      <w:r>
        <w:t xml:space="preserve">) life expectancy deficit in 2024 compared to 9 (CL, DK, FI, GB-NIR, IL, JP, NL, NO, TW) under a 10 year fit.</w:t>
      </w:r>
    </w:p>
    <w:p>
      <w:pPr>
        <w:pStyle w:val="BodyText"/>
      </w:pPr>
      <w:r>
        <w:t xml:space="preserve">The US are uniquely sensitive to the choice of fitting period due to a period of life expectancy stagnation pre-2020. A 10 year fitting window continues the flat trajectory, leading to lower life expectancy deficits, whereas a 20 year fitting window extrapolates a longer term trend of slight life expectancy increase. As a result the finding that the US had the highest deficit overall is not robust (see Figures</w:t>
      </w:r>
      <w:r>
        <w:t xml:space="preserve"> </w:t>
      </w:r>
      <w:hyperlink w:anchor="fig:annualdeficit20y">
        <w:r>
          <w:rPr>
            <w:rStyle w:val="Hyperlink"/>
          </w:rPr>
          <w:t xml:space="preserve">8</w:t>
        </w:r>
      </w:hyperlink>
      <w:r>
        <w:t xml:space="preserve"> </w:t>
      </w:r>
      <w:r>
        <w:t xml:space="preserve">and</w:t>
      </w:r>
      <w:r>
        <w:t xml:space="preserve"> </w:t>
      </w:r>
      <w:hyperlink w:anchor="fig:annualdeficit10y">
        <w:r>
          <w:rPr>
            <w:rStyle w:val="Hyperlink"/>
          </w:rPr>
          <w:t xml:space="preserve">9</w:t>
        </w:r>
      </w:hyperlink>
      <w:r>
        <w:t xml:space="preserve">).</w:t>
      </w:r>
    </w:p>
    <w:bookmarkStart w:id="84" w:name="fig:annualdeficit20y"/>
    <w:p>
      <w:pPr>
        <w:pStyle w:val="CaptionedFigure"/>
      </w:pPr>
      <w:r>
        <w:drawing>
          <wp:inline>
            <wp:extent cx="3810000" cy="2540000"/>
            <wp:effectExtent b="0" l="0" r="0" t="0"/>
            <wp:docPr descr="" title="" id="82" name="Picture"/>
            <a:graphic>
              <a:graphicData uri="http://schemas.openxmlformats.org/drawingml/2006/picture">
                <pic:pic>
                  <pic:nvPicPr>
                    <pic:cNvPr descr="61-e0deficitbyyear_total_20y_fitting_windows.pdf" id="83" name="Picture"/>
                    <pic:cNvPicPr>
                      <a:picLocks noChangeArrowheads="1" noChangeAspect="1"/>
                    </pic:cNvPicPr>
                  </pic:nvPicPr>
                  <pic:blipFill>
                    <a:blip r:embed="rId8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Annual life expectancy deficits under 20 year Lee-Carter fitting period.</w:t>
      </w:r>
    </w:p>
    <w:bookmarkEnd w:id="84"/>
    <w:bookmarkStart w:id="88" w:name="fig:annualdeficit10y"/>
    <w:p>
      <w:pPr>
        <w:pStyle w:val="CaptionedFigure"/>
      </w:pPr>
      <w:r>
        <w:drawing>
          <wp:inline>
            <wp:extent cx="3810000" cy="2540000"/>
            <wp:effectExtent b="0" l="0" r="0" t="0"/>
            <wp:docPr descr="" title="" id="86" name="Picture"/>
            <a:graphic>
              <a:graphicData uri="http://schemas.openxmlformats.org/drawingml/2006/picture">
                <pic:pic>
                  <pic:nvPicPr>
                    <pic:cNvPr descr="61-e0deficitbyyear_total_10y_fitting_windows.pdf" id="87" name="Picture"/>
                    <pic:cNvPicPr>
                      <a:picLocks noChangeArrowheads="1" noChangeAspect="1"/>
                    </pic:cNvPicPr>
                  </pic:nvPicPr>
                  <pic:blipFill>
                    <a:blip r:embed="rId8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Annual life expectancy deficits under 10 year Lee-Carter fitting period.</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VerbatimChar"/>
          </w:rPr>
          <w:t xml:space="preserve">github.com/jschoeley/e0deficit/blob/main/src/12-download_death.R</w:t>
        </w:r>
      </w:hyperlink>
      <w:r>
        <w:t xml:space="preserve"> </w:t>
      </w:r>
      <w:hyperlink r:id="rId24">
        <w:r>
          <w:rPr>
            <w:rStyle w:val="VerbatimChar"/>
          </w:rPr>
          <w:t xml:space="preserve">github.com/jschoeley/e0deficit/blob/main/src/11-download_population_and_rates.R</w:t>
        </w:r>
      </w:hyperlink>
    </w:p>
  </w:footnote>
  <w:footnote w:id="27">
    <w:p>
      <w:pPr>
        <w:pStyle w:val="FootnoteText"/>
      </w:pPr>
      <w:r>
        <w:rPr>
          <w:rStyle w:val="FootnoteReference"/>
        </w:rPr>
        <w:footnoteRef/>
      </w:r>
      <w:r>
        <w:t xml:space="preserve"> </w:t>
      </w:r>
      <w:hyperlink r:id="rId28">
        <w:r>
          <w:rPr>
            <w:rStyle w:val="VerbatimChar"/>
          </w:rPr>
          <w:t xml:space="preserve">https://github.com/jschoeley/e0deficit/blob/main/src/21-harmonize_death_with_exposures.R</w:t>
        </w:r>
      </w:hyperlink>
    </w:p>
  </w:footnote>
  <w:footnote w:id="32">
    <w:p>
      <w:pPr>
        <w:pStyle w:val="FootnoteText"/>
      </w:pPr>
      <w:r>
        <w:rPr>
          <w:rStyle w:val="FootnoteReference"/>
        </w:rPr>
        <w:footnoteRef/>
      </w:r>
      <w:r>
        <w:t xml:space="preserve"> </w:t>
      </w:r>
      <w:hyperlink r:id="rId33">
        <w:r>
          <w:rPr>
            <w:rStyle w:val="VerbatimChar"/>
          </w:rPr>
          <w:t xml:space="preserve">https://github.com/jschoeley/e0deficit/blob/main/src/31-rate_bias_correction.R</w:t>
        </w:r>
      </w:hyperlink>
    </w:p>
  </w:footnote>
  <w:footnote w:id="43">
    <w:p>
      <w:pPr>
        <w:pStyle w:val="FootnoteText"/>
      </w:pPr>
      <w:r>
        <w:rPr>
          <w:rStyle w:val="FootnoteReference"/>
        </w:rPr>
        <w:footnoteRef/>
      </w:r>
      <w:r>
        <w:t xml:space="preserve"> </w:t>
      </w:r>
      <w:hyperlink r:id="rId44">
        <w:r>
          <w:rPr>
            <w:rStyle w:val="VerbatimChar"/>
          </w:rPr>
          <w:t xml:space="preserve">https://github.com/jschoeley/e0deficit/blob/main/src/40-counterfactual_projection.R</w:t>
        </w:r>
      </w:hyperlink>
    </w:p>
  </w:footnote>
  <w:footnote w:id="46">
    <w:p>
      <w:pPr>
        <w:pStyle w:val="FootnoteText"/>
      </w:pPr>
      <w:r>
        <w:rPr>
          <w:rStyle w:val="FootnoteReference"/>
        </w:rPr>
        <w:footnoteRef/>
      </w:r>
      <w:r>
        <w:t xml:space="preserve"> </w:t>
      </w:r>
      <w:hyperlink r:id="rId47">
        <w:r>
          <w:rPr>
            <w:rStyle w:val="VerbatimChar"/>
          </w:rPr>
          <w:t xml:space="preserve">https://github.com/jschoeley/e0deficit/blob/main/src/50-estimation_and_inference.R</w:t>
        </w:r>
      </w:hyperlink>
    </w:p>
  </w:footnote>
  <w:footnote w:id="53">
    <w:p>
      <w:pPr>
        <w:pStyle w:val="FootnoteText"/>
      </w:pPr>
      <w:r>
        <w:rPr>
          <w:rStyle w:val="FootnoteReference"/>
        </w:rPr>
        <w:footnoteRef/>
      </w:r>
      <w:r>
        <w:t xml:space="preserve"> </w:t>
      </w:r>
      <w:hyperlink r:id="rId54">
        <w:r>
          <w:rPr>
            <w:rStyle w:val="VerbatimChar"/>
          </w:rPr>
          <w:t xml:space="preserve">https://github.com/jschoeley/e0deficit/blob/main/src/51-assign_clusters.R</w:t>
        </w:r>
      </w:hyperlink>
    </w:p>
  </w:footnote>
  <w:footnote w:id="57">
    <w:p>
      <w:pPr>
        <w:pStyle w:val="FootnoteText"/>
      </w:pPr>
      <w:r>
        <w:rPr>
          <w:rStyle w:val="FootnoteReference"/>
        </w:rPr>
        <w:footnoteRef/>
      </w:r>
      <w:r>
        <w:t xml:space="preserve"> </w:t>
      </w:r>
      <w:hyperlink r:id="rId47">
        <w:r>
          <w:rPr>
            <w:rStyle w:val="VerbatimChar"/>
          </w:rPr>
          <w:t xml:space="preserve">https://github.com/jschoeley/e0deficit/blob/main/src/50-estimation_and_inference.R</w:t>
        </w:r>
      </w:hyperlink>
    </w:p>
  </w:footnote>
  <w:footnote w:id="59">
    <w:p>
      <w:pPr>
        <w:pStyle w:val="FootnoteText"/>
      </w:pPr>
      <w:r>
        <w:rPr>
          <w:rStyle w:val="FootnoteReference"/>
        </w:rPr>
        <w:footnoteRef/>
      </w:r>
      <w:r>
        <w:t xml:space="preserve"> </w:t>
      </w:r>
      <w:hyperlink r:id="rId60">
        <w:r>
          <w:rPr>
            <w:rStyle w:val="VerbatimChar"/>
          </w:rPr>
          <w:t xml:space="preserve">https://github.com/jschoeley/e0deficit/blob/main/src/92-sensitivity_check_excess_measures.R</w:t>
        </w:r>
      </w:hyperlink>
    </w:p>
  </w:footnote>
  <w:footnote w:id="66">
    <w:p>
      <w:pPr>
        <w:pStyle w:val="FootnoteText"/>
      </w:pPr>
      <w:r>
        <w:rPr>
          <w:rStyle w:val="FootnoteReference"/>
        </w:rPr>
        <w:footnoteRef/>
      </w:r>
      <w:r>
        <w:t xml:space="preserve"> </w:t>
      </w:r>
      <w:hyperlink r:id="rId67">
        <w:r>
          <w:rPr>
            <w:rStyle w:val="VerbatimChar"/>
          </w:rPr>
          <w:t xml:space="preserve">https://github.com/jschoeley/e0deficit/blob/main/src/91-benchmark_check_e0.R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48" Target="media/rId48.pdf" /><Relationship Type="http://schemas.openxmlformats.org/officeDocument/2006/relationships/image" Id="rId77" Target="media/rId77.pdf" /><Relationship Type="http://schemas.openxmlformats.org/officeDocument/2006/relationships/image" Id="rId73" Target="media/rId73.pdf" /><Relationship Type="http://schemas.openxmlformats.org/officeDocument/2006/relationships/image" Id="rId85" Target="media/rId85.pdf" /><Relationship Type="http://schemas.openxmlformats.org/officeDocument/2006/relationships/image" Id="rId81" Target="media/rId81.pdf" /><Relationship Type="http://schemas.openxmlformats.org/officeDocument/2006/relationships/image" Id="rId68" Target="media/rId68.pdf" /><Relationship Type="http://schemas.openxmlformats.org/officeDocument/2006/relationships/image" Id="rId61" Target="media/rId61.pdf" /><Relationship Type="http://schemas.openxmlformats.org/officeDocument/2006/relationships/hyperlink" Id="rId20" Target="https://github.com/jschoeley/e0deficit" TargetMode="External" /><Relationship Type="http://schemas.openxmlformats.org/officeDocument/2006/relationships/hyperlink" Id="rId24" Target="https://github.com/jschoeley/e0deficit/blob/main/src/11-download_population_and_rates.R" TargetMode="External" /><Relationship Type="http://schemas.openxmlformats.org/officeDocument/2006/relationships/hyperlink" Id="rId23" Target="https://github.com/jschoeley/e0deficit/blob/main/src/12-download_death.R" TargetMode="External" /><Relationship Type="http://schemas.openxmlformats.org/officeDocument/2006/relationships/hyperlink" Id="rId28" Target="https://github.com/jschoeley/e0deficit/blob/main/src/21-harmonize_death_with_exposures.R" TargetMode="External" /><Relationship Type="http://schemas.openxmlformats.org/officeDocument/2006/relationships/hyperlink" Id="rId33" Target="https://github.com/jschoeley/e0deficit/blob/main/src/31-rate_bias_correction.R" TargetMode="External" /><Relationship Type="http://schemas.openxmlformats.org/officeDocument/2006/relationships/hyperlink" Id="rId44" Target="https://github.com/jschoeley/e0deficit/blob/main/src/40-counterfactual_projection.R" TargetMode="External" /><Relationship Type="http://schemas.openxmlformats.org/officeDocument/2006/relationships/hyperlink" Id="rId47" Target="https://github.com/jschoeley/e0deficit/blob/main/src/50-estimation_and_inference.R" TargetMode="External" /><Relationship Type="http://schemas.openxmlformats.org/officeDocument/2006/relationships/hyperlink" Id="rId54" Target="https://github.com/jschoeley/e0deficit/blob/main/src/51-assign_clusters.R" TargetMode="External" /><Relationship Type="http://schemas.openxmlformats.org/officeDocument/2006/relationships/hyperlink" Id="rId67" Target="https://github.com/jschoeley/e0deficit/blob/main/src/91-benchmark_check_e0.R" TargetMode="External" /><Relationship Type="http://schemas.openxmlformats.org/officeDocument/2006/relationships/hyperlink" Id="rId60" Target="https://github.com/jschoeley/e0deficit/blob/main/src/92-sensitivity_check_excess_measures.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jschoeley/e0deficit" TargetMode="External" /><Relationship Type="http://schemas.openxmlformats.org/officeDocument/2006/relationships/hyperlink" Id="rId24" Target="https://github.com/jschoeley/e0deficit/blob/main/src/11-download_population_and_rates.R" TargetMode="External" /><Relationship Type="http://schemas.openxmlformats.org/officeDocument/2006/relationships/hyperlink" Id="rId23" Target="https://github.com/jschoeley/e0deficit/blob/main/src/12-download_death.R" TargetMode="External" /><Relationship Type="http://schemas.openxmlformats.org/officeDocument/2006/relationships/hyperlink" Id="rId28" Target="https://github.com/jschoeley/e0deficit/blob/main/src/21-harmonize_death_with_exposures.R" TargetMode="External" /><Relationship Type="http://schemas.openxmlformats.org/officeDocument/2006/relationships/hyperlink" Id="rId33" Target="https://github.com/jschoeley/e0deficit/blob/main/src/31-rate_bias_correction.R" TargetMode="External" /><Relationship Type="http://schemas.openxmlformats.org/officeDocument/2006/relationships/hyperlink" Id="rId44" Target="https://github.com/jschoeley/e0deficit/blob/main/src/40-counterfactual_projection.R" TargetMode="External" /><Relationship Type="http://schemas.openxmlformats.org/officeDocument/2006/relationships/hyperlink" Id="rId47" Target="https://github.com/jschoeley/e0deficit/blob/main/src/50-estimation_and_inference.R" TargetMode="External" /><Relationship Type="http://schemas.openxmlformats.org/officeDocument/2006/relationships/hyperlink" Id="rId54" Target="https://github.com/jschoeley/e0deficit/blob/main/src/51-assign_clusters.R" TargetMode="External" /><Relationship Type="http://schemas.openxmlformats.org/officeDocument/2006/relationships/hyperlink" Id="rId67" Target="https://github.com/jschoeley/e0deficit/blob/main/src/91-benchmark_check_e0.R" TargetMode="External" /><Relationship Type="http://schemas.openxmlformats.org/officeDocument/2006/relationships/hyperlink" Id="rId60" Target="https://github.com/jschoeley/e0deficit/blob/main/src/92-sensitivity_check_excess_measures.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2026-07-12T20:20:58Z</dcterms:created>
  <dcterms:modified xsi:type="dcterms:W3CDTF">2026-07-12T20:20:58Z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