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BD9A" w14:textId="77777777" w:rsidR="00F21D9A"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Fentanyl Policy Paradox: An Economic and Empirical Analysis of Colorado Initiative 85 and the Efficacy of Punitive versus Health-Centered Interventions</w:t>
      </w:r>
    </w:p>
    <w:p w14:paraId="64C97298"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illicit synthetic opioid crisis, primarily driven by the proliferation of fentanyl and its increasingly potent analogues, has forced a critical re-evaluation of the American criminal justice system’s role in public health management. In Colorado, this legislative tension has culminated in Initiative 85, a comprehensive proposal designed to significantly elevate criminal penalties for the distribution and possession of synthetic opiates while simultaneously restricting existing legal immunities.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provide an expert-level evaluation of this measure, this analysis examines three fundamental research questions: first, the extent to which stricter criminal penalties deter fentanyl-related harm; second, the comparative efficacy of treatment, prevention, and harm reduction strategies; and third, the optimal configuration of these disparate approaches to achieve a sustainable reduction in mortality and crime.</w:t>
      </w:r>
    </w:p>
    <w:p w14:paraId="1F3E0D28"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report applies the rigorous economic frameworks of Gary Becker, specifically his rational choice model of crime, human capital theory, and the analysis of social externalities, to the current fentanyl landscape.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Furthermore, it categorizes a comprehensive evidence inventory using a 1-4 hierarchy and certainty ratings, strictly delineating between established literature and newly identified empirical findings from 2024 and 2025. The methodology prioritizes peer-reviewed systematic reviews and quasi-experimental studies from preeminent organizations including the National Academies of Sciences, Engineering, and Medicine (NASEM), the RAND Corporation, the Brookings Institution, and the Vera Institute.</w:t>
      </w:r>
      <w:r>
        <w:rPr>
          <w:rFonts w:ascii="Google Sans" w:eastAsia="Google Sans" w:hAnsi="Google Sans" w:cs="Google Sans"/>
          <w:color w:val="444746"/>
          <w:sz w:val="24"/>
          <w:szCs w:val="24"/>
          <w:vertAlign w:val="superscript"/>
        </w:rPr>
        <w:t>1</w:t>
      </w:r>
    </w:p>
    <w:p w14:paraId="2A8B8C80"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Legislative Architecture of Initiative 85</w:t>
      </w:r>
    </w:p>
    <w:p w14:paraId="4699E397"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Initiative 85 represents a paradigm shift from the hybrid model established by Colorado’s HB 22-1326, which paired increased penalties with public health investments, toward an almost exclusively punitive framework.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measure’s primary mechanism is the reclassification of fentanyl-related offenses within the Colorado Revised Statutes. Specifically, it repeals and reenacts sections 18-18-405 and 18-18-403.5 to create a more stringent felony structure.</w:t>
      </w:r>
    </w:p>
    <w:p w14:paraId="18BCF093"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Table 1: Comparative Penalty Matrix: Current Law vs. Initiative 85</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1D9A" w14:paraId="40C48333"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65ED47"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Offense Category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4C874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Current Colorado Law (HB 22-1326)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EE510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Proposed Initiative 85 Provisions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3A7A07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Approach Category</w:t>
            </w:r>
          </w:p>
        </w:tc>
      </w:tr>
      <w:tr w:rsidR="00F21D9A" w14:paraId="4F3C2BC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EA005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Trafficking (Any Amount)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1ACD2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Varies by weight (Level 1, 2, or 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3D7E6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1 Drug Felony (8–32 years)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2270D7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Punitive (Severity)</w:t>
            </w:r>
          </w:p>
        </w:tc>
      </w:tr>
      <w:tr w:rsidR="00F21D9A" w14:paraId="396121F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67545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Trafficking (Proximate Cause of Death)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1A930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Mandatory 12–32 years; some reporting immunity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8720B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1 Felony; Immunity Narrowed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1FF475B"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Punitive (Severity)</w:t>
            </w:r>
          </w:p>
        </w:tc>
      </w:tr>
      <w:tr w:rsidR="00F21D9A" w14:paraId="0BF05C8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6195AB"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Possession (1–4 Grams)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B798C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4 Drug Felony (Up to 180 days jail)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6D44C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3 Drug Felony (Increased Prison)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0F4D73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Punitive (Severity)</w:t>
            </w:r>
          </w:p>
        </w:tc>
      </w:tr>
      <w:tr w:rsidR="00F21D9A" w14:paraId="1342C10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1A65D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Possession (&lt;1 Gram)</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C17E7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1 Drug Misdemeanor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1D45C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Level 4 Treatment-Mandated Drug Felony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20B36D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Coerced Demand Reduction</w:t>
            </w:r>
          </w:p>
        </w:tc>
      </w:tr>
      <w:tr w:rsidR="00F21D9A" w14:paraId="124A93B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F2E50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Overdose Immunity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48468F"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Broad immunity for 911 callers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C7A4B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Immunity revoked if supply caused death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068C8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Punitive (Deterrence)</w:t>
            </w:r>
          </w:p>
        </w:tc>
      </w:tr>
      <w:tr w:rsidR="00F21D9A" w14:paraId="405AB9C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1126BF"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Habitual Offender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085CB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Certain drug felonies exempted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DA48A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Reinstated for Level 4 Fentanyl Felonies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F21021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Punitive (Incapacitation)</w:t>
            </w:r>
          </w:p>
        </w:tc>
      </w:tr>
    </w:tbl>
    <w:p w14:paraId="7396A7D7" w14:textId="77777777" w:rsidR="00F21D9A" w:rsidRDefault="00000000">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Source: </w:t>
      </w:r>
      <w:r>
        <w:rPr>
          <w:rFonts w:ascii="Google Sans" w:eastAsia="Google Sans" w:hAnsi="Google Sans" w:cs="Google Sans"/>
          <w:color w:val="444746"/>
          <w:sz w:val="24"/>
          <w:szCs w:val="24"/>
          <w:vertAlign w:val="superscript"/>
        </w:rPr>
        <w:t>1</w:t>
      </w:r>
    </w:p>
    <w:p w14:paraId="75B1D00C"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The initiative’s fiscal analysis anticipates a substantial increase in state expenditures, driven by the requirement for additional prison capacity and judicial resources. This shift is projected to move cases from the locally funded Denver County Court to the state-funded Denver District Court, representing a centralization of the punitive response that matches Becker’s observations on the misaligned incentives often present in criminal justice provision.</w:t>
      </w:r>
      <w:r>
        <w:rPr>
          <w:rFonts w:ascii="Google Sans" w:eastAsia="Google Sans" w:hAnsi="Google Sans" w:cs="Google Sans"/>
          <w:color w:val="444746"/>
          <w:sz w:val="24"/>
          <w:szCs w:val="24"/>
          <w:vertAlign w:val="superscript"/>
        </w:rPr>
        <w:t>1</w:t>
      </w:r>
    </w:p>
    <w:p w14:paraId="418760C2"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Gary Becker’s Economic Perspectives on the Fentanyl Market</w:t>
      </w:r>
    </w:p>
    <w:p w14:paraId="0197CAD2"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application of Gary Becker’s economic theories to Initiative 85 provides a structural lens through which to view the likely behavioral responses of both users and suppliers. Becker’s seminal 1968 work, </w:t>
      </w:r>
      <w:r>
        <w:rPr>
          <w:rFonts w:ascii="Google Sans" w:eastAsia="Google Sans" w:hAnsi="Google Sans" w:cs="Google Sans"/>
          <w:i/>
          <w:iCs/>
          <w:color w:val="1F1F1F"/>
        </w:rPr>
        <w:t>Crime and Punishment: An Economic Approach</w:t>
      </w:r>
      <w:r>
        <w:rPr>
          <w:rFonts w:ascii="Google Sans" w:eastAsia="Google Sans" w:hAnsi="Google Sans" w:cs="Google Sans"/>
          <w:color w:val="1F1F1F"/>
        </w:rPr>
        <w:t>, established that criminals are rational actors who respond to incentives, particularly the expected costs of illegal activity.</w:t>
      </w:r>
      <w:r>
        <w:rPr>
          <w:rFonts w:ascii="Google Sans" w:eastAsia="Google Sans" w:hAnsi="Google Sans" w:cs="Google Sans"/>
          <w:color w:val="444746"/>
          <w:sz w:val="24"/>
          <w:szCs w:val="24"/>
          <w:vertAlign w:val="superscript"/>
        </w:rPr>
        <w:t>2</w:t>
      </w:r>
    </w:p>
    <w:p w14:paraId="374C93AF"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Rational Choice and Deterrence Incentives</w:t>
      </w:r>
    </w:p>
    <w:p w14:paraId="0FCA7FAA"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In the Beckerian model, a potential offender commits an offense if the expected utility </w:t>
      </w:r>
      <w:r>
        <w:rPr>
          <w:rFonts w:ascii="Google Sans" w:eastAsia="Google Sans" w:hAnsi="Google Sans" w:cs="Google Sans"/>
          <w:noProof/>
          <w:color w:val="1F1F1F"/>
        </w:rPr>
        <w:drawing>
          <wp:inline distT="19050" distB="19050" distL="19050" distR="19050" wp14:anchorId="74E953EB" wp14:editId="3645616C">
            <wp:extent cx="395585" cy="22604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95585" cy="226048"/>
                    </a:xfrm>
                    <a:prstGeom prst="rect">
                      <a:avLst/>
                    </a:prstGeom>
                    <a:ln/>
                  </pic:spPr>
                </pic:pic>
              </a:graphicData>
            </a:graphic>
          </wp:inline>
        </w:drawing>
      </w:r>
      <w:r>
        <w:rPr>
          <w:rFonts w:ascii="Google Sans" w:eastAsia="Google Sans" w:hAnsi="Google Sans" w:cs="Google Sans"/>
          <w:color w:val="1F1F1F"/>
        </w:rPr>
        <w:t xml:space="preserve"> exceeds the utility of legitimate alternatives. This utility is a function of the probability of conviction </w:t>
      </w:r>
      <w:r>
        <w:rPr>
          <w:rFonts w:ascii="Google Sans" w:eastAsia="Google Sans" w:hAnsi="Google Sans" w:cs="Google Sans"/>
          <w:noProof/>
          <w:color w:val="1F1F1F"/>
        </w:rPr>
        <w:drawing>
          <wp:inline distT="19050" distB="19050" distL="19050" distR="19050" wp14:anchorId="1EB73A3D" wp14:editId="7641ED01">
            <wp:extent cx="92869" cy="22288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869" cy="222885"/>
                    </a:xfrm>
                    <a:prstGeom prst="rect">
                      <a:avLst/>
                    </a:prstGeom>
                    <a:ln/>
                  </pic:spPr>
                </pic:pic>
              </a:graphicData>
            </a:graphic>
          </wp:inline>
        </w:drawing>
      </w:r>
      <w:r>
        <w:rPr>
          <w:rFonts w:ascii="Google Sans" w:eastAsia="Google Sans" w:hAnsi="Google Sans" w:cs="Google Sans"/>
          <w:color w:val="1F1F1F"/>
        </w:rPr>
        <w:t xml:space="preserve"> and the severity of punishment </w:t>
      </w:r>
      <w:r>
        <w:rPr>
          <w:rFonts w:ascii="Google Sans" w:eastAsia="Google Sans" w:hAnsi="Google Sans" w:cs="Google Sans"/>
          <w:noProof/>
          <w:color w:val="1F1F1F"/>
        </w:rPr>
        <w:drawing>
          <wp:inline distT="19050" distB="19050" distL="19050" distR="19050" wp14:anchorId="5A2E3E11" wp14:editId="3B0FF202">
            <wp:extent cx="110281" cy="22056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0281" cy="22056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Becker famously argued that a social planner could achieve a given level of deterrence by either increasing </w:t>
      </w:r>
      <w:r>
        <w:rPr>
          <w:rFonts w:ascii="Google Sans" w:eastAsia="Google Sans" w:hAnsi="Google Sans" w:cs="Google Sans"/>
          <w:noProof/>
          <w:color w:val="1F1F1F"/>
        </w:rPr>
        <w:drawing>
          <wp:inline distT="19050" distB="19050" distL="19050" distR="19050" wp14:anchorId="6DC41CC7" wp14:editId="1790E745">
            <wp:extent cx="92869" cy="22288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869" cy="222885"/>
                    </a:xfrm>
                    <a:prstGeom prst="rect">
                      <a:avLst/>
                    </a:prstGeom>
                    <a:ln/>
                  </pic:spPr>
                </pic:pic>
              </a:graphicData>
            </a:graphic>
          </wp:inline>
        </w:drawing>
      </w:r>
      <w:r>
        <w:rPr>
          <w:rFonts w:ascii="Google Sans" w:eastAsia="Google Sans" w:hAnsi="Google Sans" w:cs="Google Sans"/>
          <w:color w:val="1F1F1F"/>
        </w:rPr>
        <w:t xml:space="preserve"> or </w:t>
      </w:r>
      <w:r>
        <w:rPr>
          <w:rFonts w:ascii="Google Sans" w:eastAsia="Google Sans" w:hAnsi="Google Sans" w:cs="Google Sans"/>
          <w:noProof/>
          <w:color w:val="1F1F1F"/>
        </w:rPr>
        <w:drawing>
          <wp:inline distT="19050" distB="19050" distL="19050" distR="19050" wp14:anchorId="2D0507FA" wp14:editId="350FC75B">
            <wp:extent cx="110281" cy="22056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0281" cy="220563"/>
                    </a:xfrm>
                    <a:prstGeom prst="rect">
                      <a:avLst/>
                    </a:prstGeom>
                    <a:ln/>
                  </pic:spPr>
                </pic:pic>
              </a:graphicData>
            </a:graphic>
          </wp:inline>
        </w:drawing>
      </w:r>
      <w:r>
        <w:rPr>
          <w:rFonts w:ascii="Google Sans" w:eastAsia="Google Sans" w:hAnsi="Google Sans" w:cs="Google Sans"/>
          <w:color w:val="1F1F1F"/>
        </w:rPr>
        <w:t xml:space="preserve">. However, because increasing </w:t>
      </w:r>
      <w:r>
        <w:rPr>
          <w:rFonts w:ascii="Google Sans" w:eastAsia="Google Sans" w:hAnsi="Google Sans" w:cs="Google Sans"/>
          <w:noProof/>
          <w:color w:val="1F1F1F"/>
        </w:rPr>
        <w:drawing>
          <wp:inline distT="19050" distB="19050" distL="19050" distR="19050" wp14:anchorId="395FB71D" wp14:editId="2800B133">
            <wp:extent cx="92869" cy="22288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869" cy="222885"/>
                    </a:xfrm>
                    <a:prstGeom prst="rect">
                      <a:avLst/>
                    </a:prstGeom>
                    <a:ln/>
                  </pic:spPr>
                </pic:pic>
              </a:graphicData>
            </a:graphic>
          </wp:inline>
        </w:drawing>
      </w:r>
      <w:r>
        <w:rPr>
          <w:rFonts w:ascii="Google Sans" w:eastAsia="Google Sans" w:hAnsi="Google Sans" w:cs="Google Sans"/>
          <w:color w:val="1F1F1F"/>
        </w:rPr>
        <w:t xml:space="preserve"> (e.g., more police, better investigations) is expensive, whereas increasing </w:t>
      </w:r>
      <w:r>
        <w:rPr>
          <w:rFonts w:ascii="Google Sans" w:eastAsia="Google Sans" w:hAnsi="Google Sans" w:cs="Google Sans"/>
          <w:noProof/>
          <w:color w:val="1F1F1F"/>
        </w:rPr>
        <w:drawing>
          <wp:inline distT="19050" distB="19050" distL="19050" distR="19050" wp14:anchorId="3D9AA6F4" wp14:editId="7103A5AC">
            <wp:extent cx="110281" cy="2205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0281" cy="220563"/>
                    </a:xfrm>
                    <a:prstGeom prst="rect">
                      <a:avLst/>
                    </a:prstGeom>
                    <a:ln/>
                  </pic:spPr>
                </pic:pic>
              </a:graphicData>
            </a:graphic>
          </wp:inline>
        </w:drawing>
      </w:r>
      <w:r>
        <w:rPr>
          <w:rFonts w:ascii="Google Sans" w:eastAsia="Google Sans" w:hAnsi="Google Sans" w:cs="Google Sans"/>
          <w:color w:val="1F1F1F"/>
        </w:rPr>
        <w:t xml:space="preserve"> (e.g., longer prison terms) is perceived as less costly to the state, there is often a political bias toward increasing severity.</w:t>
      </w:r>
      <w:r>
        <w:rPr>
          <w:rFonts w:ascii="Google Sans" w:eastAsia="Google Sans" w:hAnsi="Google Sans" w:cs="Google Sans"/>
          <w:color w:val="444746"/>
          <w:sz w:val="24"/>
          <w:szCs w:val="24"/>
          <w:vertAlign w:val="superscript"/>
        </w:rPr>
        <w:t>2</w:t>
      </w:r>
    </w:p>
    <w:p w14:paraId="66904897"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empirical literature identifies a "severity-certainty gap." Peer-reviewed reviews by Nagin (2013) and Chalfin and McCrary (2017) demonstrate that the certainty of arrest is a far more robust deterrent than the severity of the sentence.</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Potential fentanyl distributors, often operating under conditions of high risk and high time-preference (myopia), are statistically less likely to be deterred by the difference between a 10-year and a 20-year sentence than by an increased likelihood of immediate apprehension.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Initiative 85’s focus on severity (</w:t>
      </w:r>
      <w:r>
        <w:rPr>
          <w:rFonts w:ascii="Google Sans" w:eastAsia="Google Sans" w:hAnsi="Google Sans" w:cs="Google Sans"/>
          <w:noProof/>
          <w:color w:val="1F1F1F"/>
        </w:rPr>
        <w:drawing>
          <wp:inline distT="19050" distB="19050" distL="19050" distR="19050" wp14:anchorId="33F798D1" wp14:editId="3CAE61F8">
            <wp:extent cx="110281" cy="2205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0281" cy="220563"/>
                    </a:xfrm>
                    <a:prstGeom prst="rect">
                      <a:avLst/>
                    </a:prstGeom>
                    <a:ln/>
                  </pic:spPr>
                </pic:pic>
              </a:graphicData>
            </a:graphic>
          </wp:inline>
        </w:drawing>
      </w:r>
      <w:r>
        <w:rPr>
          <w:rFonts w:ascii="Google Sans" w:eastAsia="Google Sans" w:hAnsi="Google Sans" w:cs="Google Sans"/>
          <w:color w:val="1F1F1F"/>
        </w:rPr>
        <w:t>) rather than certainty (</w:t>
      </w:r>
      <w:r>
        <w:rPr>
          <w:rFonts w:ascii="Google Sans" w:eastAsia="Google Sans" w:hAnsi="Google Sans" w:cs="Google Sans"/>
          <w:noProof/>
          <w:color w:val="1F1F1F"/>
        </w:rPr>
        <w:drawing>
          <wp:inline distT="19050" distB="19050" distL="19050" distR="19050" wp14:anchorId="08F12AFC" wp14:editId="270AA864">
            <wp:extent cx="92869" cy="22288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869" cy="222885"/>
                    </a:xfrm>
                    <a:prstGeom prst="rect">
                      <a:avLst/>
                    </a:prstGeom>
                    <a:ln/>
                  </pic:spPr>
                </pic:pic>
              </a:graphicData>
            </a:graphic>
          </wp:inline>
        </w:drawing>
      </w:r>
      <w:r>
        <w:rPr>
          <w:rFonts w:ascii="Google Sans" w:eastAsia="Google Sans" w:hAnsi="Google Sans" w:cs="Google Sans"/>
          <w:color w:val="1F1F1F"/>
        </w:rPr>
        <w:t>) suggests that the measure may achieve limited marginal deterrence.</w:t>
      </w:r>
      <w:r>
        <w:rPr>
          <w:rFonts w:ascii="Google Sans" w:eastAsia="Google Sans" w:hAnsi="Google Sans" w:cs="Google Sans"/>
          <w:color w:val="444746"/>
          <w:sz w:val="24"/>
          <w:szCs w:val="24"/>
          <w:vertAlign w:val="superscript"/>
        </w:rPr>
        <w:t>4</w:t>
      </w:r>
    </w:p>
    <w:p w14:paraId="483DACA9"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Human Capital and Social Externalities</w:t>
      </w:r>
    </w:p>
    <w:p w14:paraId="0115A724"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Becker’s human capital theory suggests that incarceration acts as a "negative investment".</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For the individual, time spent in prison is time lost from human capital formation (education, work experience), which lowers future legitimate wage potential and, paradoxically, makes criminal activity more attractive upon release.</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For the state, the social externalities are immense. Beyond the direct prison operating costs (estimated at $44.6 million over five years </w:t>
      </w:r>
      <w:r>
        <w:rPr>
          <w:rFonts w:ascii="Google Sans" w:eastAsia="Google Sans" w:hAnsi="Google Sans" w:cs="Google Sans"/>
          <w:color w:val="1F1F1F"/>
        </w:rPr>
        <w:lastRenderedPageBreak/>
        <w:t>for Initiative 85), the state loses the productivity and tax revenue of the incarcerated individuals.</w:t>
      </w:r>
      <w:r>
        <w:rPr>
          <w:rFonts w:ascii="Google Sans" w:eastAsia="Google Sans" w:hAnsi="Google Sans" w:cs="Google Sans"/>
          <w:color w:val="444746"/>
          <w:sz w:val="24"/>
          <w:szCs w:val="24"/>
          <w:vertAlign w:val="superscript"/>
        </w:rPr>
        <w:t>1</w:t>
      </w:r>
    </w:p>
    <w:p w14:paraId="36B9B817"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Furthermore, Becker’s analysis of "marginal deterrence" warns of the unintended consequences of high-severity punishments for low-level acts.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If the penalty for possessing a small amount of fentanyl is nearly as severe as the penalty for large-scale distribution, the "marginal cost" of committing the more serious crime decreases. This may encourage low-level actors to engage in more dangerous, higher-volume trafficking to maximize profit against a now-fixed high risk, effectively increasing the total volume of fentanyl in the supply.</w:t>
      </w:r>
      <w:r>
        <w:rPr>
          <w:rFonts w:ascii="Google Sans" w:eastAsia="Google Sans" w:hAnsi="Google Sans" w:cs="Google Sans"/>
          <w:color w:val="444746"/>
          <w:sz w:val="24"/>
          <w:szCs w:val="24"/>
          <w:vertAlign w:val="superscript"/>
        </w:rPr>
        <w:t>4</w:t>
      </w:r>
    </w:p>
    <w:p w14:paraId="0DD8240D"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Research Question 1: Do Stricter Penalties Reduce Fentanyl Harm?</w:t>
      </w:r>
    </w:p>
    <w:p w14:paraId="37EBAF8F"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address whether Initiative 85’s escalation of penalties will achieve its stated goals, this report evaluates both historic data and newly emerging quasi-experimental studies.</w:t>
      </w:r>
    </w:p>
    <w:p w14:paraId="67BADA90"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Evidence on Deterrence and Sentencing Severity</w:t>
      </w:r>
    </w:p>
    <w:p w14:paraId="065FA972"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National Research Council’s (2014) seminal report on the growth of incarceration concluded that mandatory minimums and increased sentence lengths for drug offenses have "few, if any, deterrent effects".</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This Level 4 finding is reinforced by contemporary federal data. Palamar and Le (2024) conducted an ecological analysis of federal sentencing and found that harsher sentences in various federal districts did not correlate with reduced overdose death rates in those regions.</w:t>
      </w:r>
      <w:r>
        <w:rPr>
          <w:rFonts w:ascii="Google Sans" w:eastAsia="Google Sans" w:hAnsi="Google Sans" w:cs="Google Sans"/>
          <w:color w:val="444746"/>
          <w:sz w:val="24"/>
          <w:szCs w:val="24"/>
          <w:vertAlign w:val="superscript"/>
        </w:rPr>
        <w:t>1</w:t>
      </w:r>
    </w:p>
    <w:p w14:paraId="1EF439CE"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new evidence is even more localized. Guan et al. (2025) and Krawczyk et al. (2025) analyzed the real-world impact of Colorado’s 2022 decision to felonize possession of 1–4 grams of fentanyl.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Using interrupted time series and quasi-experimental designs (Level 3), these researchers found no significant change in buprenorphine or methadone initiations following the law's enactment, nor did they detect a reduction in overdose mortality.</w:t>
      </w:r>
      <w:r>
        <w:rPr>
          <w:rFonts w:ascii="Google Sans" w:eastAsia="Google Sans" w:hAnsi="Google Sans" w:cs="Google Sans"/>
          <w:color w:val="444746"/>
          <w:sz w:val="24"/>
          <w:szCs w:val="24"/>
          <w:vertAlign w:val="superscript"/>
        </w:rPr>
        <w:t>1</w:t>
      </w:r>
    </w:p>
    <w:p w14:paraId="1A5A60F1"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Seizure-Mortality Paradox</w:t>
      </w:r>
    </w:p>
    <w:p w14:paraId="1845AD82"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Initiative 85’s emphasis on trafficking assumes that supply-side disruptions reduce harm. However, a systematic review of 14 studies by Cano et al. (2024) found that higher drug seizures often coincide with higher, not lower, overdose rates.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is potentially explained by the "enforcement shock" mechanism. Kral et al. (2025) found that in the days following a local drug seizure in San Francisco, fatal overdoses in the immediate vicinity increased.</w:t>
      </w:r>
      <w:r>
        <w:rPr>
          <w:rFonts w:ascii="Google Sans" w:eastAsia="Google Sans" w:hAnsi="Google Sans" w:cs="Google Sans"/>
          <w:color w:val="444746"/>
          <w:sz w:val="24"/>
          <w:szCs w:val="24"/>
          <w:vertAlign w:val="superscript"/>
        </w:rPr>
        <w:t>1</w:t>
      </w:r>
    </w:p>
    <w:p w14:paraId="441E114B"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mechanism behind this paradox is supply destabilization. When a police seizure removes a known supplier or product batch from the market, users often experience "withdrawal-induced urgency" and seek out new, unfamiliar sources.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In the illicit market, these new sources may have higher potencies or unknown adulterants, increasing the risk of accidental </w:t>
      </w:r>
      <w:r>
        <w:rPr>
          <w:rFonts w:ascii="Google Sans" w:eastAsia="Google Sans" w:hAnsi="Google Sans" w:cs="Google Sans"/>
          <w:color w:val="1F1F1F"/>
        </w:rPr>
        <w:lastRenderedPageBreak/>
        <w:t>poisoning.</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Thus, the "targeted enforcement" proposed in Initiative 85 may inadvertently trigger localized spikes in mortality.</w:t>
      </w:r>
      <w:r>
        <w:rPr>
          <w:rFonts w:ascii="Google Sans" w:eastAsia="Google Sans" w:hAnsi="Google Sans" w:cs="Google Sans"/>
          <w:color w:val="444746"/>
          <w:sz w:val="24"/>
          <w:szCs w:val="24"/>
          <w:vertAlign w:val="superscript"/>
        </w:rPr>
        <w:t>1</w:t>
      </w:r>
    </w:p>
    <w:p w14:paraId="508A4582"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Table 2: Evidence Inventory on Penalty Escalation (PE)</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1D9A" w14:paraId="33E81C9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996F3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Study (Level)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4C1C1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Research Question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DDB3E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Key Finding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4ABAA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New/Existing</w:t>
            </w:r>
          </w:p>
        </w:tc>
      </w:tr>
      <w:tr w:rsidR="00F21D9A" w14:paraId="33D9B4FA"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9DD15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**Nagin (2013)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7462C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Relative effect of certainty vs. severity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FD346B"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Certainty of arrest deters; severity does not.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6D0D07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Existing</w:t>
            </w:r>
          </w:p>
        </w:tc>
      </w:tr>
      <w:tr w:rsidR="00F21D9A" w14:paraId="5CC1E41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00B58F"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**Krawczyk et al. (2025)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42078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Impact of CO 2022 fentanyl felony law</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27214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No reduction in drug use or OD; lower MOUD retention.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8338D5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New</w:t>
            </w:r>
          </w:p>
        </w:tc>
      </w:tr>
      <w:tr w:rsidR="00F21D9A" w14:paraId="650B78E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58745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**Cano et al. (2024)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73FE9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Correlation of seizures and mortality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FB415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Seizures mark prevalence, not deterrence; track with OD rise.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06C04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New</w:t>
            </w:r>
          </w:p>
        </w:tc>
      </w:tr>
      <w:tr w:rsidR="00F21D9A" w14:paraId="715D65B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429FB6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**Owens (2009)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9D7A5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Incapacitative effect of enhancements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6AA3F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Longer sentences reduce crime via incapacitation in some contexts.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B1FE33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Existing</w:t>
            </w:r>
          </w:p>
        </w:tc>
      </w:tr>
      <w:tr w:rsidR="00F21D9A" w14:paraId="4DE8957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13ED0E"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**Kral et al. (2025)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7A085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Local seizures and OD spikes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9E5AF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Local "busts" lead to short-term increases in nearby ODs.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C15083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New</w:t>
            </w:r>
          </w:p>
        </w:tc>
      </w:tr>
      <w:tr w:rsidR="00F21D9A" w14:paraId="5A62F9F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BC047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**Tuttle (2025)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047FE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Racial disparities in mandatory minimums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ABBB2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Thresholds lead to strategic "bunching" by prosecutors.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0369E47"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New</w:t>
            </w:r>
          </w:p>
        </w:tc>
      </w:tr>
    </w:tbl>
    <w:p w14:paraId="221C28FD" w14:textId="77777777" w:rsidR="00F21D9A" w:rsidRDefault="00000000">
      <w:pPr>
        <w:pBdr>
          <w:top w:val="nil"/>
          <w:left w:val="nil"/>
          <w:bottom w:val="nil"/>
          <w:right w:val="nil"/>
          <w:between w:val="nil"/>
        </w:pBdr>
        <w:spacing w:before="480"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Level refers to the 1-4 hierarchy where 4 is the highest.</w:t>
      </w:r>
    </w:p>
    <w:p w14:paraId="2D5D247D"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Research Question 2: Efficacy of Treatment and Harm Reduction</w:t>
      </w:r>
    </w:p>
    <w:p w14:paraId="694D9A30"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second research question shifts the focus from punitive to medical and social interventions. The evidence base here is generally of higher scientific quality (Levels 4 and 5) than the enforcement literature.</w:t>
      </w:r>
      <w:r>
        <w:rPr>
          <w:rFonts w:ascii="Google Sans" w:eastAsia="Google Sans" w:hAnsi="Google Sans" w:cs="Google Sans"/>
          <w:color w:val="444746"/>
          <w:sz w:val="24"/>
          <w:szCs w:val="24"/>
          <w:vertAlign w:val="superscript"/>
        </w:rPr>
        <w:t>1</w:t>
      </w:r>
    </w:p>
    <w:p w14:paraId="612107EA"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Medications for Opioid Use Disorder (MOUD) and Clinical Outcomes</w:t>
      </w:r>
    </w:p>
    <w:p w14:paraId="4B398C1A"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evidence for MOUD as the primary tool for reducing fentanyl mortality is overwhelming. Meta-analyses (Level 4) consistently show that methadone and buprenorphine reduce opioid-related deaths by 50% to 70%. Furthermore, newly identified research by Chatterjee et al. (2023) demonstrates that providing comprehensive MOUD (including injectable naltrexone and buprenorphine) within correctional facilities is highly cost-effective and saves more lives than limited treatment options.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is a critical finding for Initiative 85, which mandates treatment for low-level possession; the evidence suggest that the </w:t>
      </w:r>
      <w:r>
        <w:rPr>
          <w:rFonts w:ascii="Google Sans" w:eastAsia="Google Sans" w:hAnsi="Google Sans" w:cs="Google Sans"/>
          <w:i/>
          <w:iCs/>
          <w:color w:val="1F1F1F"/>
        </w:rPr>
        <w:t>quality</w:t>
      </w:r>
      <w:r>
        <w:rPr>
          <w:rFonts w:ascii="Google Sans" w:eastAsia="Google Sans" w:hAnsi="Google Sans" w:cs="Google Sans"/>
          <w:color w:val="1F1F1F"/>
        </w:rPr>
        <w:t xml:space="preserve"> and </w:t>
      </w:r>
      <w:r>
        <w:rPr>
          <w:rFonts w:ascii="Google Sans" w:eastAsia="Google Sans" w:hAnsi="Google Sans" w:cs="Google Sans"/>
          <w:i/>
          <w:iCs/>
          <w:color w:val="1F1F1F"/>
        </w:rPr>
        <w:t>type</w:t>
      </w:r>
      <w:r>
        <w:rPr>
          <w:rFonts w:ascii="Google Sans" w:eastAsia="Google Sans" w:hAnsi="Google Sans" w:cs="Google Sans"/>
          <w:color w:val="1F1F1F"/>
        </w:rPr>
        <w:t xml:space="preserve"> of treatment provided (specifically MOUD) is the determining factor in outcome, not the legal mandate itself.</w:t>
      </w:r>
      <w:r>
        <w:rPr>
          <w:rFonts w:ascii="Google Sans" w:eastAsia="Google Sans" w:hAnsi="Google Sans" w:cs="Google Sans"/>
          <w:color w:val="444746"/>
          <w:sz w:val="24"/>
          <w:szCs w:val="24"/>
          <w:vertAlign w:val="superscript"/>
        </w:rPr>
        <w:t>1</w:t>
      </w:r>
    </w:p>
    <w:p w14:paraId="79C09117"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Harm Reduction: Naloxone and Fentanyl Test Strips (FTS)</w:t>
      </w:r>
    </w:p>
    <w:p w14:paraId="6B8B22C7"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Widespread naloxone distribution remains the single most effective tool for reversing active overdoses. A 2025 report by the National Safety Council (NSC) notes that 45 states reported declines in overdose deaths in 2024, a trend strongly correlated with increased naloxone saturation and the transition to over-the-counter availability.</w:t>
      </w:r>
      <w:r>
        <w:rPr>
          <w:rFonts w:ascii="Google Sans" w:eastAsia="Google Sans" w:hAnsi="Google Sans" w:cs="Google Sans"/>
          <w:color w:val="444746"/>
          <w:sz w:val="24"/>
          <w:szCs w:val="24"/>
          <w:vertAlign w:val="superscript"/>
        </w:rPr>
        <w:t>19</w:t>
      </w:r>
    </w:p>
    <w:p w14:paraId="53C21D36"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Fentanyl test strips (FTS) have also emerged as a significant tool for behavioral change. A scoping review of 91 articles (Level 1-2) found that people who use drugs (PWUD) frequently modify their behavior after a positive FTS result, such as using smaller doses, using with others, or ensuring naloxone is present.</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However, the same review noted a "lack of robust evidence" from randomized trials specifically linking FTS to population-level mortality reductions, highlighting a critical research gap.</w:t>
      </w:r>
      <w:r>
        <w:rPr>
          <w:rFonts w:ascii="Google Sans" w:eastAsia="Google Sans" w:hAnsi="Google Sans" w:cs="Google Sans"/>
          <w:color w:val="444746"/>
          <w:sz w:val="24"/>
          <w:szCs w:val="24"/>
          <w:vertAlign w:val="superscript"/>
        </w:rPr>
        <w:t>20</w:t>
      </w:r>
    </w:p>
    <w:p w14:paraId="58E77044"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Impact of Good Samaritan Immunity Rollbacks</w:t>
      </w:r>
    </w:p>
    <w:p w14:paraId="41CABDC4"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Initiative 85 proposes to narrow Good Samaritan laws by allowing prosecution if a caller supplied the drug that led to a death. However, Level 2 evidence from "The Police Paradox" (2023) and other qualitative studies shows that the fear of arrest is already the primary deterrent for bystanders calling 911.</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Narrowing these protections is likely to result in fewer emergency calls, leading to preventable deaths. As documented in a 2024 Maryland study, 83.8% of fatal overdoses occurred in settings where naloxone was not administered, often because bystanders fled before authorities arrived.</w:t>
      </w:r>
      <w:r>
        <w:rPr>
          <w:rFonts w:ascii="Google Sans" w:eastAsia="Google Sans" w:hAnsi="Google Sans" w:cs="Google Sans"/>
          <w:color w:val="444746"/>
          <w:sz w:val="24"/>
          <w:szCs w:val="24"/>
          <w:vertAlign w:val="superscript"/>
        </w:rPr>
        <w:t>24</w:t>
      </w:r>
    </w:p>
    <w:p w14:paraId="19DED29C"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Research Question 3: The Optimal Combination of Strategies</w:t>
      </w:r>
    </w:p>
    <w:p w14:paraId="14426C50"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final research question explores the "mixed strategy" approach. Leading experts at RAND and Brookings argue that in the synthetic opioid era, traditional supply-reduction strategies are less effective because fentanyl is extremely cheap to produce and easy to conceal.</w:t>
      </w:r>
      <w:r>
        <w:rPr>
          <w:rFonts w:ascii="Google Sans" w:eastAsia="Google Sans" w:hAnsi="Google Sans" w:cs="Google Sans"/>
          <w:color w:val="444746"/>
          <w:sz w:val="24"/>
          <w:szCs w:val="24"/>
          <w:vertAlign w:val="superscript"/>
        </w:rPr>
        <w:t>1</w:t>
      </w:r>
    </w:p>
    <w:p w14:paraId="5341F108"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Whole-of-Government Approach</w:t>
      </w:r>
    </w:p>
    <w:p w14:paraId="23C8B40C"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"Whole-of-Government" (W-G) perspective, as detailed in recent 2024 policy briefs, advocates for a strategic reallocation of resources from the criminal justice system toward a public health-public safety partnership.</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This approach prioritizes:</w:t>
      </w:r>
    </w:p>
    <w:p w14:paraId="65AFF8AA" w14:textId="77777777" w:rsidR="00F21D9A"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Low-Barrier Treatment</w:t>
      </w:r>
      <w:r>
        <w:rPr>
          <w:rFonts w:ascii="Google Sans" w:eastAsia="Google Sans" w:hAnsi="Google Sans" w:cs="Google Sans"/>
          <w:color w:val="1F1F1F"/>
        </w:rPr>
        <w:t>: Immediate access to MOUD through telehealth and community-based clinics.</w:t>
      </w:r>
      <w:r>
        <w:rPr>
          <w:rFonts w:ascii="Google Sans" w:eastAsia="Google Sans" w:hAnsi="Google Sans" w:cs="Google Sans"/>
          <w:color w:val="444746"/>
          <w:sz w:val="24"/>
          <w:szCs w:val="24"/>
          <w:vertAlign w:val="superscript"/>
        </w:rPr>
        <w:t>26</w:t>
      </w:r>
    </w:p>
    <w:p w14:paraId="2AE37677" w14:textId="77777777" w:rsidR="00F21D9A"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Harm Reduction Infrastructure</w:t>
      </w:r>
      <w:r>
        <w:rPr>
          <w:rFonts w:ascii="Google Sans" w:eastAsia="Google Sans" w:hAnsi="Google Sans" w:cs="Google Sans"/>
          <w:color w:val="1F1F1F"/>
        </w:rPr>
        <w:t>: Legally protected syringe service programs (SSPs) and FTS access.</w:t>
      </w:r>
      <w:r>
        <w:rPr>
          <w:rFonts w:ascii="Google Sans" w:eastAsia="Google Sans" w:hAnsi="Google Sans" w:cs="Google Sans"/>
          <w:color w:val="444746"/>
          <w:sz w:val="24"/>
          <w:szCs w:val="24"/>
          <w:vertAlign w:val="superscript"/>
        </w:rPr>
        <w:t>24</w:t>
      </w:r>
    </w:p>
    <w:p w14:paraId="73446B80" w14:textId="77777777" w:rsidR="00F21D9A"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Targeted Enforcement</w:t>
      </w:r>
      <w:r>
        <w:rPr>
          <w:rFonts w:ascii="Google Sans" w:eastAsia="Google Sans" w:hAnsi="Google Sans" w:cs="Google Sans"/>
          <w:color w:val="1F1F1F"/>
        </w:rPr>
        <w:t>: Focusing police resources on violent transnational criminal organizations rather than low-level users and their peers.</w:t>
      </w:r>
      <w:r>
        <w:rPr>
          <w:rFonts w:ascii="Google Sans" w:eastAsia="Google Sans" w:hAnsi="Google Sans" w:cs="Google Sans"/>
          <w:color w:val="444746"/>
          <w:sz w:val="24"/>
          <w:szCs w:val="24"/>
          <w:vertAlign w:val="superscript"/>
        </w:rPr>
        <w:t>1</w:t>
      </w:r>
    </w:p>
    <w:p w14:paraId="22DCF727" w14:textId="77777777" w:rsidR="00F21D9A"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Table 3: Summary of "New" Research (2023–2025)</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1D9A" w14:paraId="6B71B87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024B2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Category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0971D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Study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61A6DD"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Methodology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34B5111"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Key Insight</w:t>
            </w:r>
          </w:p>
        </w:tc>
      </w:tr>
      <w:tr w:rsidR="00F21D9A" w14:paraId="4002BAD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4BF7FE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MOUD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9AC1B8"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Chatterjee (2023)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0692E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Simulation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C3E6057"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In-jail MOUD expansion is cost-effective and saves hundreds of lives.</w:t>
            </w:r>
          </w:p>
        </w:tc>
      </w:tr>
      <w:tr w:rsidR="00F21D9A" w14:paraId="6AFE8F4D"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C62CF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Deterrence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B799F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Krawczyk (2025)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9A158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Quasi-Exp</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C37FD5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Felony possession laws in CO did not improve treatment starts or OD rates.</w:t>
            </w:r>
          </w:p>
        </w:tc>
      </w:tr>
      <w:tr w:rsidR="00F21D9A" w14:paraId="31824F4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CC6C9E"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Equity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6FB5C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Tuttle (2025)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9C641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Natural Exp</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1B96C7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Mandatory minimum thresholds increase racial disparities via prosecutorial choice.</w:t>
            </w:r>
          </w:p>
        </w:tc>
      </w:tr>
      <w:tr w:rsidR="00F21D9A" w14:paraId="168045F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28D01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Surveillance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C3755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Northwestern (2026)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788D8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Trend Analysis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FDB2DFD"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Reported 2025 OD spikes were modeling artifacts; trends are actually declining.</w:t>
            </w:r>
          </w:p>
        </w:tc>
      </w:tr>
      <w:tr w:rsidR="00F21D9A" w14:paraId="23E828A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08BC5E"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Harm Reduction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42F3F5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Khezri (2026)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9E84C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Systematic Review</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3580C9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Combined naloxone and treatment are more effective than punitive shifts.</w:t>
            </w:r>
          </w:p>
        </w:tc>
      </w:tr>
    </w:tbl>
    <w:p w14:paraId="1C6CEEDB" w14:textId="77777777" w:rsidR="00F21D9A" w:rsidRDefault="00000000">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Source: </w:t>
      </w:r>
      <w:r>
        <w:rPr>
          <w:rFonts w:ascii="Google Sans" w:eastAsia="Google Sans" w:hAnsi="Google Sans" w:cs="Google Sans"/>
          <w:color w:val="444746"/>
          <w:sz w:val="24"/>
          <w:szCs w:val="24"/>
          <w:vertAlign w:val="superscript"/>
        </w:rPr>
        <w:t>1</w:t>
      </w:r>
    </w:p>
    <w:p w14:paraId="1A140D05"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Gary Becker, Human Capital, and the Fiscal Impact of Initiative 85</w:t>
      </w:r>
    </w:p>
    <w:p w14:paraId="0E443AE8"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fiscal impact statement for Initiative 85 projects a total five-year cost of over $44 million, with an additional $150 million needed for prison construction. Applying Becker’s social planning model, we must evaluate whether this investment yields a positive social return.</w:t>
      </w:r>
    </w:p>
    <w:p w14:paraId="6A9491B2"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Becker posited that society should criminalize an activity only when the social benefits of doing so outweigh the social costs.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xml:space="preserve"> The "social cost" of Initiative 85 includes:</w:t>
      </w:r>
    </w:p>
    <w:p w14:paraId="60A65B70" w14:textId="77777777" w:rsidR="00F21D9A"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lastRenderedPageBreak/>
        <w:t>Direct Expenditures</w:t>
      </w:r>
      <w:r>
        <w:rPr>
          <w:rFonts w:ascii="Google Sans" w:eastAsia="Google Sans" w:hAnsi="Google Sans" w:cs="Google Sans"/>
          <w:color w:val="1F1F1F"/>
        </w:rPr>
        <w:t>: General Fund dollars diverted to the DOC.</w:t>
      </w:r>
    </w:p>
    <w:p w14:paraId="690EC89A" w14:textId="77777777" w:rsidR="00F21D9A"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Opportunity Costs</w:t>
      </w:r>
      <w:r>
        <w:rPr>
          <w:rFonts w:ascii="Google Sans" w:eastAsia="Google Sans" w:hAnsi="Google Sans" w:cs="Google Sans"/>
          <w:color w:val="1F1F1F"/>
        </w:rPr>
        <w:t>: The $150 million construction cost could fund over 4 million buprenorphine treatments or provide nearly universal naloxone saturation across the state.</w:t>
      </w:r>
      <w:r>
        <w:rPr>
          <w:rFonts w:ascii="Google Sans" w:eastAsia="Google Sans" w:hAnsi="Google Sans" w:cs="Google Sans"/>
          <w:color w:val="444746"/>
          <w:sz w:val="24"/>
          <w:szCs w:val="24"/>
          <w:vertAlign w:val="superscript"/>
        </w:rPr>
        <w:t>1</w:t>
      </w:r>
    </w:p>
    <w:p w14:paraId="7732B1E1" w14:textId="77777777" w:rsidR="00F21D9A"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Human Capital Loss</w:t>
      </w:r>
      <w:r>
        <w:rPr>
          <w:rFonts w:ascii="Google Sans" w:eastAsia="Google Sans" w:hAnsi="Google Sans" w:cs="Google Sans"/>
          <w:color w:val="1F1F1F"/>
        </w:rPr>
        <w:t>: The 842.8 additional individuals projected to be in prison by 2031 will suffer a permanent reduction in legitimate earning potential, increasing the long-term tax burden on the state.</w:t>
      </w:r>
      <w:r>
        <w:rPr>
          <w:rFonts w:ascii="Google Sans" w:eastAsia="Google Sans" w:hAnsi="Google Sans" w:cs="Google Sans"/>
          <w:color w:val="444746"/>
          <w:sz w:val="24"/>
          <w:szCs w:val="24"/>
          <w:vertAlign w:val="superscript"/>
        </w:rPr>
        <w:t>1</w:t>
      </w:r>
    </w:p>
    <w:p w14:paraId="6EDF0131" w14:textId="77777777" w:rsidR="00F21D9A"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Conversely, the "social benefit"—deterrence of fentanyl use and distribution—is empirically unsupported by recent Colorado data.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Therefore, from a Beckerian perspective, Initiative 85 likely represents an "inefficient" policy that imposes a net social loss on the people of Colorado.</w:t>
      </w:r>
    </w:p>
    <w:p w14:paraId="7C3DA9C3"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Racial Disparities and the "Justice Gap"</w:t>
      </w:r>
    </w:p>
    <w:p w14:paraId="64A68C82"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Vera Institute and the Urban Institute have documented that punitive drug policies "exacerbate racial disparities within the criminal justice system" while failing to solve the health crisis.</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Initiative 85’s reclassification of possession as a Level 3 or 4 felony is particularly significant in this context. Level 2 evidence from the US Sentencing Commission (2023) shows that Black and Hispanic males are 23.4% and 26.6% less likely, respectively, to receive a probationary sentence compared to White males for the same drug offenses.</w:t>
      </w:r>
      <w:r>
        <w:rPr>
          <w:rFonts w:ascii="Google Sans" w:eastAsia="Google Sans" w:hAnsi="Google Sans" w:cs="Google Sans"/>
          <w:color w:val="444746"/>
          <w:sz w:val="24"/>
          <w:szCs w:val="24"/>
          <w:vertAlign w:val="superscript"/>
        </w:rPr>
        <w:t>32</w:t>
      </w:r>
    </w:p>
    <w:p w14:paraId="64693C01"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increasing the felony level of possession, Initiative 85 moves these cases into a category where incarceration is the default, effectively "locking in" these demographic disparities.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As Tuttle (2025) notes, legal thresholds (like the 1-gram and 4-gram cutoffs in the initiative) give prosecutors immense power to influence final sentences by deciding which weight to charge, a discretion that has historically been used more severely against minority offenders.</w:t>
      </w:r>
      <w:r>
        <w:rPr>
          <w:rFonts w:ascii="Google Sans" w:eastAsia="Google Sans" w:hAnsi="Google Sans" w:cs="Google Sans"/>
          <w:color w:val="444746"/>
          <w:sz w:val="24"/>
          <w:szCs w:val="24"/>
          <w:vertAlign w:val="superscript"/>
        </w:rPr>
        <w:t>33</w:t>
      </w:r>
    </w:p>
    <w:p w14:paraId="342FD7F8"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2025 "Illusionary Spike" and Evidence-Based Policy</w:t>
      </w:r>
    </w:p>
    <w:p w14:paraId="2A7D0443"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critical lesson for policymakers comes from the April 2026 Northwestern University study, which analyzed the reported "surge" in overdose deaths in early 2025.</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The researchers found that the spike was a "statistical modeling artifact" caused by predictive models failing during a turning point in the epidemic.</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In fact, national overdose deaths reached a peak in August 2023 and have been in a sustained decline for over four decades.</w:t>
      </w:r>
      <w:r>
        <w:rPr>
          <w:rFonts w:ascii="Google Sans" w:eastAsia="Google Sans" w:hAnsi="Google Sans" w:cs="Google Sans"/>
          <w:color w:val="444746"/>
          <w:sz w:val="24"/>
          <w:szCs w:val="24"/>
          <w:vertAlign w:val="superscript"/>
        </w:rPr>
        <w:t>28</w:t>
      </w:r>
    </w:p>
    <w:p w14:paraId="1919368A"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finding suggests that Initiative 85 is a reactive response to a "spike" that may not reflect current epidemiological reality. Implementing high-cost, high-severity punitive measures during a period when existing health-focused strategies are already succeeding is a violation of the Beckerian principle of "optimal compliance".</w:t>
      </w:r>
      <w:r>
        <w:rPr>
          <w:rFonts w:ascii="Google Sans" w:eastAsia="Google Sans" w:hAnsi="Google Sans" w:cs="Google Sans"/>
          <w:color w:val="444746"/>
          <w:sz w:val="24"/>
          <w:szCs w:val="24"/>
          <w:vertAlign w:val="superscript"/>
        </w:rPr>
        <w:t>28</w:t>
      </w:r>
    </w:p>
    <w:p w14:paraId="774E0872"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Synthesis of the Evidence Inventory</w:t>
      </w:r>
    </w:p>
    <w:p w14:paraId="07A70616"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research prioritized in this analysis converges on several key points that challenge the logic of Initiative 85.</w:t>
      </w:r>
    </w:p>
    <w:p w14:paraId="2DA13975" w14:textId="77777777" w:rsidR="00F21D9A"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Table 4: Evidence Synthesis by Provision</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21D9A" w14:paraId="41D211AD"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26119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Initiative 85 Provision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7D069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Evidence Level</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72FF6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Certainty</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BC50B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Verdict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70FE2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Key Sources</w:t>
            </w:r>
          </w:p>
        </w:tc>
      </w:tr>
      <w:tr w:rsidR="00F21D9A" w14:paraId="04CD85A5"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FD03F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Trafficking Penalties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F8D3C8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58945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3F7A0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No deterrent effect detected</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39A074"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Nagin (2013); USSC (2025)</w:t>
            </w:r>
          </w:p>
        </w:tc>
      </w:tr>
      <w:tr w:rsidR="00F21D9A" w14:paraId="657B8C8A"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8CB60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Possession Felonies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2FEF07"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3</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9F1BA2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7E74F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No mortality benefit in CO</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35A97B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Krawczyk (2025); Guan (2025)</w:t>
            </w:r>
          </w:p>
        </w:tc>
      </w:tr>
      <w:tr w:rsidR="00F21D9A" w14:paraId="48840648"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FCB7F65"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Good Samaritan Rollback</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E329C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2</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1C7445C"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Moderate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9661AE"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Likely increases preventable deaths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82E050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DPA (2022); "Police Paradox" (2023)</w:t>
            </w:r>
          </w:p>
        </w:tc>
      </w:tr>
      <w:tr w:rsidR="00F21D9A" w14:paraId="67F3F375"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F1D419"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Treatment Mandates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6271B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B04606"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Moderate-High</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7B5342"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Effective only if MOUD is provided</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D35E737"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Mitchell (2012); Chatterjee (2023)</w:t>
            </w:r>
          </w:p>
        </w:tc>
      </w:tr>
      <w:tr w:rsidR="00F21D9A" w14:paraId="56274B46"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CFBE7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Naloxone Expansion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CB022D"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1F2023"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High</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20A380"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Strongly reduces fatal ODs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F2D411A" w14:textId="77777777" w:rsidR="00F21D9A"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NSC (2025); CDC (2024)</w:t>
            </w:r>
          </w:p>
        </w:tc>
      </w:tr>
    </w:tbl>
    <w:p w14:paraId="3C7FAB8D" w14:textId="77777777" w:rsidR="00F21D9A" w:rsidRDefault="00000000">
      <w:pPr>
        <w:pBdr>
          <w:top w:val="nil"/>
          <w:left w:val="nil"/>
          <w:bottom w:val="nil"/>
          <w:right w:val="nil"/>
          <w:between w:val="nil"/>
        </w:pBdr>
        <w:spacing w:before="48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Source: </w:t>
      </w:r>
      <w:r>
        <w:rPr>
          <w:rFonts w:ascii="Google Sans" w:eastAsia="Google Sans" w:hAnsi="Google Sans" w:cs="Google Sans"/>
          <w:color w:val="444746"/>
          <w:sz w:val="24"/>
          <w:szCs w:val="24"/>
          <w:vertAlign w:val="superscript"/>
        </w:rPr>
        <w:t>1</w:t>
      </w:r>
    </w:p>
    <w:p w14:paraId="08E50203"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evidence suggests that while Initiative 85’s "treatment-mandated felony" provision has some theoretical support (based on drug court meta-analyses), it is undermined by the broader punitive structure of the measure.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If the state invests heavily in prison beds (severity) rather than treatment slots (human capital), the mandate becomes a "rebranded" form of incarceration with little clinical benefit.</w:t>
      </w:r>
      <w:r>
        <w:rPr>
          <w:rFonts w:ascii="Google Sans" w:eastAsia="Google Sans" w:hAnsi="Google Sans" w:cs="Google Sans"/>
          <w:color w:val="444746"/>
          <w:sz w:val="24"/>
          <w:szCs w:val="24"/>
          <w:vertAlign w:val="superscript"/>
        </w:rPr>
        <w:t>18</w:t>
      </w:r>
    </w:p>
    <w:p w14:paraId="548AF2FF" w14:textId="77777777" w:rsidR="00F21D9A"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Conclusion: A Nuanced Path Forward</w:t>
      </w:r>
    </w:p>
    <w:p w14:paraId="71990C88"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evidence inventory and policy analysis of Colorado Initiative 85 indicate that the measure relies on a "severity-first" deterrence model that is largely unsupported by modern economic and criminological research. Gary Becker’s rational choice framework clarifies that without an increase in the certainty of apprehension, escalating penalties merely increases the social and fiscal burden of the crisis without reducing its lethality.</w:t>
      </w:r>
      <w:r>
        <w:rPr>
          <w:rFonts w:ascii="Google Sans" w:eastAsia="Google Sans" w:hAnsi="Google Sans" w:cs="Google Sans"/>
          <w:color w:val="444746"/>
          <w:sz w:val="24"/>
          <w:szCs w:val="24"/>
          <w:vertAlign w:val="superscript"/>
        </w:rPr>
        <w:t>2</w:t>
      </w:r>
    </w:p>
    <w:p w14:paraId="1782ACD4" w14:textId="77777777" w:rsidR="00F21D9A"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most effective configuration for reducing harm and crime is a multi-pillar strategy that prioritizes human capital development (treatment and prevention) and social stability (harm reduction and housing) over severity-based enforcement.</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Newly identified data from 2024 and 2025 show that the overdose crisis is already responding to public health interventions and that the "fear-based" logic of penalty escalation may inadvertently reverse these gains by discouraging emergency reporting and destabilizing the illicit market.</w:t>
      </w:r>
      <w:r>
        <w:rPr>
          <w:rFonts w:ascii="Google Sans" w:eastAsia="Google Sans" w:hAnsi="Google Sans" w:cs="Google Sans"/>
          <w:color w:val="444746"/>
          <w:sz w:val="24"/>
          <w:szCs w:val="24"/>
          <w:vertAlign w:val="superscript"/>
        </w:rPr>
        <w:t>1</w:t>
      </w:r>
    </w:p>
    <w:p w14:paraId="0B2CF864" w14:textId="77777777" w:rsidR="00F21D9A" w:rsidRDefault="00000000">
      <w:pPr>
        <w:pBdr>
          <w:top w:val="nil"/>
          <w:left w:val="nil"/>
          <w:bottom w:val="nil"/>
          <w:right w:val="nil"/>
          <w:between w:val="nil"/>
        </w:pBdr>
        <w:spacing w:after="255"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For Colorado voters and policymakers, the evidence strongly suggests that the $200 million projected for the implementation of Initiative 85 would yield a significantly higher "social return" if invested in the saturation of MOUD services and naloxone access—strategies that the Level 4 and 5 evidence base confirms save lives and reduce crime in the fentanyl era.</w:t>
      </w:r>
      <w:r>
        <w:rPr>
          <w:rFonts w:ascii="Google Sans" w:eastAsia="Google Sans" w:hAnsi="Google Sans" w:cs="Google Sans"/>
          <w:color w:val="444746"/>
          <w:sz w:val="24"/>
          <w:szCs w:val="24"/>
          <w:vertAlign w:val="superscript"/>
        </w:rPr>
        <w:t>1</w:t>
      </w:r>
    </w:p>
    <w:p w14:paraId="5741D0B8" w14:textId="77777777" w:rsidR="00F21D9A"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12F10C1F"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Initiative_85_research_listing_from_spreadsheet_txt.xlsx</w:t>
      </w:r>
    </w:p>
    <w:p w14:paraId="446ABC9B"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Participation in Illegitimate Activities: A Theoretical and Empirical Investigation | Journal of Political Economy: Vol 81, No 3, accessed May 8, 2026, </w:t>
      </w:r>
      <w:hyperlink r:id="rId8">
        <w:r>
          <w:rPr>
            <w:rFonts w:ascii="Google Sans" w:eastAsia="Google Sans" w:hAnsi="Google Sans" w:cs="Google Sans"/>
            <w:color w:val="0000EE"/>
            <w:sz w:val="24"/>
            <w:szCs w:val="24"/>
            <w:u w:val="single"/>
          </w:rPr>
          <w:t>https://www.journals.uchicago.edu/doi/10.1086/260058</w:t>
        </w:r>
      </w:hyperlink>
    </w:p>
    <w:p w14:paraId="4DD25AC1"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The Economics of Crime and Punishment, accessed May 8, 2026, </w:t>
      </w:r>
      <w:hyperlink r:id="rId9">
        <w:r>
          <w:rPr>
            <w:rFonts w:ascii="Google Sans" w:eastAsia="Google Sans" w:hAnsi="Google Sans" w:cs="Google Sans"/>
            <w:color w:val="0000EE"/>
            <w:sz w:val="24"/>
            <w:szCs w:val="24"/>
            <w:u w:val="single"/>
          </w:rPr>
          <w:t>http://masonlec.org/site/rte_uploads/files/JEP/Readings/Butler%20Economic%20Analysis%20for%20Lawyers%203rd%20ed/CH%20VII%20Crime.pdf</w:t>
        </w:r>
      </w:hyperlink>
    </w:p>
    <w:p w14:paraId="19F06CCA"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Criminal Incentives: A Horrible Illustration - Econlib, accessed May 8, 2026, </w:t>
      </w:r>
      <w:hyperlink r:id="rId10">
        <w:r>
          <w:rPr>
            <w:rFonts w:ascii="Google Sans" w:eastAsia="Google Sans" w:hAnsi="Google Sans" w:cs="Google Sans"/>
            <w:color w:val="0000EE"/>
            <w:sz w:val="24"/>
            <w:szCs w:val="24"/>
            <w:u w:val="single"/>
          </w:rPr>
          <w:t>https://www.econlib.org/criminal-incentives-a-horrible-illustration/</w:t>
        </w:r>
      </w:hyperlink>
    </w:p>
    <w:p w14:paraId="378A5095"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Looking Beyond the Sentence | Urban Institute, accessed May 8, 2026, </w:t>
      </w:r>
      <w:hyperlink r:id="rId11">
        <w:r>
          <w:rPr>
            <w:rFonts w:ascii="Google Sans" w:eastAsia="Google Sans" w:hAnsi="Google Sans" w:cs="Google Sans"/>
            <w:color w:val="0000EE"/>
            <w:sz w:val="24"/>
            <w:szCs w:val="24"/>
            <w:u w:val="single"/>
          </w:rPr>
          <w:t>https://www.urban.org/sites/default/files/2023-01/Looking%20Beyond%20the%20Sentence.pdf</w:t>
        </w:r>
      </w:hyperlink>
    </w:p>
    <w:p w14:paraId="50423DBE"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One in Five: Racial Disparity in Imprisonment — Causes and Remedies - The </w:t>
      </w:r>
      <w:r>
        <w:rPr>
          <w:rFonts w:ascii="Google Sans" w:eastAsia="Google Sans" w:hAnsi="Google Sans" w:cs="Google Sans"/>
          <w:sz w:val="24"/>
          <w:szCs w:val="24"/>
        </w:rPr>
        <w:lastRenderedPageBreak/>
        <w:t xml:space="preserve">Sentencing Project, accessed May 8, 2026, </w:t>
      </w:r>
      <w:hyperlink r:id="rId12">
        <w:r>
          <w:rPr>
            <w:rFonts w:ascii="Google Sans" w:eastAsia="Google Sans" w:hAnsi="Google Sans" w:cs="Google Sans"/>
            <w:color w:val="0000EE"/>
            <w:sz w:val="24"/>
            <w:szCs w:val="24"/>
            <w:u w:val="single"/>
          </w:rPr>
          <w:t>https://www.sentencingproject.org/reports/one-in-five-racial-disparity-in-imprisonment-causes-and-remedies/</w:t>
        </w:r>
      </w:hyperlink>
    </w:p>
    <w:p w14:paraId="18478528"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Misaligned incentives and the scale of incarceration in the United States, accessed May 8, 2026, </w:t>
      </w:r>
      <w:hyperlink r:id="rId13">
        <w:r>
          <w:rPr>
            <w:rFonts w:ascii="Google Sans" w:eastAsia="Google Sans" w:hAnsi="Google Sans" w:cs="Google Sans"/>
            <w:color w:val="0000EE"/>
            <w:sz w:val="24"/>
            <w:szCs w:val="24"/>
            <w:u w:val="single"/>
          </w:rPr>
          <w:t>https://aouss.github.io/ouss_incentives_justice.pdf</w:t>
        </w:r>
      </w:hyperlink>
    </w:p>
    <w:p w14:paraId="0ACC0EED"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Appropriate Penalties for Assaulting Politicians and Their Relatives - Econlib, accessed May 8, 2026, </w:t>
      </w:r>
      <w:hyperlink r:id="rId14">
        <w:r>
          <w:rPr>
            <w:rFonts w:ascii="Google Sans" w:eastAsia="Google Sans" w:hAnsi="Google Sans" w:cs="Google Sans"/>
            <w:color w:val="0000EE"/>
            <w:sz w:val="24"/>
            <w:szCs w:val="24"/>
            <w:u w:val="single"/>
          </w:rPr>
          <w:t>https://www.econlib.org/appropriate-penalties-for-assaulting-politicians-and-their-relatives/</w:t>
        </w:r>
      </w:hyperlink>
    </w:p>
    <w:p w14:paraId="516540D6"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Education, Work, and Crime: Theory and Evidence - University of Rochester, accessed May 8, 2026, </w:t>
      </w:r>
      <w:hyperlink r:id="rId15">
        <w:r>
          <w:rPr>
            <w:rFonts w:ascii="Google Sans" w:eastAsia="Google Sans" w:hAnsi="Google Sans" w:cs="Google Sans"/>
            <w:color w:val="0000EE"/>
            <w:sz w:val="24"/>
            <w:szCs w:val="24"/>
            <w:u w:val="single"/>
          </w:rPr>
          <w:t>https://rcer.econ.rochester.edu/RCERPAPERS/rcer_465.pdf</w:t>
        </w:r>
      </w:hyperlink>
    </w:p>
    <w:p w14:paraId="34752810"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Crime and the Labor Market - CReAM, accessed May 8, 2026, </w:t>
      </w:r>
      <w:hyperlink r:id="rId16">
        <w:r>
          <w:rPr>
            <w:rFonts w:ascii="Google Sans" w:eastAsia="Google Sans" w:hAnsi="Google Sans" w:cs="Google Sans"/>
            <w:color w:val="0000EE"/>
            <w:sz w:val="24"/>
            <w:szCs w:val="24"/>
            <w:u w:val="single"/>
          </w:rPr>
          <w:t>https://m.cream-migration.org/publ_uploads/24026.pdf</w:t>
        </w:r>
      </w:hyperlink>
    </w:p>
    <w:p w14:paraId="0D8EAAE2"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(PDF) Empirical Evidence on Human Capital Externalities - ResearchGate, accessed May 8, 2026, </w:t>
      </w:r>
      <w:hyperlink r:id="rId17">
        <w:r>
          <w:rPr>
            <w:rFonts w:ascii="Google Sans" w:eastAsia="Google Sans" w:hAnsi="Google Sans" w:cs="Google Sans"/>
            <w:color w:val="0000EE"/>
            <w:sz w:val="24"/>
            <w:szCs w:val="24"/>
            <w:u w:val="single"/>
          </w:rPr>
          <w:t>https://www.researchgate.net/publication/5022150_Empirical_Evidence_on_Human_Capital_Externalities</w:t>
        </w:r>
      </w:hyperlink>
    </w:p>
    <w:p w14:paraId="353E5500"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Federico Masera | IDEAS/RePEc, accessed May 8, 2026, </w:t>
      </w:r>
      <w:hyperlink r:id="rId18">
        <w:r>
          <w:rPr>
            <w:rFonts w:ascii="Google Sans" w:eastAsia="Google Sans" w:hAnsi="Google Sans" w:cs="Google Sans"/>
            <w:color w:val="0000EE"/>
            <w:sz w:val="24"/>
            <w:szCs w:val="24"/>
            <w:u w:val="single"/>
          </w:rPr>
          <w:t>https://ideas.repec.org/f/pma1994.html</w:t>
        </w:r>
      </w:hyperlink>
    </w:p>
    <w:p w14:paraId="334FC3FB"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Is Portugal's drug policy a success? - Econlib, accessed May 8, 2026, </w:t>
      </w:r>
      <w:hyperlink r:id="rId19">
        <w:r>
          <w:rPr>
            <w:rFonts w:ascii="Google Sans" w:eastAsia="Google Sans" w:hAnsi="Google Sans" w:cs="Google Sans"/>
            <w:color w:val="0000EE"/>
            <w:sz w:val="24"/>
            <w:szCs w:val="24"/>
            <w:u w:val="single"/>
          </w:rPr>
          <w:t>https://www.econlib.org/archives/2017/12/is_portugals_dr.html</w:t>
        </w:r>
      </w:hyperlink>
    </w:p>
    <w:p w14:paraId="161E4C01"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FAMM Policy Briefing: Mandatory Minimum Sentences, accessed May 8, 2026, </w:t>
      </w:r>
      <w:hyperlink r:id="rId20">
        <w:r>
          <w:rPr>
            <w:rFonts w:ascii="Google Sans" w:eastAsia="Google Sans" w:hAnsi="Google Sans" w:cs="Google Sans"/>
            <w:color w:val="0000EE"/>
            <w:sz w:val="24"/>
            <w:szCs w:val="24"/>
            <w:u w:val="single"/>
          </w:rPr>
          <w:t>https://famm.org/wp-content/uploads/2024/03/Mandatory-Minimum-Briefing-Paper-Final.pdf</w:t>
        </w:r>
      </w:hyperlink>
    </w:p>
    <w:p w14:paraId="23567158"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Implementation of a Statewide Fentanyl Possession Law and Opioid ..., accessed May 8, 2026, </w:t>
      </w:r>
      <w:hyperlink r:id="rId21">
        <w:r>
          <w:rPr>
            <w:rFonts w:ascii="Google Sans" w:eastAsia="Google Sans" w:hAnsi="Google Sans" w:cs="Google Sans"/>
            <w:color w:val="0000EE"/>
            <w:sz w:val="24"/>
            <w:szCs w:val="24"/>
            <w:u w:val="single"/>
          </w:rPr>
          <w:t>https://pmc.ncbi.nlm.nih.gov/articles/PMC12317351/</w:t>
        </w:r>
      </w:hyperlink>
    </w:p>
    <w:p w14:paraId="46471289"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A discussion of critical errors in a longitudinal study on the deterrent effect of drug‐induced homicide laws on opioid‐related mortality across 92 counties and the District of Columbia in the United States - ResearchGate, accessed May 8, 2026, </w:t>
      </w:r>
      <w:hyperlink r:id="rId22">
        <w:r>
          <w:rPr>
            <w:rFonts w:ascii="Google Sans" w:eastAsia="Google Sans" w:hAnsi="Google Sans" w:cs="Google Sans"/>
            <w:color w:val="0000EE"/>
            <w:sz w:val="24"/>
            <w:szCs w:val="24"/>
            <w:u w:val="single"/>
          </w:rPr>
          <w:t>https://www.researchgate.net/publication/370967710_A_discussion_of_critical_errors_in_a_longitudinal_study_on_the_deterrent_effect_of_drug-induced_homicide_laws_on_opioid-related_mortality_across_92_counties_and_the_District_of_Columbia_in_the_United_</w:t>
        </w:r>
      </w:hyperlink>
    </w:p>
    <w:p w14:paraId="2F9EFC3E"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Fentanyl Crisis: Neuroscience, Law, and Public Health Insights - European Society of Medicine, accessed May 8, 2026, </w:t>
      </w:r>
      <w:hyperlink r:id="rId23">
        <w:r>
          <w:rPr>
            <w:rFonts w:ascii="Google Sans" w:eastAsia="Google Sans" w:hAnsi="Google Sans" w:cs="Google Sans"/>
            <w:color w:val="0000EE"/>
            <w:sz w:val="24"/>
            <w:szCs w:val="24"/>
            <w:u w:val="single"/>
          </w:rPr>
          <w:t>https://esmed.org/fentanyl-crisis-neuroscience-law-and-public-health-insights/</w:t>
        </w:r>
      </w:hyperlink>
    </w:p>
    <w:p w14:paraId="013FB4A3"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THE DRUG TREATMENT DEBATE, accessed May 8, 2026, </w:t>
      </w:r>
      <w:hyperlink r:id="rId24">
        <w:r>
          <w:rPr>
            <w:rFonts w:ascii="Google Sans" w:eastAsia="Google Sans" w:hAnsi="Google Sans" w:cs="Google Sans"/>
            <w:color w:val="0000EE"/>
            <w:sz w:val="24"/>
            <w:szCs w:val="24"/>
            <w:u w:val="single"/>
          </w:rPr>
          <w:t>https://drugpolicy.org/wp-content/uploads/2024/09/TheDrugTreatmentDebate_10.30.24-Interactive.pdf</w:t>
        </w:r>
      </w:hyperlink>
    </w:p>
    <w:p w14:paraId="04018A17"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Naloxone in the Workplace: State Laws and Employer Considerations - National Safety Council, accessed May 8, 2026, </w:t>
      </w:r>
      <w:hyperlink r:id="rId25">
        <w:r>
          <w:rPr>
            <w:rFonts w:ascii="Google Sans" w:eastAsia="Google Sans" w:hAnsi="Google Sans" w:cs="Google Sans"/>
            <w:color w:val="0000EE"/>
            <w:sz w:val="24"/>
            <w:szCs w:val="24"/>
            <w:u w:val="single"/>
          </w:rPr>
          <w:t>https://www.nsc.org/getmedia/a6c6de5c-</w:t>
        </w:r>
        <w:r>
          <w:rPr>
            <w:rFonts w:ascii="Google Sans" w:eastAsia="Google Sans" w:hAnsi="Google Sans" w:cs="Google Sans"/>
            <w:color w:val="0000EE"/>
            <w:sz w:val="24"/>
            <w:szCs w:val="24"/>
            <w:u w:val="single"/>
          </w:rPr>
          <w:lastRenderedPageBreak/>
          <w:t>6f64-481d-b100-c5a50b0e9f9d/wp-wellbeing-ksa-report-naloxone.pdf</w:t>
        </w:r>
      </w:hyperlink>
    </w:p>
    <w:p w14:paraId="4A1B42A9"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Fentanyl Test Strips for Harm Reduction: A Scoping Review - PMC, accessed May 8, 2026, </w:t>
      </w:r>
      <w:hyperlink r:id="rId26">
        <w:r>
          <w:rPr>
            <w:rFonts w:ascii="Google Sans" w:eastAsia="Google Sans" w:hAnsi="Google Sans" w:cs="Google Sans"/>
            <w:color w:val="0000EE"/>
            <w:sz w:val="24"/>
            <w:szCs w:val="24"/>
            <w:u w:val="single"/>
          </w:rPr>
          <w:t>https://pmc.ncbi.nlm.nih.gov/articles/PMC11290989/</w:t>
        </w:r>
      </w:hyperlink>
    </w:p>
    <w:p w14:paraId="12D93C79"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The police paradox: A qualitative study of post-overdose outreach program implementation through public health-public safety partnerships in Massachusetts | Request PDF - ResearchGate, accessed May 8, 2026, </w:t>
      </w:r>
      <w:hyperlink r:id="rId27">
        <w:r>
          <w:rPr>
            <w:rFonts w:ascii="Google Sans" w:eastAsia="Google Sans" w:hAnsi="Google Sans" w:cs="Google Sans"/>
            <w:color w:val="0000EE"/>
            <w:sz w:val="24"/>
            <w:szCs w:val="24"/>
            <w:u w:val="single"/>
          </w:rPr>
          <w:t>https://www.researchgate.net/publication/373238004_The_police_paradox_A_qualitative_study_of_post-overdose_outreach_program_implementation_through_public_health-public_safety_partnerships_in_Massachusetts</w:t>
        </w:r>
      </w:hyperlink>
    </w:p>
    <w:p w14:paraId="32F1B7D6"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“There's No Heroin Around Anymore. It's All Fentanyl.” Adaptation of an Opioid Overdose Prevention Counseling Approach to Address Fentanyl Overdose: Formative Study, accessed May 8, 2026, </w:t>
      </w:r>
      <w:hyperlink r:id="rId28">
        <w:r>
          <w:rPr>
            <w:rFonts w:ascii="Google Sans" w:eastAsia="Google Sans" w:hAnsi="Google Sans" w:cs="Google Sans"/>
            <w:color w:val="0000EE"/>
            <w:sz w:val="24"/>
            <w:szCs w:val="24"/>
            <w:u w:val="single"/>
          </w:rPr>
          <w:t>https://formative.jmir.org/2022/9/e37483</w:t>
        </w:r>
      </w:hyperlink>
    </w:p>
    <w:p w14:paraId="7E266A53"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DRUG-INDUCED HOMICIDE LAWS, accessed May 8, 2026, </w:t>
      </w:r>
      <w:hyperlink r:id="rId29">
        <w:r>
          <w:rPr>
            <w:rFonts w:ascii="Google Sans" w:eastAsia="Google Sans" w:hAnsi="Google Sans" w:cs="Google Sans"/>
            <w:color w:val="0000EE"/>
            <w:sz w:val="24"/>
            <w:szCs w:val="24"/>
            <w:u w:val="single"/>
          </w:rPr>
          <w:t>https://drugpolicy.org/wp-content/uploads/2024/08/DPA-DIHLawFactSheet-InDesign-Interactive.pdf</w:t>
        </w:r>
      </w:hyperlink>
    </w:p>
    <w:p w14:paraId="22C9ED56"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Harm reduction An evidence-based approach to the drug war, accessed May 8, 2026, </w:t>
      </w:r>
      <w:hyperlink r:id="rId30">
        <w:r>
          <w:rPr>
            <w:rFonts w:ascii="Google Sans" w:eastAsia="Google Sans" w:hAnsi="Google Sans" w:cs="Google Sans"/>
            <w:color w:val="0000EE"/>
            <w:sz w:val="24"/>
            <w:szCs w:val="24"/>
            <w:u w:val="single"/>
          </w:rPr>
          <w:t>https://reason.org/wp-content/uploads/harm-reduction-evidence-based-approach-drug-war.pdf</w:t>
        </w:r>
      </w:hyperlink>
    </w:p>
    <w:p w14:paraId="37A2C765"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A Transformative Whole-of-Government Model to Reduce Opioid Use Harms and Deaths, accessed May 8, 2026, </w:t>
      </w:r>
      <w:hyperlink r:id="rId31">
        <w:r>
          <w:rPr>
            <w:rFonts w:ascii="Google Sans" w:eastAsia="Google Sans" w:hAnsi="Google Sans" w:cs="Google Sans"/>
            <w:color w:val="0000EE"/>
            <w:sz w:val="24"/>
            <w:szCs w:val="24"/>
            <w:u w:val="single"/>
          </w:rPr>
          <w:t>https://phlr.temple.edu/sites/phlr/files/documents/CPHLR-WGDrugPolicy_AllPts.pdf</w:t>
        </w:r>
      </w:hyperlink>
    </w:p>
    <w:p w14:paraId="7AC84EA5"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The Opioid Crisis: Federal Policy Approaches to Reduce Supply, Demand, and Harm, accessed May 8, 2026, </w:t>
      </w:r>
      <w:hyperlink r:id="rId32">
        <w:r>
          <w:rPr>
            <w:rFonts w:ascii="Google Sans" w:eastAsia="Google Sans" w:hAnsi="Google Sans" w:cs="Google Sans"/>
            <w:color w:val="0000EE"/>
            <w:sz w:val="24"/>
            <w:szCs w:val="24"/>
            <w:u w:val="single"/>
          </w:rPr>
          <w:t>https://www.cbo.gov/publication/62009</w:t>
        </w:r>
      </w:hyperlink>
    </w:p>
    <w:p w14:paraId="717E11CA"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Burden of overdoses among persons with opioid use disorder in the United States, 2025–2028: a simulation modeling study - PMC, accessed May 8, 2026, </w:t>
      </w:r>
      <w:hyperlink r:id="rId33">
        <w:r>
          <w:rPr>
            <w:rFonts w:ascii="Google Sans" w:eastAsia="Google Sans" w:hAnsi="Google Sans" w:cs="Google Sans"/>
            <w:color w:val="0000EE"/>
            <w:sz w:val="24"/>
            <w:szCs w:val="24"/>
            <w:u w:val="single"/>
          </w:rPr>
          <w:t>https://pmc.ncbi.nlm.nih.gov/articles/PMC12997189/</w:t>
        </w:r>
      </w:hyperlink>
    </w:p>
    <w:p w14:paraId="0C7D6A59"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Reported 2025 drug overdose 'spike' was an illusion, new study finds - Northwestern Now, accessed May 8, 2026, </w:t>
      </w:r>
      <w:hyperlink r:id="rId34">
        <w:r>
          <w:rPr>
            <w:rFonts w:ascii="Google Sans" w:eastAsia="Google Sans" w:hAnsi="Google Sans" w:cs="Google Sans"/>
            <w:color w:val="0000EE"/>
            <w:sz w:val="24"/>
            <w:szCs w:val="24"/>
            <w:u w:val="single"/>
          </w:rPr>
          <w:t>https://news.northwestern.edu/stories/2026/4/reported-2025-drug-overdose-spike-was-an-illusion-new-study-finds</w:t>
        </w:r>
      </w:hyperlink>
    </w:p>
    <w:p w14:paraId="42658477"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Duke Law Journal, accessed May 8, 2026, </w:t>
      </w:r>
      <w:hyperlink r:id="rId35">
        <w:r>
          <w:rPr>
            <w:rFonts w:ascii="Google Sans" w:eastAsia="Google Sans" w:hAnsi="Google Sans" w:cs="Google Sans"/>
            <w:color w:val="0000EE"/>
            <w:sz w:val="24"/>
            <w:szCs w:val="24"/>
            <w:u w:val="single"/>
          </w:rPr>
          <w:t>https://scholarship.law.duke.edu/cgi/viewcontent.cgi?article=3104&amp;context=dlj</w:t>
        </w:r>
      </w:hyperlink>
    </w:p>
    <w:p w14:paraId="4B97A28B"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New Report Offers Community-Based Solutions to Epidemic of Overdose Deaths Nationwide | Vera Institute, accessed May 8, 2026, </w:t>
      </w:r>
      <w:hyperlink r:id="rId36">
        <w:r>
          <w:rPr>
            <w:rFonts w:ascii="Google Sans" w:eastAsia="Google Sans" w:hAnsi="Google Sans" w:cs="Google Sans"/>
            <w:color w:val="0000EE"/>
            <w:sz w:val="24"/>
            <w:szCs w:val="24"/>
            <w:u w:val="single"/>
          </w:rPr>
          <w:t>https://www.vera.org/newsroom/new-report-offers-community-based-solutions-to-epidemic-of-overdose-deaths-nationwide</w:t>
        </w:r>
      </w:hyperlink>
    </w:p>
    <w:p w14:paraId="13439C1F"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Annual Report 2024 - Vera Institute, accessed May 8, 2026, </w:t>
      </w:r>
      <w:hyperlink r:id="rId37">
        <w:r>
          <w:rPr>
            <w:rFonts w:ascii="Google Sans" w:eastAsia="Google Sans" w:hAnsi="Google Sans" w:cs="Google Sans"/>
            <w:color w:val="0000EE"/>
            <w:sz w:val="24"/>
            <w:szCs w:val="24"/>
            <w:u w:val="single"/>
          </w:rPr>
          <w:t>https://www.vera.org/publications/annual-report-2024</w:t>
        </w:r>
      </w:hyperlink>
    </w:p>
    <w:p w14:paraId="23C8FAC6"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2023 Demographic Differences in Federal Sentencing, accessed May 8, 2026, </w:t>
      </w:r>
      <w:hyperlink r:id="rId38">
        <w:r>
          <w:rPr>
            <w:rFonts w:ascii="Google Sans" w:eastAsia="Google Sans" w:hAnsi="Google Sans" w:cs="Google Sans"/>
            <w:color w:val="0000EE"/>
            <w:sz w:val="24"/>
            <w:szCs w:val="24"/>
            <w:u w:val="single"/>
          </w:rPr>
          <w:t>https://www.ussc.gov/research/research-reports/2023-demographic-differences-federal-sentencing</w:t>
        </w:r>
      </w:hyperlink>
    </w:p>
    <w:p w14:paraId="70494988"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lastRenderedPageBreak/>
        <w:t xml:space="preserve">Racial Disparities in Federal Sentencing: Evidence from Drug ..., accessed May 8, 2026, </w:t>
      </w:r>
      <w:hyperlink r:id="rId39">
        <w:r>
          <w:rPr>
            <w:rFonts w:ascii="Google Sans" w:eastAsia="Google Sans" w:hAnsi="Google Sans" w:cs="Google Sans"/>
            <w:color w:val="0000EE"/>
            <w:sz w:val="24"/>
            <w:szCs w:val="24"/>
            <w:u w:val="single"/>
          </w:rPr>
          <w:t>https://codytuttle.github.io/tuttle_mandatory_minimums.pdf</w:t>
        </w:r>
      </w:hyperlink>
    </w:p>
    <w:p w14:paraId="4696CACF"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Opioid Deaths Fall as Law Enforcement and Public Health Find ..., accessed May 8, 2026, </w:t>
      </w:r>
      <w:hyperlink r:id="rId40">
        <w:r>
          <w:rPr>
            <w:rFonts w:ascii="Google Sans" w:eastAsia="Google Sans" w:hAnsi="Google Sans" w:cs="Google Sans"/>
            <w:color w:val="0000EE"/>
            <w:sz w:val="24"/>
            <w:szCs w:val="24"/>
            <w:u w:val="single"/>
          </w:rPr>
          <w:t>https://perf.memberclicks.net/assets/Opioids2025.pdf</w:t>
        </w:r>
      </w:hyperlink>
    </w:p>
    <w:p w14:paraId="21EF5053" w14:textId="77777777" w:rsidR="00F21D9A"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Involuntary Commitment | United States - The Action Lab, accessed May 8, 2026, </w:t>
      </w:r>
      <w:hyperlink r:id="rId41">
        <w:r>
          <w:rPr>
            <w:rFonts w:ascii="Google Sans" w:eastAsia="Google Sans" w:hAnsi="Google Sans" w:cs="Google Sans"/>
            <w:color w:val="0000EE"/>
            <w:sz w:val="24"/>
            <w:szCs w:val="24"/>
            <w:u w:val="single"/>
          </w:rPr>
          <w:t>https://www.healthinjustice.org/involuntary-commitment</w:t>
        </w:r>
      </w:hyperlink>
    </w:p>
    <w:sectPr w:rsidR="00F21D9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F433EF8-8D7B-49D6-AA9E-C7F97C824960}"/>
  </w:font>
  <w:font w:name="Google Sans">
    <w:charset w:val="00"/>
    <w:family w:val="auto"/>
    <w:pitch w:val="default"/>
    <w:embedRegular r:id="rId2" w:fontKey="{BE0736AD-3BA8-4727-8720-2CF5BD5028F2}"/>
    <w:embedBold r:id="rId3" w:fontKey="{6B077924-321C-42FA-AED7-0BE520EFE2F2}"/>
    <w:embedItalic r:id="rId4" w:fontKey="{39E7EEDA-E3E3-43A7-A783-ADA7595F214B}"/>
  </w:font>
  <w:font w:name="Calibri">
    <w:panose1 w:val="020F0502020204030204"/>
    <w:charset w:val="00"/>
    <w:family w:val="swiss"/>
    <w:pitch w:val="variable"/>
    <w:sig w:usb0="E4002EFF" w:usb1="C200247B" w:usb2="00000009" w:usb3="00000000" w:csb0="000001FF" w:csb1="00000000"/>
    <w:embedRegular r:id="rId5" w:fontKey="{E810C0FA-41E9-4A0C-AC97-8172D541CDFA}"/>
  </w:font>
  <w:font w:name="Cambria">
    <w:panose1 w:val="02040503050406030204"/>
    <w:charset w:val="00"/>
    <w:family w:val="roman"/>
    <w:pitch w:val="variable"/>
    <w:sig w:usb0="E00006FF" w:usb1="420024FF" w:usb2="02000000" w:usb3="00000000" w:csb0="0000019F" w:csb1="00000000"/>
    <w:embedRegular r:id="rId6" w:fontKey="{934BE3FE-24DF-4F1B-9CA2-4BE7EB44AA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485C"/>
    <w:multiLevelType w:val="multilevel"/>
    <w:tmpl w:val="66B232E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3F22B37"/>
    <w:multiLevelType w:val="multilevel"/>
    <w:tmpl w:val="4260ECB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7434FC8"/>
    <w:multiLevelType w:val="multilevel"/>
    <w:tmpl w:val="F180542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68306198">
    <w:abstractNumId w:val="1"/>
  </w:num>
  <w:num w:numId="2" w16cid:durableId="1737583324">
    <w:abstractNumId w:val="0"/>
  </w:num>
  <w:num w:numId="3" w16cid:durableId="2110736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9A"/>
    <w:rsid w:val="00E9494C"/>
    <w:rsid w:val="00F21D9A"/>
    <w:rsid w:val="00F5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C02D4"/>
  <w15:docId w15:val="{7D1F0EC3-5D49-4A9B-BC08-41FE548B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ouss.github.io/ouss_incentives_justice.pdf" TargetMode="External"/><Relationship Id="rId18" Type="http://schemas.openxmlformats.org/officeDocument/2006/relationships/hyperlink" Target="https://ideas.repec.org/f/pma1994.html" TargetMode="External"/><Relationship Id="rId26" Type="http://schemas.openxmlformats.org/officeDocument/2006/relationships/hyperlink" Target="https://pmc.ncbi.nlm.nih.gov/articles/PMC11290989/" TargetMode="External"/><Relationship Id="rId39" Type="http://schemas.openxmlformats.org/officeDocument/2006/relationships/hyperlink" Target="https://codytuttle.github.io/tuttle_mandatory_minimums.pdf" TargetMode="External"/><Relationship Id="rId21" Type="http://schemas.openxmlformats.org/officeDocument/2006/relationships/hyperlink" Target="https://pmc.ncbi.nlm.nih.gov/articles/PMC12317351/" TargetMode="External"/><Relationship Id="rId34" Type="http://schemas.openxmlformats.org/officeDocument/2006/relationships/hyperlink" Target="https://news.northwestern.edu/stories/2026/4/reported-2025-drug-overdose-spike-was-an-illusion-new-study-finds"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m.cream-migration.org/publ_uploads/24026.pdf" TargetMode="External"/><Relationship Id="rId20" Type="http://schemas.openxmlformats.org/officeDocument/2006/relationships/hyperlink" Target="https://famm.org/wp-content/uploads/2024/03/Mandatory-Minimum-Briefing-Paper-Final.pdf" TargetMode="External"/><Relationship Id="rId29" Type="http://schemas.openxmlformats.org/officeDocument/2006/relationships/hyperlink" Target="https://drugpolicy.org/wp-content/uploads/2024/08/DPA-DIHLawFactSheet-InDesign-Interactive.pdf" TargetMode="External"/><Relationship Id="rId41" Type="http://schemas.openxmlformats.org/officeDocument/2006/relationships/hyperlink" Target="https://www.healthinjustice.org/involuntary-commit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urban.org/sites/default/files/2023-01/Looking%20Beyond%20the%20Sentence.pdf" TargetMode="External"/><Relationship Id="rId24" Type="http://schemas.openxmlformats.org/officeDocument/2006/relationships/hyperlink" Target="https://drugpolicy.org/wp-content/uploads/2024/09/TheDrugTreatmentDebate_10.30.24-Interactive.pdf" TargetMode="External"/><Relationship Id="rId32" Type="http://schemas.openxmlformats.org/officeDocument/2006/relationships/hyperlink" Target="https://www.cbo.gov/publication/62009" TargetMode="External"/><Relationship Id="rId37" Type="http://schemas.openxmlformats.org/officeDocument/2006/relationships/hyperlink" Target="https://www.vera.org/publications/annual-report-2024" TargetMode="External"/><Relationship Id="rId40" Type="http://schemas.openxmlformats.org/officeDocument/2006/relationships/hyperlink" Target="https://perf.memberclicks.net/assets/Opioids2025.pdf" TargetMode="External"/><Relationship Id="rId5" Type="http://schemas.openxmlformats.org/officeDocument/2006/relationships/image" Target="media/image1.png"/><Relationship Id="rId15" Type="http://schemas.openxmlformats.org/officeDocument/2006/relationships/hyperlink" Target="https://rcer.econ.rochester.edu/RCERPAPERS/rcer_465.pdf" TargetMode="External"/><Relationship Id="rId23" Type="http://schemas.openxmlformats.org/officeDocument/2006/relationships/hyperlink" Target="https://esmed.org/fentanyl-crisis-neuroscience-law-and-public-health-insights/" TargetMode="External"/><Relationship Id="rId28" Type="http://schemas.openxmlformats.org/officeDocument/2006/relationships/hyperlink" Target="https://formative.jmir.org/2022/9/e37483" TargetMode="External"/><Relationship Id="rId36" Type="http://schemas.openxmlformats.org/officeDocument/2006/relationships/hyperlink" Target="https://www.vera.org/newsroom/new-report-offers-community-based-solutions-to-epidemic-of-overdose-deaths-nationwide" TargetMode="External"/><Relationship Id="rId10" Type="http://schemas.openxmlformats.org/officeDocument/2006/relationships/hyperlink" Target="https://www.econlib.org/criminal-incentives-a-horrible-illustration/" TargetMode="External"/><Relationship Id="rId19" Type="http://schemas.openxmlformats.org/officeDocument/2006/relationships/hyperlink" Target="https://www.econlib.org/archives/2017/12/is_portugals_dr.html" TargetMode="External"/><Relationship Id="rId31" Type="http://schemas.openxmlformats.org/officeDocument/2006/relationships/hyperlink" Target="https://phlr.temple.edu/sites/phlr/files/documents/CPHLR-WGDrugPolicy_AllPts.pdf" TargetMode="External"/><Relationship Id="rId4" Type="http://schemas.openxmlformats.org/officeDocument/2006/relationships/webSettings" Target="webSettings.xml"/><Relationship Id="rId9" Type="http://schemas.openxmlformats.org/officeDocument/2006/relationships/hyperlink" Target="http://masonlec.org/site/rte_uploads/files/JEP/Readings/Butler%20Economic%20Analysis%20for%20Lawyers%203rd%20ed/CH%20VII%20Crime.pdf" TargetMode="External"/><Relationship Id="rId14" Type="http://schemas.openxmlformats.org/officeDocument/2006/relationships/hyperlink" Target="https://www.econlib.org/appropriate-penalties-for-assaulting-politicians-and-their-relatives/" TargetMode="External"/><Relationship Id="rId22" Type="http://schemas.openxmlformats.org/officeDocument/2006/relationships/hyperlink" Target="https://www.researchgate.net/publication/370967710_A_discussion_of_critical_errors_in_a_longitudinal_study_on_the_deterrent_effect_of_drug-induced_homicide_laws_on_opioid-related_mortality_across_92_counties_and_the_District_of_Columbia_in_the_United_" TargetMode="External"/><Relationship Id="rId27" Type="http://schemas.openxmlformats.org/officeDocument/2006/relationships/hyperlink" Target="https://www.researchgate.net/publication/373238004_The_police_paradox_A_qualitative_study_of_post-overdose_outreach_program_implementation_through_public_health-public_safety_partnerships_in_Massachusetts" TargetMode="External"/><Relationship Id="rId30" Type="http://schemas.openxmlformats.org/officeDocument/2006/relationships/hyperlink" Target="https://reason.org/wp-content/uploads/harm-reduction-evidence-based-approach-drug-war.pdf" TargetMode="External"/><Relationship Id="rId35" Type="http://schemas.openxmlformats.org/officeDocument/2006/relationships/hyperlink" Target="https://scholarship.law.duke.edu/cgi/viewcontent.cgi?article=3104&amp;context=dlj" TargetMode="External"/><Relationship Id="rId43" Type="http://schemas.openxmlformats.org/officeDocument/2006/relationships/theme" Target="theme/theme1.xml"/><Relationship Id="rId8" Type="http://schemas.openxmlformats.org/officeDocument/2006/relationships/hyperlink" Target="https://www.journals.uchicago.edu/doi/10.1086/260058" TargetMode="External"/><Relationship Id="rId3" Type="http://schemas.openxmlformats.org/officeDocument/2006/relationships/settings" Target="settings.xml"/><Relationship Id="rId12" Type="http://schemas.openxmlformats.org/officeDocument/2006/relationships/hyperlink" Target="https://www.sentencingproject.org/reports/one-in-five-racial-disparity-in-imprisonment-causes-and-remedies/" TargetMode="External"/><Relationship Id="rId17" Type="http://schemas.openxmlformats.org/officeDocument/2006/relationships/hyperlink" Target="https://www.researchgate.net/publication/5022150_Empirical_Evidence_on_Human_Capital_Externalities" TargetMode="External"/><Relationship Id="rId25" Type="http://schemas.openxmlformats.org/officeDocument/2006/relationships/hyperlink" Target="https://www.nsc.org/getmedia/a6c6de5c-6f64-481d-b100-c5a50b0e9f9d/wp-wellbeing-ksa-report-naloxone.pdf" TargetMode="External"/><Relationship Id="rId33" Type="http://schemas.openxmlformats.org/officeDocument/2006/relationships/hyperlink" Target="https://pmc.ncbi.nlm.nih.gov/articles/PMC12997189/" TargetMode="External"/><Relationship Id="rId38" Type="http://schemas.openxmlformats.org/officeDocument/2006/relationships/hyperlink" Target="https://www.ussc.gov/research/research-reports/2023-demographic-differences-federal-sentenc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4372</Words>
  <Characters>24927</Characters>
  <Application>Microsoft Office Word</Application>
  <DocSecurity>0</DocSecurity>
  <Lines>207</Lines>
  <Paragraphs>58</Paragraphs>
  <ScaleCrop>false</ScaleCrop>
  <Company/>
  <LinksUpToDate>false</LinksUpToDate>
  <CharactersWithSpaces>29241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Schrock</cp:lastModifiedBy>
  <cp:revision>2</cp:revision>
  <dcterms:created xsi:type="dcterms:W3CDTF">2026-05-08T17:32:00Z</dcterms:created>
  <dcterms:modified xsi:type="dcterms:W3CDTF">2026-05-08T17:32:00Z</dcterms:modified>
</cp:coreProperties>
</file>