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Rabbi Ephrati · Sunday Morning שיעור on תפילה</w:t>
      </w:r>
    </w:p>
    <w:p>
      <w:pPr>
        <w:spacing w:before="40" w:after="80"/>
        <w:jc w:val="center"/>
      </w:pPr>
      <w:r>
        <w:rPr>
          <w:rFonts w:ascii="Georgia" w:hAnsi="Georgia" w:cs="SBL Hebrew" w:eastAsia="Georgia"/>
          <w:b w:val="0"/>
          <w:i w:val="0"/>
          <w:color w:val="1E3A8A"/>
          <w:sz w:val="40"/>
        </w:rPr>
        <w:t>ברוך ה׳ לעולם, קדיש דמעריב, and ושמרו</w:t>
      </w:r>
    </w:p>
    <w:p>
      <w:pPr>
        <w:spacing w:before="40" w:after="120"/>
        <w:jc w:val="center"/>
      </w:pPr>
      <w:r>
        <w:rPr>
          <w:rFonts w:ascii="Georgia" w:hAnsi="Georgia" w:cs="SBL Hebrew" w:eastAsia="Georgia"/>
          <w:b w:val="0"/>
          <w:i/>
          <w:color w:val="2C5282"/>
          <w:sz w:val="24"/>
        </w:rPr>
        <w:t>The architecture of מעריב — minhag, history, סמיכת גאולה לתפילה, and the role of קדיש</w:t>
      </w:r>
    </w:p>
    <w:p>
      <w:pPr>
        <w:spacing w:before="80" w:after="80"/>
        <w:jc w:val="center"/>
      </w:pPr>
      <w:r>
        <w:rPr>
          <w:rFonts w:ascii="Georgia" w:hAnsi="Georgia" w:cs="SBL Hebrew" w:eastAsia="Georgia"/>
          <w:b w:val="0"/>
          <w:i w:val="0"/>
          <w:color w:val="5A4B1A"/>
          <w:sz w:val="20"/>
        </w:rPr>
        <w:t>Recorded 24 May 2026 · ז׳ סיון תשפ״ו · Reworked from the original שיעור</w:t>
      </w:r>
    </w:p>
    <w:p>
      <w:pPr>
        <w:spacing w:before="200" w:after="200"/>
        <w:pBdr>
          <w:bottom w:val="single" w:sz="8" w:space="1" w:color="c9a227"/>
        </w:pBdr>
      </w:pPr>
    </w:p>
    <w:p>
      <w:pPr>
        <w:spacing w:before="0" w:after="200"/>
      </w:pP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6" w:color="d4a017"/>
              <w:left w:val="single" w:sz="6" w:color="d4a017"/>
              <w:bottom w:val="single" w:sz="6" w:color="d4a017"/>
              <w:right w:val="single" w:sz="6" w:color="d4a017"/>
            </w:tcBorders>
          </w:tcPr>
          <w:p>
            <w:pPr>
              <w:spacing w:before="0" w:after="40"/>
            </w:pPr>
            <w:r>
              <w:rPr>
                <w:rFonts w:ascii="Georgia" w:hAnsi="Georgia" w:cs="SBL Hebrew" w:eastAsia="Georgia"/>
                <w:color w:val="B8860B"/>
                <w:sz w:val="18"/>
                <w:smallCaps w:val="1"/>
              </w:rPr>
              <w:t>Dedication</w:t>
            </w:r>
          </w:p>
          <w:p>
            <w:pPr>
              <w:spacing w:before="0" w:after="0" w:line="324" w:lineRule="auto"/>
            </w:pPr>
            <w:r>
              <w:rPr>
                <w:rFonts w:ascii="Georgia" w:hAnsi="Georgia" w:cs="SBL Hebrew" w:eastAsia="Georgia"/>
                <w:color w:val="3B3B3B"/>
                <w:sz w:val="21"/>
              </w:rPr>
              <w:t xml:space="preserve">  Today's שיעור and breakfast are sponsored by R' Shimshon Dovid Frisch </w:t>
            </w:r>
            <w:r>
              <w:rPr>
                <w:rFonts w:ascii="Georgia" w:hAnsi="Georgia" w:cs="SBL Hebrew" w:eastAsia="Georgia"/>
                <w:b w:val="0"/>
                <w:i w:val="0"/>
                <w:color w:val="3B3B3B"/>
                <w:sz w:val="21"/>
              </w:rPr>
              <w:t>לעילוי נשמת</w:t>
            </w:r>
            <w:r>
              <w:rPr>
                <w:rFonts w:ascii="Georgia" w:hAnsi="Georgia" w:cs="SBL Hebrew" w:eastAsia="Georgia"/>
                <w:color w:val="3B3B3B"/>
                <w:sz w:val="21"/>
              </w:rPr>
              <w:t xml:space="preserve"> his father </w:t>
            </w:r>
            <w:r>
              <w:rPr>
                <w:rFonts w:ascii="Georgia" w:hAnsi="Georgia" w:cs="SBL Hebrew" w:eastAsia="Georgia"/>
                <w:b w:val="0"/>
                <w:i w:val="0"/>
                <w:color w:val="3B3B3B"/>
                <w:sz w:val="21"/>
              </w:rPr>
              <w:t>ר' יעקב משה בן ימין יוסף ע״ה</w:t>
            </w:r>
            <w:r>
              <w:rPr>
                <w:rFonts w:ascii="Georgia" w:hAnsi="Georgia" w:cs="SBL Hebrew" w:eastAsia="Georgia"/>
                <w:color w:val="3B3B3B"/>
                <w:sz w:val="21"/>
              </w:rPr>
              <w:t xml:space="preserve">. May the learning be a true </w:t>
            </w:r>
            <w:r>
              <w:rPr>
                <w:rFonts w:ascii="Georgia" w:hAnsi="Georgia" w:cs="SBL Hebrew" w:eastAsia="Georgia"/>
                <w:b w:val="0"/>
                <w:i w:val="0"/>
                <w:color w:val="3B3B3B"/>
                <w:sz w:val="21"/>
              </w:rPr>
              <w:t>זכות</w:t>
            </w:r>
            <w:r>
              <w:rPr>
                <w:rFonts w:ascii="Georgia" w:hAnsi="Georgia" w:cs="SBL Hebrew" w:eastAsia="Georgia"/>
                <w:color w:val="3B3B3B"/>
                <w:sz w:val="21"/>
              </w:rPr>
              <w:t xml:space="preserve"> for the </w:t>
            </w:r>
            <w:r>
              <w:rPr>
                <w:rFonts w:ascii="Georgia" w:hAnsi="Georgia" w:cs="SBL Hebrew" w:eastAsia="Georgia"/>
                <w:b w:val="0"/>
                <w:i w:val="0"/>
                <w:color w:val="3B3B3B"/>
                <w:sz w:val="21"/>
              </w:rPr>
              <w:t>נשמה</w:t>
            </w:r>
            <w:r>
              <w:rPr>
                <w:rFonts w:ascii="Georgia" w:hAnsi="Georgia" w:cs="SBL Hebrew" w:eastAsia="Georgia"/>
                <w:color w:val="3B3B3B"/>
                <w:sz w:val="21"/>
              </w:rPr>
              <w:t xml:space="preserve">, and to the family — </w:t>
            </w:r>
            <w:r>
              <w:rPr>
                <w:rFonts w:ascii="Georgia" w:hAnsi="Georgia" w:cs="SBL Hebrew" w:eastAsia="Georgia"/>
                <w:b w:val="0"/>
                <w:i w:val="0"/>
                <w:color w:val="3B3B3B"/>
                <w:sz w:val="21"/>
              </w:rPr>
              <w:t>לחיים</w:t>
            </w:r>
            <w:r>
              <w:rPr>
                <w:rFonts w:ascii="Georgia" w:hAnsi="Georgia" w:cs="SBL Hebrew" w:eastAsia="Georgia"/>
                <w:color w:val="3B3B3B"/>
                <w:sz w:val="21"/>
              </w:rPr>
              <w:t xml:space="preserve"> and only </w:t>
            </w:r>
            <w:r>
              <w:rPr>
                <w:rFonts w:ascii="Georgia" w:hAnsi="Georgia" w:cs="SBL Hebrew" w:eastAsia="Georgia"/>
                <w:b w:val="0"/>
                <w:i w:val="0"/>
                <w:color w:val="3B3B3B"/>
                <w:sz w:val="21"/>
              </w:rPr>
              <w:t>בשורות טובות</w:t>
            </w:r>
            <w:r>
              <w:rPr>
                <w:rFonts w:ascii="Georgia" w:hAnsi="Georgia" w:cs="SBL Hebrew" w:eastAsia="Georgia"/>
                <w:color w:val="3B3B3B"/>
                <w:sz w:val="21"/>
              </w:rPr>
              <w:t>.</w:t>
            </w:r>
          </w:p>
        </w:tc>
      </w:tr>
    </w:tbl>
    <w:p>
      <w:pPr>
        <w:spacing w:before="0" w:after="16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Last week's שיעור closed with the long machloikes over </w:t>
      </w:r>
      <w:r>
        <w:rPr>
          <w:rFonts w:ascii="SBL Hebrew" w:hAnsi="SBL Hebrew" w:cs="SBL Hebrew" w:eastAsia="SBL Hebrew"/>
          <w:b w:val="0"/>
          <w:i/>
          <w:color w:val="3B3B3B"/>
          <w:sz w:val="22"/>
        </w:rPr>
        <w:t>יראו עינינו</w:t>
      </w:r>
      <w:r>
        <w:rPr>
          <w:rFonts w:ascii="Georgia" w:hAnsi="Georgia" w:cs="SBL Hebrew" w:eastAsia="Georgia"/>
          <w:b w:val="0"/>
          <w:i/>
          <w:color w:val="3B3B3B"/>
          <w:sz w:val="22"/>
        </w:rPr>
        <w:t xml:space="preserve"> at the seam between גאולה and תפילה — Ramban, Rashbash, and Gra on one side; the broader chutz-laaretz מנהג on the other. This week we open the same seam from the inside out. What is </w:t>
      </w:r>
      <w:r>
        <w:rPr>
          <w:rFonts w:ascii="SBL Hebrew" w:hAnsi="SBL Hebrew" w:cs="SBL Hebrew" w:eastAsia="SBL Hebrew"/>
          <w:b w:val="0"/>
          <w:i/>
          <w:color w:val="3B3B3B"/>
          <w:sz w:val="22"/>
        </w:rPr>
        <w:t>ברוך ה' לעולם אמן ואמן</w:t>
      </w:r>
      <w:r>
        <w:rPr>
          <w:rFonts w:ascii="Georgia" w:hAnsi="Georgia" w:cs="SBL Hebrew" w:eastAsia="Georgia"/>
          <w:b w:val="0"/>
          <w:i/>
          <w:color w:val="3B3B3B"/>
          <w:sz w:val="22"/>
        </w:rPr>
        <w:t xml:space="preserve"> actually </w:t>
      </w:r>
      <w:r>
        <w:rPr>
          <w:rFonts w:ascii="Georgia" w:hAnsi="Georgia" w:cs="SBL Hebrew" w:eastAsia="Georgia"/>
          <w:b w:val="0"/>
          <w:i/>
          <w:color w:val="3B3B3B"/>
          <w:sz w:val="22"/>
        </w:rPr>
        <w:t>doing</w:t>
      </w:r>
      <w:r>
        <w:rPr>
          <w:rFonts w:ascii="Georgia" w:hAnsi="Georgia" w:cs="SBL Hebrew" w:eastAsia="Georgia"/>
          <w:b w:val="0"/>
          <w:i/>
          <w:color w:val="3B3B3B"/>
          <w:sz w:val="22"/>
        </w:rPr>
        <w:t xml:space="preserve"> there? Seven distinct reasons across the ראשונים — from Rav Natronai Gaon and the original status of מעריב as </w:t>
      </w:r>
      <w:r>
        <w:rPr>
          <w:rFonts w:ascii="SBL Hebrew" w:hAnsi="SBL Hebrew" w:cs="SBL Hebrew" w:eastAsia="SBL Hebrew"/>
          <w:b w:val="0"/>
          <w:i/>
          <w:color w:val="3B3B3B"/>
          <w:sz w:val="22"/>
        </w:rPr>
        <w:t>רשות</w:t>
      </w:r>
      <w:r>
        <w:rPr>
          <w:rFonts w:ascii="Georgia" w:hAnsi="Georgia" w:cs="SBL Hebrew" w:eastAsia="Georgia"/>
          <w:b w:val="0"/>
          <w:i/>
          <w:color w:val="3B3B3B"/>
          <w:sz w:val="22"/>
        </w:rPr>
        <w:t xml:space="preserve">, to the Abudraham's tradition of a </w:t>
      </w:r>
      <w:r>
        <w:rPr>
          <w:rFonts w:ascii="SBL Hebrew" w:hAnsi="SBL Hebrew" w:cs="SBL Hebrew" w:eastAsia="SBL Hebrew"/>
          <w:b w:val="0"/>
          <w:i/>
          <w:color w:val="3B3B3B"/>
          <w:sz w:val="22"/>
        </w:rPr>
        <w:t>שעת השמד</w:t>
      </w:r>
      <w:r>
        <w:rPr>
          <w:rFonts w:ascii="Georgia" w:hAnsi="Georgia" w:cs="SBL Hebrew" w:eastAsia="Georgia"/>
          <w:b w:val="0"/>
          <w:i/>
          <w:color w:val="3B3B3B"/>
          <w:sz w:val="22"/>
        </w:rPr>
        <w:t xml:space="preserve">, to the Geonim's accommodation of latecomers, to Rashi's inner-readiness reason of </w:t>
      </w:r>
      <w:r>
        <w:rPr>
          <w:rFonts w:ascii="SBL Hebrew" w:hAnsi="SBL Hebrew" w:cs="SBL Hebrew" w:eastAsia="SBL Hebrew"/>
          <w:b w:val="0"/>
          <w:i/>
          <w:color w:val="3B3B3B"/>
          <w:sz w:val="22"/>
        </w:rPr>
        <w:t>גירוש מחשבות</w:t>
      </w:r>
      <w:r>
        <w:rPr>
          <w:rFonts w:ascii="Georgia" w:hAnsi="Georgia" w:cs="SBL Hebrew" w:eastAsia="Georgia"/>
          <w:b w:val="0"/>
          <w:i/>
          <w:color w:val="3B3B3B"/>
          <w:sz w:val="22"/>
        </w:rPr>
        <w:t xml:space="preserve">. From there into the parallel question of קדיש: why we say it before Shemoneh Esrei at מעריב but not at שחרית — and the central machloikes between the Rambam (קדיש as </w:t>
      </w:r>
      <w:r>
        <w:rPr>
          <w:rFonts w:ascii="SBL Hebrew" w:hAnsi="SBL Hebrew" w:cs="SBL Hebrew" w:eastAsia="SBL Hebrew"/>
          <w:b w:val="0"/>
          <w:i/>
          <w:color w:val="3B3B3B"/>
          <w:sz w:val="22"/>
        </w:rPr>
        <w:t>הכנה</w:t>
      </w:r>
      <w:r>
        <w:rPr>
          <w:rFonts w:ascii="Georgia" w:hAnsi="Georgia" w:cs="SBL Hebrew" w:eastAsia="Georgia"/>
          <w:b w:val="0"/>
          <w:i/>
          <w:color w:val="3B3B3B"/>
          <w:sz w:val="22"/>
        </w:rPr>
        <w:t xml:space="preserve"> to תפילה, saturated with longing for גאולה) and the Raavad (קדיש as </w:t>
      </w:r>
      <w:r>
        <w:rPr>
          <w:rFonts w:ascii="SBL Hebrew" w:hAnsi="SBL Hebrew" w:cs="SBL Hebrew" w:eastAsia="SBL Hebrew"/>
          <w:b w:val="0"/>
          <w:i/>
          <w:color w:val="3B3B3B"/>
          <w:sz w:val="22"/>
        </w:rPr>
        <w:t>סיום</w:t>
      </w:r>
      <w:r>
        <w:rPr>
          <w:rFonts w:ascii="Georgia" w:hAnsi="Georgia" w:cs="SBL Hebrew" w:eastAsia="Georgia"/>
          <w:b w:val="0"/>
          <w:i/>
          <w:color w:val="3B3B3B"/>
          <w:sz w:val="22"/>
        </w:rPr>
        <w:t xml:space="preserve"> to an older core unit). And finally to </w:t>
      </w:r>
      <w:r>
        <w:rPr>
          <w:rFonts w:ascii="SBL Hebrew" w:hAnsi="SBL Hebrew" w:cs="SBL Hebrew" w:eastAsia="SBL Hebrew"/>
          <w:b w:val="0"/>
          <w:i/>
          <w:color w:val="3B3B3B"/>
          <w:sz w:val="22"/>
        </w:rPr>
        <w:t>ושמרו</w:t>
      </w:r>
      <w:r>
        <w:rPr>
          <w:rFonts w:ascii="Georgia" w:hAnsi="Georgia" w:cs="SBL Hebrew" w:eastAsia="Georgia"/>
          <w:b w:val="0"/>
          <w:i/>
          <w:color w:val="3B3B3B"/>
          <w:sz w:val="22"/>
        </w:rPr>
        <w:t xml:space="preserve"> on Friday night — the Tur's "שבת is the שמירה," the parallel inserts on יום טוב and ראש השנה, and the remarkable chiddush of </w:t>
      </w:r>
      <w:r>
        <w:rPr>
          <w:rFonts w:ascii="Georgia" w:hAnsi="Georgia" w:cs="SBL Hebrew" w:eastAsia="Georgia"/>
          <w:b w:val="0"/>
          <w:i/>
          <w:color w:val="3B3B3B"/>
          <w:sz w:val="22"/>
        </w:rPr>
        <w:t>סידור ר' שלמה מוורמייזא</w:t>
      </w:r>
      <w:r>
        <w:rPr>
          <w:rFonts w:ascii="Georgia" w:hAnsi="Georgia" w:cs="SBL Hebrew" w:eastAsia="Georgia"/>
          <w:b w:val="0"/>
          <w:i/>
          <w:color w:val="3B3B3B"/>
          <w:sz w:val="22"/>
        </w:rPr>
        <w:t xml:space="preserve"> that </w:t>
      </w:r>
      <w:r>
        <w:rPr>
          <w:rFonts w:ascii="SBL Hebrew" w:hAnsi="SBL Hebrew" w:cs="SBL Hebrew" w:eastAsia="SBL Hebrew"/>
          <w:b w:val="0"/>
          <w:i/>
          <w:color w:val="3B3B3B"/>
          <w:sz w:val="22"/>
        </w:rPr>
        <w:t>ושמרו</w:t>
      </w:r>
      <w:r>
        <w:rPr>
          <w:rFonts w:ascii="Georgia" w:hAnsi="Georgia" w:cs="SBL Hebrew" w:eastAsia="Georgia"/>
          <w:b w:val="0"/>
          <w:i/>
          <w:color w:val="3B3B3B"/>
          <w:sz w:val="22"/>
        </w:rPr>
        <w:t xml:space="preserve"> itself was, in its earliest layer, the kehillah's act of </w:t>
      </w:r>
      <w:r>
        <w:rPr>
          <w:rFonts w:ascii="SBL Hebrew" w:hAnsi="SBL Hebrew" w:cs="SBL Hebrew" w:eastAsia="SBL Hebrew"/>
          <w:b w:val="0"/>
          <w:i/>
          <w:color w:val="3B3B3B"/>
          <w:sz w:val="22"/>
        </w:rPr>
        <w:t>קבלת שבת</w:t>
      </w:r>
      <w:r>
        <w:rPr>
          <w:rFonts w:ascii="Georgia" w:hAnsi="Georgia" w:cs="SBL Hebrew" w:eastAsia="Georgia"/>
          <w:b w:val="0"/>
          <w:i/>
          <w:color w:val="3B3B3B"/>
          <w:sz w:val="22"/>
        </w:rPr>
        <w:t>.</w:t>
        <w:br/>
      </w:r>
    </w:p>
    <w:p>
      <w:pPr>
        <w:spacing w:before="360" w:after="80"/>
        <w:pBdr>
          <w:bottom w:val="single" w:sz="6" w:space="2" w:color="b8860b"/>
        </w:pBdr>
      </w:pPr>
      <w:r>
        <w:rPr>
          <w:rFonts w:ascii="Georgia" w:hAnsi="Georgia" w:cs="SBL Hebrew" w:eastAsia="Georgia"/>
          <w:b w:val="0"/>
          <w:i w:val="0"/>
          <w:color w:val="1E3A8A"/>
          <w:sz w:val="26"/>
          <w:smallCaps w:val="1"/>
        </w:rPr>
        <w:t>I. The Practical Minhag Split</w:t>
      </w:r>
    </w:p>
    <w:p>
      <w:pPr>
        <w:spacing w:before="0" w:after="120" w:line="324" w:lineRule="auto"/>
      </w:pPr>
      <w:r>
        <w:rPr>
          <w:rFonts w:ascii="Georgia" w:hAnsi="Georgia" w:cs="SBL Hebrew" w:eastAsia="Georgia"/>
          <w:b w:val="0"/>
          <w:i w:val="0"/>
          <w:color w:val="1A1A1A"/>
          <w:sz w:val="22"/>
        </w:rPr>
        <w:br/>
        <w:t xml:space="preserve">  In most בתי כנסיות in </w:t>
      </w:r>
      <w:r>
        <w:rPr>
          <w:rFonts w:ascii="SBL Hebrew" w:hAnsi="SBL Hebrew" w:cs="SBL Hebrew" w:eastAsia="SBL Hebrew"/>
          <w:b w:val="0"/>
          <w:i w:val="0"/>
          <w:color w:val="1A1A1A"/>
          <w:sz w:val="22"/>
        </w:rPr>
        <w:t>חוץ לארץ</w:t>
      </w:r>
      <w:r>
        <w:rPr>
          <w:rFonts w:ascii="Georgia" w:hAnsi="Georgia" w:cs="SBL Hebrew" w:eastAsia="Georgia"/>
          <w:b w:val="0"/>
          <w:i w:val="0"/>
          <w:color w:val="1A1A1A"/>
          <w:sz w:val="22"/>
        </w:rPr>
        <w:t xml:space="preserve">, after </w:t>
      </w:r>
      <w:r>
        <w:rPr>
          <w:rFonts w:ascii="SBL Hebrew" w:hAnsi="SBL Hebrew" w:cs="SBL Hebrew" w:eastAsia="SBL Hebrew"/>
          <w:b w:val="0"/>
          <w:i w:val="0"/>
          <w:color w:val="1A1A1A"/>
          <w:sz w:val="22"/>
        </w:rPr>
        <w:t>השכיבנו</w:t>
      </w:r>
      <w:r>
        <w:rPr>
          <w:rFonts w:ascii="Georgia" w:hAnsi="Georgia" w:cs="SBL Hebrew" w:eastAsia="Georgia"/>
          <w:b w:val="0"/>
          <w:i w:val="0"/>
          <w:color w:val="1A1A1A"/>
          <w:sz w:val="22"/>
        </w:rPr>
        <w:t xml:space="preserve"> we say </w:t>
      </w:r>
      <w:r>
        <w:rPr>
          <w:rFonts w:ascii="SBL Hebrew" w:hAnsi="SBL Hebrew" w:cs="SBL Hebrew" w:eastAsia="SBL Hebrew"/>
          <w:b w:val="0"/>
          <w:i w:val="0"/>
          <w:color w:val="1A1A1A"/>
          <w:sz w:val="22"/>
        </w:rPr>
        <w:t>ברוך ה' לעולם אמן ואמן</w:t>
      </w:r>
      <w:r>
        <w:rPr>
          <w:rFonts w:ascii="Georgia" w:hAnsi="Georgia" w:cs="SBL Hebrew" w:eastAsia="Georgia"/>
          <w:b w:val="0"/>
          <w:i w:val="0"/>
          <w:color w:val="1A1A1A"/>
          <w:sz w:val="22"/>
        </w:rPr>
        <w:t xml:space="preserve">, followed by the paragraph commonly called </w:t>
      </w:r>
      <w:r>
        <w:rPr>
          <w:rFonts w:ascii="SBL Hebrew" w:hAnsi="SBL Hebrew" w:cs="SBL Hebrew" w:eastAsia="SBL Hebrew"/>
          <w:b w:val="0"/>
          <w:i w:val="0"/>
          <w:color w:val="1A1A1A"/>
          <w:sz w:val="22"/>
        </w:rPr>
        <w:t>יראו עינינו</w:t>
      </w:r>
      <w:r>
        <w:rPr>
          <w:rFonts w:ascii="Georgia" w:hAnsi="Georgia" w:cs="SBL Hebrew" w:eastAsia="Georgia"/>
          <w:b w:val="0"/>
          <w:i w:val="0"/>
          <w:color w:val="1A1A1A"/>
          <w:sz w:val="22"/>
        </w:rPr>
        <w:t xml:space="preserve"> — eighteen פסוקים drawn from various places in תנ״ך, each one containing a name of הקדוש ברוך הוא. In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xml:space="preserve">, the common practice is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to say it. An American who walks into a מעריב מנין in Eretz Yisrael for the first time often feels the gap — the davening just </w:t>
      </w:r>
      <w:r>
        <w:rPr>
          <w:rFonts w:ascii="Georgia" w:hAnsi="Georgia" w:cs="SBL Hebrew" w:eastAsia="Georgia"/>
          <w:b w:val="0"/>
          <w:i/>
          <w:color w:val="1A1A1A"/>
          <w:sz w:val="22"/>
        </w:rPr>
        <w:t>ends</w:t>
      </w:r>
      <w:r>
        <w:rPr>
          <w:rFonts w:ascii="Georgia" w:hAnsi="Georgia" w:cs="SBL Hebrew" w:eastAsia="Georgia"/>
          <w:b w:val="0"/>
          <w:i w:val="0"/>
          <w:color w:val="1A1A1A"/>
          <w:sz w:val="22"/>
        </w:rPr>
        <w:t>, much faster than he is used to.</w:t>
        <w:br/>
      </w:r>
    </w:p>
    <w:p>
      <w:pPr>
        <w:spacing w:before="0" w:after="120" w:line="324" w:lineRule="auto"/>
      </w:pPr>
      <w:r>
        <w:rPr>
          <w:rFonts w:ascii="Georgia" w:hAnsi="Georgia" w:cs="SBL Hebrew" w:eastAsia="Georgia"/>
          <w:b w:val="0"/>
          <w:i w:val="0"/>
          <w:color w:val="1A1A1A"/>
          <w:sz w:val="22"/>
        </w:rPr>
        <w:br/>
        <w:t xml:space="preserve">  That generates a real-life question with two faces. A </w:t>
      </w:r>
      <w:r>
        <w:rPr>
          <w:rFonts w:ascii="SBL Hebrew" w:hAnsi="SBL Hebrew" w:cs="SBL Hebrew" w:eastAsia="SBL Hebrew"/>
          <w:b w:val="0"/>
          <w:i w:val="0"/>
          <w:color w:val="1A1A1A"/>
          <w:sz w:val="22"/>
        </w:rPr>
        <w:t>בן חוץ לארץ</w:t>
      </w:r>
      <w:r>
        <w:rPr>
          <w:rFonts w:ascii="Georgia" w:hAnsi="Georgia" w:cs="SBL Hebrew" w:eastAsia="Georgia"/>
          <w:b w:val="0"/>
          <w:i w:val="0"/>
          <w:color w:val="1A1A1A"/>
          <w:sz w:val="22"/>
        </w:rPr>
        <w:t xml:space="preserve"> who travels to Eretz Yisrael and finds himself in a tzibbur that does not say it — should he say it anyway as his personal minhag? And the reverse: a </w:t>
      </w:r>
      <w:r>
        <w:rPr>
          <w:rFonts w:ascii="SBL Hebrew" w:hAnsi="SBL Hebrew" w:cs="SBL Hebrew" w:eastAsia="SBL Hebrew"/>
          <w:b w:val="0"/>
          <w:i w:val="0"/>
          <w:color w:val="1A1A1A"/>
          <w:sz w:val="22"/>
        </w:rPr>
        <w:t>בן ארץ ישראל</w:t>
      </w:r>
      <w:r>
        <w:rPr>
          <w:rFonts w:ascii="Georgia" w:hAnsi="Georgia" w:cs="SBL Hebrew" w:eastAsia="Georgia"/>
          <w:b w:val="0"/>
          <w:i w:val="0"/>
          <w:color w:val="1A1A1A"/>
          <w:sz w:val="22"/>
        </w:rPr>
        <w:t xml:space="preserve"> in chutz la'aretz, in a tzibbur that does say it — does he say it with them? The general principle most people fall back on is </w:t>
      </w:r>
      <w:r>
        <w:rPr>
          <w:rFonts w:ascii="SBL Hebrew" w:hAnsi="SBL Hebrew" w:cs="SBL Hebrew" w:eastAsia="SBL Hebrew"/>
          <w:b w:val="0"/>
          <w:i w:val="0"/>
          <w:color w:val="1A1A1A"/>
          <w:sz w:val="22"/>
        </w:rPr>
        <w:t>מנהג המקום</w:t>
      </w:r>
      <w:r>
        <w:rPr>
          <w:rFonts w:ascii="Georgia" w:hAnsi="Georgia" w:cs="SBL Hebrew" w:eastAsia="Georgia"/>
          <w:b w:val="0"/>
          <w:i w:val="0"/>
          <w:color w:val="1A1A1A"/>
          <w:sz w:val="22"/>
        </w:rPr>
        <w:t>: do what the kehillah you find yourself in does. But that does not actually answer the underlying question. To know what to do, and why the communities diverged in the first place, you need to clarify what is halachically and historically at stake.</w:t>
        <w:br/>
      </w:r>
    </w:p>
    <w:p>
      <w:pPr>
        <w:spacing w:before="360" w:after="80"/>
        <w:pBdr>
          <w:bottom w:val="single" w:sz="6" w:space="2" w:color="b8860b"/>
        </w:pBdr>
      </w:pPr>
      <w:r>
        <w:rPr>
          <w:rFonts w:ascii="Georgia" w:hAnsi="Georgia" w:cs="SBL Hebrew" w:eastAsia="Georgia"/>
          <w:b w:val="0"/>
          <w:i w:val="0"/>
          <w:color w:val="1E3A8A"/>
          <w:sz w:val="26"/>
          <w:smallCaps w:val="1"/>
        </w:rPr>
        <w:t xml:space="preserve">II. The Halachic Pressure Point — </w:t>
      </w:r>
      <w:r>
        <w:rPr>
          <w:rFonts w:ascii="SBL Hebrew" w:hAnsi="SBL Hebrew" w:cs="SBL Hebrew" w:eastAsia="SBL Hebrew"/>
          <w:b w:val="0"/>
          <w:i w:val="0"/>
          <w:color w:val="1E3A8A"/>
          <w:sz w:val="26"/>
          <w:smallCaps w:val="1"/>
        </w:rPr>
        <w:t>סמיכת גאולה לתפילה</w:t>
      </w:r>
    </w:p>
    <w:p>
      <w:pPr>
        <w:spacing w:before="0" w:after="120" w:line="324" w:lineRule="auto"/>
      </w:pPr>
      <w:r>
        <w:rPr>
          <w:rFonts w:ascii="Georgia" w:hAnsi="Georgia" w:cs="SBL Hebrew" w:eastAsia="Georgia"/>
          <w:b w:val="0"/>
          <w:i w:val="0"/>
          <w:color w:val="1A1A1A"/>
          <w:sz w:val="22"/>
        </w:rPr>
        <w:br/>
        <w:t xml:space="preserve">  The principal halachic sensitivity is </w:t>
      </w:r>
      <w:r>
        <w:rPr>
          <w:rFonts w:ascii="SBL Hebrew" w:hAnsi="SBL Hebrew" w:cs="SBL Hebrew" w:eastAsia="SBL Hebrew"/>
          <w:b w:val="0"/>
          <w:i w:val="0"/>
          <w:color w:val="1A1A1A"/>
          <w:sz w:val="22"/>
        </w:rPr>
        <w:t>סמיכת גאולה לתפילה</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the ברכה of גאולה (</w:t>
      </w:r>
      <w:r>
        <w:rPr>
          <w:rFonts w:ascii="SBL Hebrew" w:hAnsi="SBL Hebrew" w:cs="SBL Hebrew" w:eastAsia="SBL Hebrew"/>
          <w:b w:val="0"/>
          <w:i w:val="0"/>
          <w:color w:val="1A1A1A"/>
          <w:sz w:val="22"/>
        </w:rPr>
        <w:t>גאל ישראל</w:t>
      </w:r>
      <w:r>
        <w:rPr>
          <w:rFonts w:ascii="Georgia" w:hAnsi="Georgia" w:cs="SBL Hebrew" w:eastAsia="Georgia"/>
          <w:b w:val="0"/>
          <w:i w:val="0"/>
          <w:color w:val="1A1A1A"/>
          <w:sz w:val="22"/>
        </w:rPr>
        <w:t xml:space="preserve">) should immediately precede שמונה עשרה without halachic interruption. At מעריב, the closing ברכה of גאולה is followed by </w:t>
      </w:r>
      <w:r>
        <w:rPr>
          <w:rFonts w:ascii="SBL Hebrew" w:hAnsi="SBL Hebrew" w:cs="SBL Hebrew" w:eastAsia="SBL Hebrew"/>
          <w:b w:val="0"/>
          <w:i w:val="0"/>
          <w:color w:val="1A1A1A"/>
          <w:sz w:val="22"/>
        </w:rPr>
        <w:t>השכיבנו</w:t>
      </w:r>
      <w:r>
        <w:rPr>
          <w:rFonts w:ascii="Georgia" w:hAnsi="Georgia" w:cs="SBL Hebrew" w:eastAsia="Georgia"/>
          <w:b w:val="0"/>
          <w:i w:val="0"/>
          <w:color w:val="1A1A1A"/>
          <w:sz w:val="22"/>
        </w:rPr>
        <w:t xml:space="preserve">. The Gemara explains why השכיבנו is not considered a הפסק — it is part of the theme of גאולה, a </w:t>
      </w:r>
      <w:r>
        <w:rPr>
          <w:rFonts w:ascii="SBL Hebrew" w:hAnsi="SBL Hebrew" w:cs="SBL Hebrew" w:eastAsia="SBL Hebrew"/>
          <w:b w:val="0"/>
          <w:i w:val="0"/>
          <w:color w:val="1A1A1A"/>
          <w:sz w:val="22"/>
        </w:rPr>
        <w:t>גאולה אריכתא</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an "extended גאולה" that continues the theme rather than interrupting it.</w:t>
        <w:br/>
      </w:r>
    </w:p>
    <w:p>
      <w:pPr>
        <w:spacing w:before="0" w:after="120" w:line="324" w:lineRule="auto"/>
      </w:pPr>
      <w:r>
        <w:rPr>
          <w:rFonts w:ascii="Georgia" w:hAnsi="Georgia" w:cs="SBL Hebrew" w:eastAsia="Georgia"/>
          <w:b w:val="0"/>
          <w:i w:val="0"/>
          <w:color w:val="1A1A1A"/>
          <w:sz w:val="22"/>
        </w:rPr>
        <w:br/>
        <w:t xml:space="preserve">  But once you start adding further material </w:t>
      </w:r>
      <w:r>
        <w:rPr>
          <w:rFonts w:ascii="Georgia" w:hAnsi="Georgia" w:cs="SBL Hebrew" w:eastAsia="Georgia"/>
          <w:b w:val="0"/>
          <w:i/>
          <w:color w:val="1A1A1A"/>
          <w:sz w:val="22"/>
        </w:rPr>
        <w:t>after</w:t>
      </w:r>
      <w:r>
        <w:rPr>
          <w:rFonts w:ascii="Georgia" w:hAnsi="Georgia" w:cs="SBL Hebrew" w:eastAsia="Georgia"/>
          <w:b w:val="0"/>
          <w:i w:val="0"/>
          <w:color w:val="1A1A1A"/>
          <w:sz w:val="22"/>
        </w:rPr>
        <w:t xml:space="preserve"> השכיבנו — especially material that was not clearly enacted by חז״ל — you confront the question all over again: is this not a fresh הפסק at the most sensitive seam in the entire מעריב, the seam between גאולה and תפילה? The </w:t>
      </w:r>
      <w:r>
        <w:rPr>
          <w:rFonts w:ascii="SBL Hebrew" w:hAnsi="SBL Hebrew" w:cs="SBL Hebrew" w:eastAsia="SBL Hebrew"/>
          <w:b w:val="0"/>
          <w:i w:val="0"/>
          <w:color w:val="1A1A1A"/>
          <w:sz w:val="22"/>
        </w:rPr>
        <w:t>גר״א</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ruled sharply: it is. He viewed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as a halachically problematic interruption and was opposed to its recitation. The Volozhin tradition followed the Gra's lead, and from Volozhin the omission passed into the major Lithuanian yeshivos and, through them, into American Litvish shuls. Several </w:t>
      </w:r>
      <w:r>
        <w:rPr>
          <w:rFonts w:ascii="SBL Hebrew" w:hAnsi="SBL Hebrew" w:cs="SBL Hebrew" w:eastAsia="SBL Hebrew"/>
          <w:b w:val="0"/>
          <w:i w:val="0"/>
          <w:color w:val="1A1A1A"/>
          <w:sz w:val="22"/>
        </w:rPr>
        <w:t>חסידויות</w:t>
      </w:r>
      <w:r>
        <w:rPr>
          <w:rFonts w:ascii="Georgia" w:hAnsi="Georgia" w:cs="SBL Hebrew" w:eastAsia="Georgia"/>
          <w:b w:val="0"/>
          <w:i w:val="0"/>
          <w:color w:val="1A1A1A"/>
          <w:sz w:val="22"/>
        </w:rPr>
        <w:t xml:space="preserve">, most prominently </w:t>
      </w:r>
      <w:r>
        <w:rPr>
          <w:rFonts w:ascii="Georgia" w:hAnsi="Georgia" w:cs="SBL Hebrew" w:eastAsia="Georgia"/>
          <w:b w:val="0"/>
          <w:i/>
          <w:color w:val="1A1A1A"/>
          <w:sz w:val="22"/>
        </w:rPr>
        <w:t>Chabad</w:t>
      </w:r>
      <w:r>
        <w:rPr>
          <w:rFonts w:ascii="Georgia" w:hAnsi="Georgia" w:cs="SBL Hebrew" w:eastAsia="Georgia"/>
          <w:b w:val="0"/>
          <w:i w:val="0"/>
          <w:color w:val="1A1A1A"/>
          <w:sz w:val="22"/>
        </w:rPr>
        <w:t>, were equally wary — for the same structural reason. This is one of the rare places in halacha where the Vilna Gaon and the Alter Rebbe stood on the same side. Most things they argued about; here they did not.</w:t>
        <w:br/>
      </w:r>
    </w:p>
    <w:p>
      <w:pPr>
        <w:spacing w:before="360" w:after="80"/>
        <w:pBdr>
          <w:bottom w:val="single" w:sz="6" w:space="2" w:color="b8860b"/>
        </w:pBdr>
      </w:pPr>
      <w:r>
        <w:rPr>
          <w:rFonts w:ascii="Georgia" w:hAnsi="Georgia" w:cs="SBL Hebrew" w:eastAsia="Georgia"/>
          <w:b w:val="0"/>
          <w:i w:val="0"/>
          <w:color w:val="1E3A8A"/>
          <w:sz w:val="26"/>
          <w:smallCaps w:val="1"/>
        </w:rPr>
        <w:t xml:space="preserve">III. The Authorization Objection — </w:t>
      </w:r>
      <w:r>
        <w:rPr>
          <w:rFonts w:ascii="SBL Hebrew" w:hAnsi="SBL Hebrew" w:cs="SBL Hebrew" w:eastAsia="SBL Hebrew"/>
          <w:b w:val="0"/>
          <w:i w:val="0"/>
          <w:color w:val="1E3A8A"/>
          <w:sz w:val="26"/>
          <w:smallCaps w:val="1"/>
        </w:rPr>
        <w:t>מטבע שטבעו חכמים</w:t>
      </w:r>
    </w:p>
    <w:p>
      <w:pPr>
        <w:spacing w:before="0" w:after="120" w:line="324" w:lineRule="auto"/>
      </w:pPr>
      <w:r>
        <w:rPr>
          <w:rFonts w:ascii="Georgia" w:hAnsi="Georgia" w:cs="SBL Hebrew" w:eastAsia="Georgia"/>
          <w:b w:val="0"/>
          <w:i w:val="0"/>
          <w:color w:val="1A1A1A"/>
          <w:sz w:val="22"/>
        </w:rPr>
        <w:br/>
        <w:t xml:space="preserve">  Beyond the הפסק issue is a second, related objection: חז״ל did not author </w:t>
      </w:r>
      <w:r>
        <w:rPr>
          <w:rFonts w:ascii="SBL Hebrew" w:hAnsi="SBL Hebrew" w:cs="SBL Hebrew" w:eastAsia="SBL Hebrew"/>
          <w:b w:val="0"/>
          <w:i w:val="0"/>
          <w:color w:val="1A1A1A"/>
          <w:sz w:val="22"/>
        </w:rPr>
        <w:t>ברוך ה' לעולם אמן ואמן</w:t>
      </w:r>
      <w:r>
        <w:rPr>
          <w:rFonts w:ascii="Georgia" w:hAnsi="Georgia" w:cs="SBL Hebrew" w:eastAsia="Georgia"/>
          <w:b w:val="0"/>
          <w:i w:val="0"/>
          <w:color w:val="1A1A1A"/>
          <w:sz w:val="22"/>
        </w:rPr>
        <w:t xml:space="preserve"> as a formal ברכה in the classical structure. The Gemara's principle of </w:t>
      </w:r>
      <w:r>
        <w:rPr>
          <w:rFonts w:ascii="SBL Hebrew" w:hAnsi="SBL Hebrew" w:cs="SBL Hebrew" w:eastAsia="SBL Hebrew"/>
          <w:b w:val="0"/>
          <w:i w:val="0"/>
          <w:color w:val="1A1A1A"/>
          <w:sz w:val="22"/>
        </w:rPr>
        <w:t>מטבע שטבעו חכמים</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 the "coinage" or "mint-mark" of the Sages — is not just a metaphor; it has halachic force. The fixed liturgical formulas are the standardized currency of עבודה; you do not casually introduce new ברכות into the cycle.</w:t>
        <w:br/>
      </w:r>
    </w:p>
    <w:p>
      <w:pPr>
        <w:spacing w:before="0" w:after="120" w:line="324" w:lineRule="auto"/>
      </w:pPr>
      <w:r>
        <w:rPr>
          <w:rFonts w:ascii="Georgia" w:hAnsi="Georgia" w:cs="SBL Hebrew" w:eastAsia="Georgia"/>
          <w:b w:val="0"/>
          <w:i w:val="0"/>
          <w:color w:val="1A1A1A"/>
          <w:sz w:val="22"/>
        </w:rPr>
        <w:br/>
        <w:t xml:space="preserve">  So the objection comes in two layers at once. First,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may be a הפסק between גאולה and תפילה. Second, even setting aside the placement, the unit itself may be "unauthorized" — a later insertion not rooted in the original תקנת חז״ל. רש״י</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in a תשובה takes both objections together and rules sharply: </w:t>
      </w:r>
      <w:r>
        <w:rPr>
          <w:rFonts w:ascii="Georgia" w:hAnsi="Georgia" w:cs="SBL Hebrew" w:eastAsia="Georgia"/>
          <w:b w:val="0"/>
          <w:i/>
          <w:color w:val="1A1A1A"/>
          <w:sz w:val="22"/>
        </w:rPr>
        <w:t>you are not allowed to say יראו עינינו, you are not allowed to say ברוך ה' לעולם אמן ואמן — who gave you the right? It is a הפסק</w:t>
      </w:r>
      <w:r>
        <w:rPr>
          <w:rFonts w:ascii="Georgia" w:hAnsi="Georgia" w:cs="SBL Hebrew" w:eastAsia="Georgia"/>
          <w:b w:val="0"/>
          <w:i w:val="0"/>
          <w:color w:val="1A1A1A"/>
          <w:sz w:val="22"/>
        </w:rPr>
        <w:t>. Rashi's view, together with the Ramban's</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anchors the omission tradition in the early ראשונים.</w:t>
        <w:br/>
      </w:r>
    </w:p>
    <w:p>
      <w:pPr>
        <w:spacing w:before="360" w:after="80"/>
        <w:pBdr>
          <w:bottom w:val="single" w:sz="6" w:space="2" w:color="b8860b"/>
        </w:pBdr>
      </w:pPr>
      <w:r>
        <w:rPr>
          <w:rFonts w:ascii="Georgia" w:hAnsi="Georgia" w:cs="SBL Hebrew" w:eastAsia="Georgia"/>
          <w:b w:val="0"/>
          <w:i w:val="0"/>
          <w:color w:val="1E3A8A"/>
          <w:sz w:val="26"/>
          <w:smallCaps w:val="1"/>
        </w:rPr>
        <w:t>IV. Why It Became Standard in So Many Places</w:t>
      </w:r>
    </w:p>
    <w:p>
      <w:pPr>
        <w:spacing w:before="240" w:after="40"/>
      </w:pPr>
      <w:r>
        <w:rPr>
          <w:rFonts w:ascii="Georgia" w:hAnsi="Georgia" w:cs="SBL Hebrew" w:eastAsia="Georgia"/>
          <w:b w:val="0"/>
          <w:i/>
          <w:color w:val="B8860B"/>
          <w:sz w:val="23"/>
        </w:rPr>
        <w:t>A) The Liturgical Reality of the Old Yishuv</w:t>
      </w:r>
    </w:p>
    <w:p>
      <w:pPr>
        <w:spacing w:before="0" w:after="120" w:line="324" w:lineRule="auto"/>
      </w:pPr>
      <w:r>
        <w:rPr>
          <w:rFonts w:ascii="Georgia" w:hAnsi="Georgia" w:cs="SBL Hebrew" w:eastAsia="Georgia"/>
          <w:b w:val="0"/>
          <w:i w:val="0"/>
          <w:color w:val="1A1A1A"/>
          <w:sz w:val="22"/>
        </w:rPr>
        <w:br/>
        <w:t xml:space="preserve">  If the Gra and the Alter Rebbe agreed in opposition, why is the Eretz-Yisrael מנהג so consistently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to say it? Because the early Old Yishuv — the kehillot of Eretz Yisrael in the seventeen, eighteen, and early nineteen hundreds — was shaped by exactly the two streams most opposed to the unit. The </w:t>
      </w:r>
      <w:r>
        <w:rPr>
          <w:rFonts w:ascii="SBL Hebrew" w:hAnsi="SBL Hebrew" w:cs="SBL Hebrew" w:eastAsia="SBL Hebrew"/>
          <w:b w:val="0"/>
          <w:i w:val="0"/>
          <w:color w:val="1A1A1A"/>
          <w:sz w:val="22"/>
        </w:rPr>
        <w:t>פרושים</w:t>
      </w:r>
      <w:r>
        <w:rPr>
          <w:rFonts w:ascii="Georgia" w:hAnsi="Georgia" w:cs="SBL Hebrew" w:eastAsia="Georgia"/>
          <w:b w:val="0"/>
          <w:i w:val="0"/>
          <w:color w:val="1A1A1A"/>
          <w:sz w:val="22"/>
        </w:rPr>
        <w:t xml:space="preserve"> (תלמידי הגר״א, sent in waves beginning at the end of the eighteenth century, with a strong messianic emphasis about hastening the redemption by aliyah) and the early </w:t>
      </w:r>
      <w:r>
        <w:rPr>
          <w:rFonts w:ascii="SBL Hebrew" w:hAnsi="SBL Hebrew" w:cs="SBL Hebrew" w:eastAsia="SBL Hebrew"/>
          <w:b w:val="0"/>
          <w:i w:val="0"/>
          <w:color w:val="1A1A1A"/>
          <w:sz w:val="22"/>
        </w:rPr>
        <w:t>חסידים</w:t>
      </w:r>
      <w:r>
        <w:rPr>
          <w:rFonts w:ascii="Georgia" w:hAnsi="Georgia" w:cs="SBL Hebrew" w:eastAsia="Georgia"/>
          <w:b w:val="0"/>
          <w:i w:val="0"/>
          <w:color w:val="1A1A1A"/>
          <w:sz w:val="22"/>
        </w:rPr>
        <w:t xml:space="preserve"> (including communities aligned with the Alter Rebbe) were the dominant streams of the established Yishuv. Both followed leaders who opposed reciting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after השכיבנו. The minhag of Eretz Yisrael solidified around the omission for the most straightforward reason: the founders held that way.</w:t>
        <w:br/>
      </w:r>
    </w:p>
    <w:p>
      <w:pPr>
        <w:spacing w:before="240" w:after="40"/>
      </w:pPr>
      <w:r>
        <w:rPr>
          <w:rFonts w:ascii="Georgia" w:hAnsi="Georgia" w:cs="SBL Hebrew" w:eastAsia="Georgia"/>
          <w:b w:val="0"/>
          <w:i/>
          <w:color w:val="B8860B"/>
          <w:sz w:val="23"/>
        </w:rPr>
        <w:t>B) The Igros Moshe — Don't Stand Out</w:t>
      </w:r>
    </w:p>
    <w:p>
      <w:pPr>
        <w:spacing w:before="0" w:after="120" w:line="324" w:lineRule="auto"/>
      </w:pPr>
      <w:r>
        <w:rPr>
          <w:rFonts w:ascii="Georgia" w:hAnsi="Georgia" w:cs="SBL Hebrew" w:eastAsia="Georgia"/>
          <w:b w:val="0"/>
          <w:i w:val="0"/>
          <w:color w:val="1A1A1A"/>
          <w:sz w:val="22"/>
        </w:rPr>
        <w:br/>
        <w:t xml:space="preserve">  What about the traveler? The </w:t>
      </w:r>
      <w:r>
        <w:rPr>
          <w:rFonts w:ascii="Georgia" w:hAnsi="Georgia" w:cs="SBL Hebrew" w:eastAsia="Georgia"/>
          <w:b/>
          <w:i w:val="0"/>
          <w:color w:val="1A1A1A"/>
          <w:sz w:val="22"/>
        </w:rPr>
        <w:t>אגרות משה</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addressed exactly this. When a person walks into a tzibbur that does not say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he should not insert himself awkwardly into the structure of the kehillah's tefillah by saying it on his own. The principle is straightforward: this whole sugya is precisely about the </w:t>
      </w:r>
      <w:r>
        <w:rPr>
          <w:rFonts w:ascii="Georgia" w:hAnsi="Georgia" w:cs="SBL Hebrew" w:eastAsia="Georgia"/>
          <w:b w:val="0"/>
          <w:i/>
          <w:color w:val="1A1A1A"/>
          <w:sz w:val="22"/>
        </w:rPr>
        <w:t>structure</w:t>
      </w:r>
      <w:r>
        <w:rPr>
          <w:rFonts w:ascii="Georgia" w:hAnsi="Georgia" w:cs="SBL Hebrew" w:eastAsia="Georgia"/>
          <w:b w:val="0"/>
          <w:i w:val="0"/>
          <w:color w:val="1A1A1A"/>
          <w:sz w:val="22"/>
        </w:rPr>
        <w:t xml:space="preserve"> of the communal מעריב. You cannot defend "I am preserving my minhag" by violating the structural integrity of the tzibbur you are davening with. </w:t>
      </w:r>
      <w:r>
        <w:rPr>
          <w:rFonts w:ascii="SBL Hebrew" w:hAnsi="SBL Hebrew" w:cs="SBL Hebrew" w:eastAsia="SBL Hebrew"/>
          <w:b w:val="0"/>
          <w:i w:val="0"/>
          <w:color w:val="1A1A1A"/>
          <w:sz w:val="22"/>
        </w:rPr>
        <w:t>מנהג המקום</w:t>
      </w:r>
      <w:r>
        <w:rPr>
          <w:rFonts w:ascii="Georgia" w:hAnsi="Georgia" w:cs="SBL Hebrew" w:eastAsia="Georgia"/>
          <w:b w:val="0"/>
          <w:i w:val="0"/>
          <w:color w:val="1A1A1A"/>
          <w:sz w:val="22"/>
        </w:rPr>
        <w:t xml:space="preserve"> here is not a soft default; it is the natural extension of the very sensitivity the sugya is built around.</w:t>
        <w:br/>
      </w:r>
    </w:p>
    <w:p>
      <w:pPr>
        <w:spacing w:before="240" w:after="40"/>
      </w:pPr>
      <w:r>
        <w:rPr>
          <w:rFonts w:ascii="Georgia" w:hAnsi="Georgia" w:cs="SBL Hebrew" w:eastAsia="Georgia"/>
          <w:b w:val="0"/>
          <w:i/>
          <w:color w:val="B8860B"/>
          <w:sz w:val="23"/>
        </w:rPr>
        <w:t xml:space="preserve">C) The Lubavitcher Rebbe's Chiddush on </w:t>
      </w:r>
      <w:r>
        <w:rPr>
          <w:rFonts w:ascii="SBL Hebrew" w:hAnsi="SBL Hebrew" w:cs="SBL Hebrew" w:eastAsia="SBL Hebrew"/>
          <w:b w:val="0"/>
          <w:i/>
          <w:color w:val="B8860B"/>
          <w:sz w:val="23"/>
        </w:rPr>
        <w:t>ושמרו</w:t>
      </w:r>
    </w:p>
    <w:p>
      <w:pPr>
        <w:spacing w:before="0" w:after="120" w:line="324" w:lineRule="auto"/>
      </w:pPr>
      <w:r>
        <w:rPr>
          <w:rFonts w:ascii="Georgia" w:hAnsi="Georgia" w:cs="SBL Hebrew" w:eastAsia="Georgia"/>
          <w:b w:val="0"/>
          <w:i w:val="0"/>
          <w:color w:val="1A1A1A"/>
          <w:sz w:val="22"/>
        </w:rPr>
        <w:br/>
        <w:t xml:space="preserve">  An interesting parallel: the Lubavitcher Rebbe wrote in a letter that if a Lubavitcher chasid walks into a Friday-night מעריב in a shul that says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 xml:space="preserve"> aloud, and the chazan is going to wait for the tzibbur — the Lubavitcher should </w:t>
      </w:r>
      <w:r>
        <w:rPr>
          <w:rFonts w:ascii="Georgia" w:hAnsi="Georgia" w:cs="SBL Hebrew" w:eastAsia="Georgia"/>
          <w:b w:val="0"/>
          <w:i/>
          <w:color w:val="1A1A1A"/>
          <w:sz w:val="22"/>
        </w:rPr>
        <w:t>still not say ושמרו</w:t>
      </w:r>
      <w:r>
        <w:rPr>
          <w:rFonts w:ascii="Georgia" w:hAnsi="Georgia" w:cs="SBL Hebrew" w:eastAsia="Georgia"/>
          <w:b w:val="0"/>
          <w:i w:val="0"/>
          <w:color w:val="1A1A1A"/>
          <w:sz w:val="22"/>
        </w:rPr>
        <w:t>. Have someone else say it; you do not say it. The Rebbe quotes his great-great-grandfather the Alter Rebbe: even if you are davening in a tzibbur that says it, you do not say it.</w:t>
        <w:br/>
      </w:r>
    </w:p>
    <w:p>
      <w:pPr>
        <w:spacing w:before="0" w:after="120" w:line="324" w:lineRule="auto"/>
      </w:pPr>
      <w:r>
        <w:rPr>
          <w:rFonts w:ascii="Georgia" w:hAnsi="Georgia" w:cs="SBL Hebrew" w:eastAsia="Georgia"/>
          <w:b w:val="0"/>
          <w:i w:val="0"/>
          <w:color w:val="1A1A1A"/>
          <w:sz w:val="22"/>
        </w:rPr>
        <w:br/>
        <w:t xml:space="preserve">  This is striking. Ordinarily an instruction like that would create real disruption in a small shul — the entire tzibbur is waiting for the chazan to repeat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 xml:space="preserve">, the chazan waits for the tzibbur to finish, and a Lubavitcher in the room is silent through both. But it shows how sharply the Alter Rebbe held that the recitation was a problem of הפסק — not a soft preference, but a structural halachic objection that overrode the social pull of </w:t>
      </w:r>
      <w:r>
        <w:rPr>
          <w:rFonts w:ascii="SBL Hebrew" w:hAnsi="SBL Hebrew" w:cs="SBL Hebrew" w:eastAsia="SBL Hebrew"/>
          <w:b w:val="0"/>
          <w:i w:val="0"/>
          <w:color w:val="1A1A1A"/>
          <w:sz w:val="22"/>
        </w:rPr>
        <w:t>פנים מסבירות</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V. The Gaonic Framework — Why חוץ לארץ Says It at All</w:t>
      </w:r>
    </w:p>
    <w:p>
      <w:pPr>
        <w:spacing w:before="240" w:after="40"/>
      </w:pPr>
      <w:r>
        <w:rPr>
          <w:rFonts w:ascii="Georgia" w:hAnsi="Georgia" w:cs="SBL Hebrew" w:eastAsia="Georgia"/>
          <w:b w:val="0"/>
          <w:i/>
          <w:color w:val="B8860B"/>
          <w:sz w:val="23"/>
        </w:rPr>
        <w:t xml:space="preserve">A) Rav Natronai Gaon and Maariv as </w:t>
      </w:r>
      <w:r>
        <w:rPr>
          <w:rFonts w:ascii="SBL Hebrew" w:hAnsi="SBL Hebrew" w:cs="SBL Hebrew" w:eastAsia="SBL Hebrew"/>
          <w:b w:val="0"/>
          <w:i/>
          <w:color w:val="B8860B"/>
          <w:sz w:val="23"/>
        </w:rPr>
        <w:t>רשות</w:t>
      </w:r>
    </w:p>
    <w:p>
      <w:pPr>
        <w:spacing w:before="0" w:after="120" w:line="324" w:lineRule="auto"/>
      </w:pPr>
      <w:r>
        <w:rPr>
          <w:rFonts w:ascii="Georgia" w:hAnsi="Georgia" w:cs="SBL Hebrew" w:eastAsia="Georgia"/>
          <w:b w:val="0"/>
          <w:i w:val="0"/>
          <w:color w:val="1A1A1A"/>
          <w:sz w:val="22"/>
        </w:rPr>
        <w:br/>
        <w:t xml:space="preserve">  The most influential explanation for why the unit was inserted in the first place comes from </w:t>
      </w:r>
      <w:r>
        <w:rPr>
          <w:rFonts w:ascii="Georgia" w:hAnsi="Georgia" w:cs="SBL Hebrew" w:eastAsia="Georgia"/>
          <w:b/>
          <w:i w:val="0"/>
          <w:color w:val="1A1A1A"/>
          <w:sz w:val="22"/>
        </w:rPr>
        <w:t>רב נטרונאי גאון</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Rav Natronai was one of the major Geonim before Rav Amram Gaon and Rav Hai Gaon — early ninth century, twelve hundred years ago, Rosh Yeshiva of the Sura academy in Bavel, the main yeshiva from which much of our normative halacha emerged. The Tur cites him repeatedly.</w:t>
        <w:br/>
      </w:r>
    </w:p>
    <w:p>
      <w:pPr>
        <w:spacing w:before="0" w:after="120" w:line="324" w:lineRule="auto"/>
      </w:pPr>
      <w:r>
        <w:rPr>
          <w:rFonts w:ascii="Georgia" w:hAnsi="Georgia" w:cs="SBL Hebrew" w:eastAsia="Georgia"/>
          <w:b w:val="0"/>
          <w:i w:val="0"/>
          <w:color w:val="1A1A1A"/>
          <w:sz w:val="22"/>
        </w:rPr>
        <w:br/>
        <w:t xml:space="preserve">  Rav Natronai's framework: </w:t>
      </w:r>
      <w:r>
        <w:rPr>
          <w:rFonts w:ascii="Georgia" w:hAnsi="Georgia" w:cs="SBL Hebrew" w:eastAsia="Georgia"/>
          <w:b w:val="0"/>
          <w:i/>
          <w:color w:val="1A1A1A"/>
          <w:sz w:val="22"/>
        </w:rPr>
        <w:t>תפילת ערבית רשות</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Originally — unlike שחרית and מנחה — מעריב was not obligatory. The Gemara debates this directly; </w:t>
      </w:r>
      <w:r>
        <w:rPr>
          <w:rFonts w:ascii="SBL Hebrew" w:hAnsi="SBL Hebrew" w:cs="SBL Hebrew" w:eastAsia="SBL Hebrew"/>
          <w:b w:val="0"/>
          <w:i w:val="0"/>
          <w:color w:val="1A1A1A"/>
          <w:sz w:val="22"/>
        </w:rPr>
        <w:t>תפילת ערבית רשות או חובה</w:t>
      </w:r>
      <w:r>
        <w:rPr>
          <w:rFonts w:ascii="Georgia" w:hAnsi="Georgia" w:cs="SBL Hebrew" w:eastAsia="Georgia"/>
          <w:b w:val="0"/>
          <w:i w:val="0"/>
          <w:color w:val="1A1A1A"/>
          <w:sz w:val="22"/>
        </w:rPr>
        <w:t xml:space="preserve"> is one of the major sugyos in ברכות. Over time, כלל ישראל accepted it upon themselves as obligatory in practice — </w:t>
      </w:r>
      <w:r>
        <w:rPr>
          <w:rFonts w:ascii="SBL Hebrew" w:hAnsi="SBL Hebrew" w:cs="SBL Hebrew" w:eastAsia="SBL Hebrew"/>
          <w:b w:val="0"/>
          <w:i w:val="0"/>
          <w:color w:val="1A1A1A"/>
          <w:sz w:val="22"/>
        </w:rPr>
        <w:t>קבלוה עלייהו כחובה</w:t>
      </w:r>
      <w:r>
        <w:rPr>
          <w:rFonts w:ascii="Georgia" w:hAnsi="Georgia" w:cs="SBL Hebrew" w:eastAsia="Georgia"/>
          <w:b w:val="0"/>
          <w:i w:val="0"/>
          <w:color w:val="1A1A1A"/>
          <w:sz w:val="22"/>
        </w:rPr>
        <w:t xml:space="preserve"> — but the ancient classification left an imprint on the structure of the service. There remain a number of </w:t>
      </w:r>
      <w:r>
        <w:rPr>
          <w:rFonts w:ascii="SBL Hebrew" w:hAnsi="SBL Hebrew" w:cs="SBL Hebrew" w:eastAsia="SBL Hebrew"/>
          <w:b w:val="0"/>
          <w:i w:val="0"/>
          <w:color w:val="1A1A1A"/>
          <w:sz w:val="22"/>
        </w:rPr>
        <w:t>נפקא מינות</w:t>
      </w:r>
      <w:r>
        <w:rPr>
          <w:rFonts w:ascii="Georgia" w:hAnsi="Georgia" w:cs="SBL Hebrew" w:eastAsia="Georgia"/>
          <w:b w:val="0"/>
          <w:i w:val="0"/>
          <w:color w:val="1A1A1A"/>
          <w:sz w:val="22"/>
        </w:rPr>
        <w:t xml:space="preserve"> that flow from the original status even today.</w:t>
        <w:br/>
      </w:r>
    </w:p>
    <w:p>
      <w:pPr>
        <w:spacing w:before="240" w:after="40"/>
      </w:pPr>
      <w:r>
        <w:rPr>
          <w:rFonts w:ascii="Georgia" w:hAnsi="Georgia" w:cs="SBL Hebrew" w:eastAsia="Georgia"/>
          <w:b w:val="0"/>
          <w:i/>
          <w:color w:val="B8860B"/>
          <w:sz w:val="23"/>
        </w:rPr>
        <w:t>B) A "Mini-שמונה עשרה" Option</w:t>
      </w:r>
    </w:p>
    <w:p>
      <w:pPr>
        <w:spacing w:before="0" w:after="120" w:line="324" w:lineRule="auto"/>
      </w:pPr>
      <w:r>
        <w:rPr>
          <w:rFonts w:ascii="Georgia" w:hAnsi="Georgia" w:cs="SBL Hebrew" w:eastAsia="Georgia"/>
          <w:b w:val="0"/>
          <w:i w:val="0"/>
          <w:color w:val="1A1A1A"/>
          <w:sz w:val="22"/>
        </w:rPr>
        <w:br/>
        <w:t xml:space="preserve">  On Rav Natronai's framework, </w:t>
      </w:r>
      <w:r>
        <w:rPr>
          <w:rFonts w:ascii="SBL Hebrew" w:hAnsi="SBL Hebrew" w:cs="SBL Hebrew" w:eastAsia="SBL Hebrew"/>
          <w:b w:val="0"/>
          <w:i w:val="0"/>
          <w:color w:val="1A1A1A"/>
          <w:sz w:val="22"/>
        </w:rPr>
        <w:t>ברוך ה' לעולם אמן ואמן</w:t>
      </w:r>
      <w:r>
        <w:rPr>
          <w:rFonts w:ascii="Georgia" w:hAnsi="Georgia" w:cs="SBL Hebrew" w:eastAsia="Georgia"/>
          <w:b w:val="0"/>
          <w:i w:val="0"/>
          <w:color w:val="1A1A1A"/>
          <w:sz w:val="22"/>
        </w:rPr>
        <w:t xml:space="preserve"> together with the surrounding פסוקים functioned as a </w:t>
      </w:r>
      <w:r>
        <w:rPr>
          <w:rFonts w:ascii="Georgia" w:hAnsi="Georgia" w:cs="SBL Hebrew" w:eastAsia="Georgia"/>
          <w:b w:val="0"/>
          <w:i/>
          <w:color w:val="1A1A1A"/>
          <w:sz w:val="22"/>
        </w:rPr>
        <w:t>compressed substitute</w:t>
      </w:r>
      <w:r>
        <w:rPr>
          <w:rFonts w:ascii="Georgia" w:hAnsi="Georgia" w:cs="SBL Hebrew" w:eastAsia="Georgia"/>
          <w:b w:val="0"/>
          <w:i w:val="0"/>
          <w:color w:val="1A1A1A"/>
          <w:sz w:val="22"/>
        </w:rPr>
        <w:t xml:space="preserve"> for שמונה עשרה — for a time when not everyone would stay to daven a full מעריב. The structural shape supports this reading: the unit contains eighteen פסוקים, each one mentioning a name of הקדוש ברוך הוא, corresponding to the eighteen ברכות of the original שמונה עשרה (before the addition of </w:t>
      </w:r>
      <w:r>
        <w:rPr>
          <w:rFonts w:ascii="SBL Hebrew" w:hAnsi="SBL Hebrew" w:cs="SBL Hebrew" w:eastAsia="SBL Hebrew"/>
          <w:b w:val="0"/>
          <w:i w:val="0"/>
          <w:color w:val="1A1A1A"/>
          <w:sz w:val="22"/>
        </w:rPr>
        <w:t>ברכת המינים</w:t>
      </w:r>
      <w:r>
        <w:rPr>
          <w:rFonts w:ascii="Georgia" w:hAnsi="Georgia" w:cs="SBL Hebrew" w:eastAsia="Georgia"/>
          <w:b w:val="0"/>
          <w:i w:val="0"/>
          <w:color w:val="1A1A1A"/>
          <w:sz w:val="22"/>
        </w:rPr>
        <w:t>). The repetition and the structured sequence read like an abridged stand-in for the full עמידה.</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Aside — A Gaonic Story</w:t>
            </w:r>
          </w:p>
          <w:p>
            <w:pPr>
              <w:spacing w:before="0" w:after="80" w:line="312" w:lineRule="auto"/>
            </w:pPr>
            <w:r>
              <w:rPr>
                <w:rFonts w:ascii="Georgia" w:hAnsi="Georgia" w:cs="SBL Hebrew" w:eastAsia="Georgia"/>
                <w:color w:val="3B3B3B"/>
                <w:sz w:val="21"/>
              </w:rPr>
              <w:br/>
              <w:t xml:space="preserve">There is a famous tradition that connects Rav Natronai Gaon to the wider history of </w:t>
            </w:r>
            <w:r>
              <w:rPr>
                <w:rFonts w:ascii="Georgia" w:hAnsi="Georgia" w:cs="SBL Hebrew" w:eastAsia="Georgia"/>
                <w:b w:val="0"/>
                <w:i w:val="0"/>
                <w:color w:val="3B3B3B"/>
                <w:sz w:val="21"/>
              </w:rPr>
              <w:t>קפיצת הדרך</w:t>
            </w:r>
            <w:r>
              <w:rPr>
                <w:rFonts w:ascii="Georgia" w:hAnsi="Georgia" w:cs="SBL Hebrew" w:eastAsia="Georgia"/>
                <w:color w:val="3B3B3B"/>
                <w:sz w:val="21"/>
              </w:rPr>
              <w:t xml:space="preserve">. The story: Rav Natronai had a </w:t>
            </w:r>
            <w:r>
              <w:rPr>
                <w:rFonts w:ascii="Georgia" w:hAnsi="Georgia" w:cs="SBL Hebrew" w:eastAsia="Georgia"/>
                <w:b w:val="0"/>
                <w:i w:val="0"/>
                <w:color w:val="3B3B3B"/>
                <w:sz w:val="21"/>
              </w:rPr>
              <w:t>קפיצת הדרך</w:t>
            </w:r>
            <w:r>
              <w:rPr>
                <w:rFonts w:ascii="Georgia" w:hAnsi="Georgia" w:cs="SBL Hebrew" w:eastAsia="Georgia"/>
                <w:color w:val="3B3B3B"/>
                <w:sz w:val="21"/>
              </w:rPr>
              <w:t xml:space="preserve"> from Surah-Pumbedisa in Bavel to the city of Lucena in Spain, where the Jewish community had written asking him to clarify the </w:t>
            </w:r>
            <w:r>
              <w:rPr>
                <w:rFonts w:ascii="Georgia" w:hAnsi="Georgia" w:cs="SBL Hebrew" w:eastAsia="Georgia"/>
                <w:b w:val="0"/>
                <w:i w:val="0"/>
                <w:color w:val="3B3B3B"/>
                <w:sz w:val="21"/>
              </w:rPr>
              <w:t>מאה ברכות</w:t>
            </w:r>
            <w:r>
              <w:rPr>
                <w:rFonts w:ascii="Georgia" w:hAnsi="Georgia" w:cs="SBL Hebrew" w:eastAsia="Georgia"/>
                <w:color w:val="3B3B3B"/>
                <w:sz w:val="21"/>
              </w:rPr>
              <w:t xml:space="preserve"> a Jew is required to say each day. Rav Hai Gaon — much later — rejected the story sharply: </w:t>
            </w:r>
            <w:r>
              <w:rPr>
                <w:rFonts w:ascii="Georgia" w:hAnsi="Georgia" w:cs="SBL Hebrew" w:eastAsia="Georgia"/>
                <w:b w:val="0"/>
                <w:i w:val="0"/>
                <w:color w:val="3B3B3B"/>
                <w:sz w:val="21"/>
              </w:rPr>
              <w:t>it never happened. Imagination. We don't need bubbe maasos to strengthen our emunah. We know tzaddikim have a כח; you don't have to make up stories.</w:t>
            </w:r>
            <w:r>
              <w:rPr>
                <w:rFonts w:ascii="Georgia" w:hAnsi="Georgia" w:cs="SBL Hebrew" w:eastAsia="Georgia"/>
                <w:color w:val="3B3B3B"/>
                <w:sz w:val="21"/>
              </w:rPr>
              <w:t xml:space="preserve"> The exchange across the generations is itself revealing about how the Gaonim balanced the legitimate reverence for early authorities against the discipline of historical truth.</w:t>
              <w:br/>
            </w:r>
          </w:p>
        </w:tc>
      </w:tr>
    </w:tbl>
    <w:p>
      <w:pPr>
        <w:spacing w:before="0" w:after="120"/>
      </w:pPr>
    </w:p>
    <w:p>
      <w:pPr>
        <w:spacing w:before="240" w:after="40"/>
      </w:pPr>
      <w:r>
        <w:rPr>
          <w:rFonts w:ascii="Georgia" w:hAnsi="Georgia" w:cs="SBL Hebrew" w:eastAsia="Georgia"/>
          <w:b w:val="0"/>
          <w:i/>
          <w:color w:val="B8860B"/>
          <w:sz w:val="23"/>
        </w:rPr>
        <w:t xml:space="preserve">C) Why It Stuck — </w:t>
      </w:r>
      <w:r>
        <w:rPr>
          <w:rFonts w:ascii="SBL Hebrew" w:hAnsi="SBL Hebrew" w:cs="SBL Hebrew" w:eastAsia="SBL Hebrew"/>
          <w:b w:val="0"/>
          <w:i/>
          <w:color w:val="B8860B"/>
          <w:sz w:val="23"/>
        </w:rPr>
        <w:t>תקנה במקומה עומדת</w:t>
      </w:r>
    </w:p>
    <w:p>
      <w:pPr>
        <w:spacing w:before="0" w:after="120" w:line="324" w:lineRule="auto"/>
      </w:pPr>
      <w:r>
        <w:rPr>
          <w:rFonts w:ascii="Georgia" w:hAnsi="Georgia" w:cs="SBL Hebrew" w:eastAsia="Georgia"/>
          <w:b w:val="0"/>
          <w:i w:val="0"/>
          <w:color w:val="1A1A1A"/>
          <w:sz w:val="22"/>
        </w:rPr>
        <w:br/>
        <w:t xml:space="preserve">  If today every שליח ציבור and every מתפלל davens a full שמונה עשרה at מעריב, why preserve what began as an option? One answer, brought in the name of the </w:t>
      </w:r>
      <w:r>
        <w:rPr>
          <w:rFonts w:ascii="Georgia" w:hAnsi="Georgia" w:cs="SBL Hebrew" w:eastAsia="Georgia"/>
          <w:b/>
          <w:i w:val="0"/>
          <w:color w:val="1A1A1A"/>
          <w:sz w:val="22"/>
        </w:rPr>
        <w:t>רא״ש</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the general halachic principle </w:t>
      </w:r>
      <w:r>
        <w:rPr>
          <w:rFonts w:ascii="Georgia" w:hAnsi="Georgia" w:cs="SBL Hebrew" w:eastAsia="Georgia"/>
          <w:b w:val="0"/>
          <w:i/>
          <w:color w:val="1A1A1A"/>
          <w:sz w:val="22"/>
        </w:rPr>
        <w:t>תקנה במקומה עומדת</w:t>
      </w:r>
      <w:r>
        <w:rPr>
          <w:rFonts w:ascii="Georgia" w:hAnsi="Georgia" w:cs="SBL Hebrew" w:eastAsia="Georgia"/>
          <w:b w:val="0"/>
          <w:i w:val="0"/>
          <w:color w:val="1A1A1A"/>
          <w:sz w:val="22"/>
        </w:rPr>
        <w:t>. Once a communal תקנה is established by responsible authorities and accepted by כלל ישראל, it does not automatically dissolve when the original conditions no longer obtain. The Rosh applies the rule here: the unit remains in the siddur because the תקנה stands.</w:t>
        <w:br/>
      </w:r>
    </w:p>
    <w:p>
      <w:pPr>
        <w:spacing w:before="0" w:after="120" w:line="324" w:lineRule="auto"/>
      </w:pPr>
      <w:r>
        <w:rPr>
          <w:rFonts w:ascii="Georgia" w:hAnsi="Georgia" w:cs="SBL Hebrew" w:eastAsia="Georgia"/>
          <w:b w:val="0"/>
          <w:i w:val="0"/>
          <w:color w:val="1A1A1A"/>
          <w:sz w:val="22"/>
        </w:rPr>
        <w:br/>
        <w:t xml:space="preserve">  A second possibility offered in the שיעור: perhaps we retain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precisely as a quiet structural reminder that מעריב is historically rooted in </w:t>
      </w:r>
      <w:r>
        <w:rPr>
          <w:rFonts w:ascii="SBL Hebrew" w:hAnsi="SBL Hebrew" w:cs="SBL Hebrew" w:eastAsia="SBL Hebrew"/>
          <w:b w:val="0"/>
          <w:i w:val="0"/>
          <w:color w:val="1A1A1A"/>
          <w:sz w:val="22"/>
        </w:rPr>
        <w:t>רשות</w:t>
      </w:r>
      <w:r>
        <w:rPr>
          <w:rFonts w:ascii="Georgia" w:hAnsi="Georgia" w:cs="SBL Hebrew" w:eastAsia="Georgia"/>
          <w:b w:val="0"/>
          <w:i w:val="0"/>
          <w:color w:val="1A1A1A"/>
          <w:sz w:val="22"/>
        </w:rPr>
        <w:t>, even though we treat it as obligatory in practice. The unit functions as a mesorah-marker — a residue of the older status that keeps the historical fact present in the liturgy.</w:t>
        <w:br/>
      </w:r>
    </w:p>
    <w:p>
      <w:pPr>
        <w:spacing w:before="360" w:after="80"/>
        <w:pBdr>
          <w:bottom w:val="single" w:sz="6" w:space="2" w:color="b8860b"/>
        </w:pBdr>
      </w:pPr>
      <w:r>
        <w:rPr>
          <w:rFonts w:ascii="Georgia" w:hAnsi="Georgia" w:cs="SBL Hebrew" w:eastAsia="Georgia"/>
          <w:b w:val="0"/>
          <w:i w:val="0"/>
          <w:color w:val="1E3A8A"/>
          <w:sz w:val="26"/>
          <w:smallCaps w:val="1"/>
        </w:rPr>
        <w:t>VI. Night Danger, Roads, and Getting People Home Faster</w:t>
      </w:r>
    </w:p>
    <w:p>
      <w:pPr>
        <w:spacing w:before="0" w:after="120" w:line="324" w:lineRule="auto"/>
      </w:pPr>
      <w:r>
        <w:rPr>
          <w:rFonts w:ascii="Georgia" w:hAnsi="Georgia" w:cs="SBL Hebrew" w:eastAsia="Georgia"/>
          <w:b w:val="0"/>
          <w:i w:val="0"/>
          <w:color w:val="1A1A1A"/>
          <w:sz w:val="22"/>
        </w:rPr>
        <w:br/>
        <w:t xml:space="preserve">  Another classical reason is practical and almost touchingly pre-modern. In earlier eras — and the Gemara itself attests to this — בתי כנסיות were sometimes located </w:t>
      </w:r>
      <w:r>
        <w:rPr>
          <w:rFonts w:ascii="Georgia" w:hAnsi="Georgia" w:cs="SBL Hebrew" w:eastAsia="Georgia"/>
          <w:b w:val="0"/>
          <w:i/>
          <w:color w:val="1A1A1A"/>
          <w:sz w:val="22"/>
        </w:rPr>
        <w:t>outside</w:t>
      </w:r>
      <w:r>
        <w:rPr>
          <w:rFonts w:ascii="Georgia" w:hAnsi="Georgia" w:cs="SBL Hebrew" w:eastAsia="Georgia"/>
          <w:b w:val="0"/>
          <w:i w:val="0"/>
          <w:color w:val="1A1A1A"/>
          <w:sz w:val="22"/>
        </w:rPr>
        <w:t xml:space="preserve"> the residential center of the town, often in what the Gemara calls </w:t>
      </w:r>
      <w:r>
        <w:rPr>
          <w:rFonts w:ascii="SBL Hebrew" w:hAnsi="SBL Hebrew" w:cs="SBL Hebrew" w:eastAsia="SBL Hebrew"/>
          <w:b w:val="0"/>
          <w:i w:val="0"/>
          <w:color w:val="1A1A1A"/>
          <w:sz w:val="22"/>
        </w:rPr>
        <w:t>בשדה</w:t>
      </w:r>
      <w:r>
        <w:rPr>
          <w:rFonts w:ascii="Georgia" w:hAnsi="Georgia" w:cs="SBL Hebrew" w:eastAsia="Georgia"/>
          <w:b w:val="0"/>
          <w:i w:val="0"/>
          <w:color w:val="1A1A1A"/>
          <w:sz w:val="22"/>
        </w:rPr>
        <w:t xml:space="preserve">. People were genuinely afraid to walk home alone late at night: real physical danger from roads and animals, and the wider category of </w:t>
      </w:r>
      <w:r>
        <w:rPr>
          <w:rFonts w:ascii="SBL Hebrew" w:hAnsi="SBL Hebrew" w:cs="SBL Hebrew" w:eastAsia="SBL Hebrew"/>
          <w:b w:val="0"/>
          <w:i w:val="0"/>
          <w:color w:val="1A1A1A"/>
          <w:sz w:val="22"/>
        </w:rPr>
        <w:t>מזיקין</w:t>
      </w:r>
      <w:r>
        <w:rPr>
          <w:rFonts w:ascii="Georgia" w:hAnsi="Georgia" w:cs="SBL Hebrew" w:eastAsia="Georgia"/>
          <w:b w:val="0"/>
          <w:i w:val="0"/>
          <w:color w:val="1A1A1A"/>
          <w:sz w:val="22"/>
        </w:rPr>
        <w:t xml:space="preserve"> — the nighttime spiritual-physical threats that the Gemara takes with great seriousness.</w:t>
        <w:br/>
      </w:r>
    </w:p>
    <w:p>
      <w:pPr>
        <w:spacing w:before="0" w:after="120" w:line="324" w:lineRule="auto"/>
      </w:pPr>
      <w:r>
        <w:rPr>
          <w:rFonts w:ascii="Georgia" w:hAnsi="Georgia" w:cs="SBL Hebrew" w:eastAsia="Georgia"/>
          <w:b w:val="0"/>
          <w:i w:val="0"/>
          <w:color w:val="1A1A1A"/>
          <w:sz w:val="22"/>
        </w:rPr>
        <w:br/>
        <w:t xml:space="preserve">  On this account, the structure of an early מעריב looked something like this. The tzibbur would say </w:t>
      </w:r>
      <w:r>
        <w:rPr>
          <w:rFonts w:ascii="SBL Hebrew" w:hAnsi="SBL Hebrew" w:cs="SBL Hebrew" w:eastAsia="SBL Hebrew"/>
          <w:b w:val="0"/>
          <w:i w:val="0"/>
          <w:color w:val="1A1A1A"/>
          <w:sz w:val="22"/>
        </w:rPr>
        <w:t>ברכות קריאת שמע</w:t>
      </w:r>
      <w:r>
        <w:rPr>
          <w:rFonts w:ascii="Georgia" w:hAnsi="Georgia" w:cs="SBL Hebrew" w:eastAsia="Georgia"/>
          <w:b w:val="0"/>
          <w:i w:val="0"/>
          <w:color w:val="1A1A1A"/>
          <w:sz w:val="22"/>
        </w:rPr>
        <w:t xml:space="preserve"> through השכיבנו. Then the tzibbur would say </w:t>
      </w:r>
      <w:r>
        <w:rPr>
          <w:rFonts w:ascii="SBL Hebrew" w:hAnsi="SBL Hebrew" w:cs="SBL Hebrew" w:eastAsia="SBL Hebrew"/>
          <w:b w:val="0"/>
          <w:i w:val="0"/>
          <w:color w:val="1A1A1A"/>
          <w:sz w:val="22"/>
        </w:rPr>
        <w:t>ברוך ה' לעולם אמן ואמן</w:t>
      </w:r>
      <w:r>
        <w:rPr>
          <w:rFonts w:ascii="Georgia" w:hAnsi="Georgia" w:cs="SBL Hebrew" w:eastAsia="Georgia"/>
          <w:b w:val="0"/>
          <w:i w:val="0"/>
          <w:color w:val="1A1A1A"/>
          <w:sz w:val="22"/>
        </w:rPr>
        <w:t xml:space="preserve"> with </w:t>
      </w:r>
      <w:r>
        <w:rPr>
          <w:rFonts w:ascii="SBL Hebrew" w:hAnsi="SBL Hebrew" w:cs="SBL Hebrew" w:eastAsia="SBL Hebrew"/>
          <w:b w:val="0"/>
          <w:i w:val="0"/>
          <w:color w:val="1A1A1A"/>
          <w:sz w:val="22"/>
        </w:rPr>
        <w:t>יראו עינינו</w:t>
      </w:r>
      <w:r>
        <w:rPr>
          <w:rFonts w:ascii="Georgia" w:hAnsi="Georgia" w:cs="SBL Hebrew" w:eastAsia="Georgia"/>
          <w:b w:val="0"/>
          <w:i w:val="0"/>
          <w:color w:val="1A1A1A"/>
          <w:sz w:val="22"/>
        </w:rPr>
        <w:t xml:space="preserve">. Then </w:t>
      </w:r>
      <w:r>
        <w:rPr>
          <w:rFonts w:ascii="SBL Hebrew" w:hAnsi="SBL Hebrew" w:cs="SBL Hebrew" w:eastAsia="SBL Hebrew"/>
          <w:b w:val="0"/>
          <w:i w:val="0"/>
          <w:color w:val="1A1A1A"/>
          <w:sz w:val="22"/>
        </w:rPr>
        <w:t>קדיש</w:t>
      </w:r>
      <w:r>
        <w:rPr>
          <w:rFonts w:ascii="Georgia" w:hAnsi="Georgia" w:cs="SBL Hebrew" w:eastAsia="Georgia"/>
          <w:b w:val="0"/>
          <w:i w:val="0"/>
          <w:color w:val="1A1A1A"/>
          <w:sz w:val="22"/>
        </w:rPr>
        <w:t>. People could now leave the shul together — finishing as a group rather than scattering at different points — and those who wished could daven a full שמונה עשרה later, at home. The unit was a communal safety accommodation: not "extra," but the deliberate construction of a halachically defensible early-exit point so that the kehillah could walk home together at the most vulnerable hour.</w:t>
        <w:br/>
      </w:r>
    </w:p>
    <w:p>
      <w:pPr>
        <w:spacing w:before="360" w:after="80"/>
        <w:pBdr>
          <w:bottom w:val="single" w:sz="6" w:space="2" w:color="b8860b"/>
        </w:pBdr>
      </w:pPr>
      <w:r>
        <w:rPr>
          <w:rFonts w:ascii="Georgia" w:hAnsi="Georgia" w:cs="SBL Hebrew" w:eastAsia="Georgia"/>
          <w:b w:val="0"/>
          <w:i w:val="0"/>
          <w:color w:val="1E3A8A"/>
          <w:sz w:val="26"/>
          <w:smallCaps w:val="1"/>
        </w:rPr>
        <w:t xml:space="preserve">VII. </w:t>
      </w:r>
      <w:r>
        <w:rPr>
          <w:rFonts w:ascii="SBL Hebrew" w:hAnsi="SBL Hebrew" w:cs="SBL Hebrew" w:eastAsia="SBL Hebrew"/>
          <w:b w:val="0"/>
          <w:i w:val="0"/>
          <w:color w:val="1E3A8A"/>
          <w:sz w:val="26"/>
          <w:smallCaps w:val="1"/>
        </w:rPr>
        <w:t>הביננו</w:t>
      </w:r>
      <w:r>
        <w:rPr>
          <w:rFonts w:ascii="Georgia" w:hAnsi="Georgia" w:cs="SBL Hebrew" w:eastAsia="Georgia"/>
          <w:b w:val="0"/>
          <w:i w:val="0"/>
          <w:color w:val="1E3A8A"/>
          <w:sz w:val="26"/>
          <w:smallCaps w:val="1"/>
        </w:rPr>
        <w:t xml:space="preserve"> vs. </w:t>
      </w:r>
      <w:r>
        <w:rPr>
          <w:rFonts w:ascii="SBL Hebrew" w:hAnsi="SBL Hebrew" w:cs="SBL Hebrew" w:eastAsia="SBL Hebrew"/>
          <w:b w:val="0"/>
          <w:i w:val="0"/>
          <w:color w:val="1E3A8A"/>
          <w:sz w:val="26"/>
          <w:smallCaps w:val="1"/>
        </w:rPr>
        <w:t>ברוך ה' לעולם</w:t>
      </w:r>
      <w:r>
        <w:rPr>
          <w:rFonts w:ascii="Georgia" w:hAnsi="Georgia" w:cs="SBL Hebrew" w:eastAsia="Georgia"/>
          <w:b w:val="0"/>
          <w:i w:val="0"/>
          <w:color w:val="1E3A8A"/>
          <w:sz w:val="26"/>
          <w:smallCaps w:val="1"/>
        </w:rPr>
        <w:t xml:space="preserve"> — Two Different Shortening Logics</w:t>
      </w:r>
    </w:p>
    <w:p>
      <w:pPr>
        <w:spacing w:before="0" w:after="120" w:line="324" w:lineRule="auto"/>
      </w:pPr>
      <w:r>
        <w:rPr>
          <w:rFonts w:ascii="Georgia" w:hAnsi="Georgia" w:cs="SBL Hebrew" w:eastAsia="Georgia"/>
          <w:b w:val="0"/>
          <w:i w:val="0"/>
          <w:color w:val="1A1A1A"/>
          <w:sz w:val="22"/>
        </w:rPr>
        <w:br/>
        <w:t xml:space="preserve">  A natural question arose during the שיעור: doesn't חז״ל already provide an authorized abridged שמונה עשרה in the form of </w:t>
      </w:r>
      <w:r>
        <w:rPr>
          <w:rFonts w:ascii="Georgia" w:hAnsi="Georgia" w:cs="SBL Hebrew" w:eastAsia="Georgia"/>
          <w:b/>
          <w:i w:val="0"/>
          <w:color w:val="1A1A1A"/>
          <w:sz w:val="22"/>
        </w:rPr>
        <w:t>הביננו</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The Gemara presents הביננו explicitly as a short alternative for someone who cannot daven the full שמונה עשרה. If a shortening was needed for those who could not daven the full עמידה, why not just use הביננו?</w:t>
        <w:br/>
      </w:r>
    </w:p>
    <w:p>
      <w:pPr>
        <w:spacing w:before="0" w:after="120" w:line="324" w:lineRule="auto"/>
      </w:pPr>
      <w:r>
        <w:rPr>
          <w:rFonts w:ascii="Georgia" w:hAnsi="Georgia" w:cs="SBL Hebrew" w:eastAsia="Georgia"/>
          <w:b w:val="0"/>
          <w:i w:val="0"/>
          <w:color w:val="1A1A1A"/>
          <w:sz w:val="22"/>
        </w:rPr>
        <w:br/>
        <w:t xml:space="preserve">  The שיעור drew a sharp distinction. </w:t>
      </w:r>
      <w:r>
        <w:rPr>
          <w:rFonts w:ascii="Georgia" w:hAnsi="Georgia" w:cs="SBL Hebrew" w:eastAsia="Georgia"/>
          <w:b/>
          <w:i w:val="0"/>
          <w:color w:val="1A1A1A"/>
          <w:sz w:val="22"/>
        </w:rPr>
        <w:t>הביננו</w:t>
      </w:r>
      <w:r>
        <w:rPr>
          <w:rFonts w:ascii="Georgia" w:hAnsi="Georgia" w:cs="SBL Hebrew" w:eastAsia="Georgia"/>
          <w:b w:val="0"/>
          <w:i w:val="0"/>
          <w:color w:val="1A1A1A"/>
          <w:sz w:val="22"/>
        </w:rPr>
        <w:t xml:space="preserve"> presupposes a full </w:t>
      </w:r>
      <w:r>
        <w:rPr>
          <w:rFonts w:ascii="Georgia" w:hAnsi="Georgia" w:cs="SBL Hebrew" w:eastAsia="Georgia"/>
          <w:b w:val="0"/>
          <w:i/>
          <w:color w:val="1A1A1A"/>
          <w:sz w:val="22"/>
        </w:rPr>
        <w:t>obligation</w:t>
      </w:r>
      <w:r>
        <w:rPr>
          <w:rFonts w:ascii="Georgia" w:hAnsi="Georgia" w:cs="SBL Hebrew" w:eastAsia="Georgia"/>
          <w:b w:val="0"/>
          <w:i w:val="0"/>
          <w:color w:val="1A1A1A"/>
          <w:sz w:val="22"/>
        </w:rPr>
        <w:t xml:space="preserve"> to daven שמונה עשרה, and provides a shorter form only in cases of </w:t>
      </w:r>
      <w:r>
        <w:rPr>
          <w:rFonts w:ascii="SBL Hebrew" w:hAnsi="SBL Hebrew" w:cs="SBL Hebrew" w:eastAsia="SBL Hebrew"/>
          <w:b w:val="0"/>
          <w:i w:val="0"/>
          <w:color w:val="1A1A1A"/>
          <w:sz w:val="22"/>
        </w:rPr>
        <w:t>אונס</w:t>
      </w:r>
      <w:r>
        <w:rPr>
          <w:rFonts w:ascii="Georgia" w:hAnsi="Georgia" w:cs="SBL Hebrew" w:eastAsia="Georgia"/>
          <w:b w:val="0"/>
          <w:i w:val="0"/>
          <w:color w:val="1A1A1A"/>
          <w:sz w:val="22"/>
        </w:rPr>
        <w:t xml:space="preserve"> — when a person genuinely cannot daven the full עמידה. The </w:t>
      </w:r>
      <w:r>
        <w:rPr>
          <w:rFonts w:ascii="Georgia" w:hAnsi="Georgia" w:cs="SBL Hebrew" w:eastAsia="Georgia"/>
          <w:b/>
          <w:i w:val="0"/>
          <w:color w:val="1A1A1A"/>
          <w:sz w:val="22"/>
        </w:rPr>
        <w:t>ברוך ה' לעולם</w:t>
      </w:r>
      <w:r>
        <w:rPr>
          <w:rFonts w:ascii="Georgia" w:hAnsi="Georgia" w:cs="SBL Hebrew" w:eastAsia="Georgia"/>
          <w:b w:val="0"/>
          <w:i w:val="0"/>
          <w:color w:val="1A1A1A"/>
          <w:sz w:val="22"/>
        </w:rPr>
        <w:t xml:space="preserve"> framework (in the Gaonic reading) reflects a fundamentally different situation: a time when מעריב itself had the status of </w:t>
      </w:r>
      <w:r>
        <w:rPr>
          <w:rFonts w:ascii="SBL Hebrew" w:hAnsi="SBL Hebrew" w:cs="SBL Hebrew" w:eastAsia="SBL Hebrew"/>
          <w:b w:val="0"/>
          <w:i w:val="0"/>
          <w:color w:val="1A1A1A"/>
          <w:sz w:val="22"/>
        </w:rPr>
        <w:t>רשות</w:t>
      </w:r>
      <w:r>
        <w:rPr>
          <w:rFonts w:ascii="Georgia" w:hAnsi="Georgia" w:cs="SBL Hebrew" w:eastAsia="Georgia"/>
          <w:b w:val="0"/>
          <w:i w:val="0"/>
          <w:color w:val="1A1A1A"/>
          <w:sz w:val="22"/>
        </w:rPr>
        <w:t xml:space="preserve">, and the text functioned as an alternative communal framework rather than as an emergency substitute. The logic of each is structurally distinct: הביננו is a concession to need;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is a reflection of original status.</w:t>
        <w:br/>
      </w:r>
    </w:p>
    <w:p>
      <w:pPr>
        <w:spacing w:before="360" w:after="80"/>
        <w:pBdr>
          <w:bottom w:val="single" w:sz="6" w:space="2" w:color="b8860b"/>
        </w:pBdr>
      </w:pPr>
      <w:r>
        <w:rPr>
          <w:rFonts w:ascii="Georgia" w:hAnsi="Georgia" w:cs="SBL Hebrew" w:eastAsia="Georgia"/>
          <w:b w:val="0"/>
          <w:i w:val="0"/>
          <w:color w:val="1E3A8A"/>
          <w:sz w:val="26"/>
          <w:smallCaps w:val="1"/>
        </w:rPr>
        <w:t>VIII. The Rashba's Warning — Shortened in Shul, Full at Home</w:t>
      </w:r>
    </w:p>
    <w:p>
      <w:pPr>
        <w:spacing w:before="0" w:after="120" w:line="324" w:lineRule="auto"/>
      </w:pPr>
      <w:r>
        <w:rPr>
          <w:rFonts w:ascii="Georgia" w:hAnsi="Georgia" w:cs="SBL Hebrew" w:eastAsia="Georgia"/>
          <w:b w:val="0"/>
          <w:i w:val="0"/>
          <w:color w:val="1A1A1A"/>
          <w:sz w:val="22"/>
        </w:rPr>
        <w:br/>
        <w:t xml:space="preserve">  Even within the communities that used the shortened version, the </w:t>
      </w:r>
      <w:r>
        <w:rPr>
          <w:rFonts w:ascii="Georgia" w:hAnsi="Georgia" w:cs="SBL Hebrew" w:eastAsia="Georgia"/>
          <w:b/>
          <w:i w:val="0"/>
          <w:color w:val="1A1A1A"/>
          <w:sz w:val="22"/>
        </w:rPr>
        <w:t>רשב״א</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issues a sharp warning: if you used the shortened version in shul — saying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and קדיש and going home — </w:t>
      </w:r>
      <w:r>
        <w:rPr>
          <w:rFonts w:ascii="Georgia" w:hAnsi="Georgia" w:cs="SBL Hebrew" w:eastAsia="Georgia"/>
          <w:b w:val="0"/>
          <w:i/>
          <w:color w:val="1A1A1A"/>
          <w:sz w:val="22"/>
        </w:rPr>
        <w:t>do not forget to say the full שמונה עשרה when you get home</w:t>
      </w:r>
      <w:r>
        <w:rPr>
          <w:rFonts w:ascii="Georgia" w:hAnsi="Georgia" w:cs="SBL Hebrew" w:eastAsia="Georgia"/>
          <w:b w:val="0"/>
          <w:i w:val="0"/>
          <w:color w:val="1A1A1A"/>
          <w:sz w:val="22"/>
        </w:rPr>
        <w:t>. The structural shortening was a concession to the danger of walking home, not a halachic dispensation from the עמידה itself.</w:t>
        <w:br/>
      </w:r>
    </w:p>
    <w:p>
      <w:pPr>
        <w:spacing w:before="0" w:after="120" w:line="324" w:lineRule="auto"/>
      </w:pPr>
      <w:r>
        <w:rPr>
          <w:rFonts w:ascii="Georgia" w:hAnsi="Georgia" w:cs="SBL Hebrew" w:eastAsia="Georgia"/>
          <w:b w:val="0"/>
          <w:i w:val="0"/>
          <w:color w:val="1A1A1A"/>
          <w:sz w:val="22"/>
        </w:rPr>
        <w:br/>
        <w:t xml:space="preserve">  For us today this part of the picture is mostly not operative — we daven the full שמונה עשרה in shul at מעריב — but the older reality remained embedded in the siddur, and many </w:t>
      </w:r>
      <w:r>
        <w:rPr>
          <w:rFonts w:ascii="SBL Hebrew" w:hAnsi="SBL Hebrew" w:cs="SBL Hebrew" w:eastAsia="SBL Hebrew"/>
          <w:b w:val="0"/>
          <w:i w:val="0"/>
          <w:color w:val="1A1A1A"/>
          <w:sz w:val="22"/>
        </w:rPr>
        <w:t>בני חוץ לארץ</w:t>
      </w:r>
      <w:r>
        <w:rPr>
          <w:rFonts w:ascii="Georgia" w:hAnsi="Georgia" w:cs="SBL Hebrew" w:eastAsia="Georgia"/>
          <w:b w:val="0"/>
          <w:i w:val="0"/>
          <w:color w:val="1A1A1A"/>
          <w:sz w:val="22"/>
        </w:rPr>
        <w:t xml:space="preserve"> accepted the older elements as a continuing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The Rashba's warning is preserved as a marker of the historical reality the text encodes.</w:t>
        <w:br/>
      </w:r>
    </w:p>
    <w:p>
      <w:pPr>
        <w:spacing w:before="360" w:after="80"/>
        <w:pBdr>
          <w:bottom w:val="single" w:sz="6" w:space="2" w:color="b8860b"/>
        </w:pBdr>
      </w:pPr>
      <w:r>
        <w:rPr>
          <w:rFonts w:ascii="Georgia" w:hAnsi="Georgia" w:cs="SBL Hebrew" w:eastAsia="Georgia"/>
          <w:b w:val="0"/>
          <w:i w:val="0"/>
          <w:color w:val="1E3A8A"/>
          <w:sz w:val="26"/>
          <w:smallCaps w:val="1"/>
        </w:rPr>
        <w:t>IX. The Abudraham — "Coinage," and a Tradition of a Decree</w:t>
      </w:r>
    </w:p>
    <w:p>
      <w:pPr>
        <w:spacing w:before="240" w:after="40"/>
      </w:pPr>
      <w:r>
        <w:rPr>
          <w:rFonts w:ascii="Georgia" w:hAnsi="Georgia" w:cs="SBL Hebrew" w:eastAsia="Georgia"/>
          <w:b w:val="0"/>
          <w:i/>
          <w:color w:val="B8860B"/>
          <w:sz w:val="23"/>
        </w:rPr>
        <w:t>A) The Name</w:t>
      </w:r>
    </w:p>
    <w:p>
      <w:pPr>
        <w:spacing w:before="0" w:after="120" w:line="324" w:lineRule="auto"/>
      </w:pPr>
      <w:r>
        <w:rPr>
          <w:rFonts w:ascii="Georgia" w:hAnsi="Georgia" w:cs="SBL Hebrew" w:eastAsia="Georgia"/>
          <w:b w:val="0"/>
          <w:i w:val="0"/>
          <w:color w:val="1A1A1A"/>
          <w:sz w:val="22"/>
        </w:rPr>
        <w:br/>
        <w:t xml:space="preserve">  One of the classic ראשונים on תפילה is the </w:t>
      </w:r>
      <w:r>
        <w:rPr>
          <w:rFonts w:ascii="Georgia" w:hAnsi="Georgia" w:cs="SBL Hebrew" w:eastAsia="Georgia"/>
          <w:b/>
          <w:i w:val="0"/>
          <w:color w:val="1A1A1A"/>
          <w:sz w:val="22"/>
        </w:rPr>
        <w:t>אבודרהם</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 Rabbeinu David, generally identified as ר' דוד בן יוסף אבודרהם of fourteenth-century Sevilla. There is a longstanding discussion about the name itself. People pronounce it "Avudraham," but the more historically accurate pronunciation seems to be closer to </w:t>
      </w:r>
      <w:r>
        <w:rPr>
          <w:rFonts w:ascii="Georgia" w:hAnsi="Georgia" w:cs="SBL Hebrew" w:eastAsia="Georgia"/>
          <w:b w:val="0"/>
          <w:i/>
          <w:color w:val="1A1A1A"/>
          <w:sz w:val="22"/>
        </w:rPr>
        <w:t>Abu Dirham</w:t>
      </w:r>
      <w:r>
        <w:rPr>
          <w:rFonts w:ascii="Georgia" w:hAnsi="Georgia" w:cs="SBL Hebrew" w:eastAsia="Georgia"/>
          <w:b w:val="0"/>
          <w:i w:val="0"/>
          <w:color w:val="1A1A1A"/>
          <w:sz w:val="22"/>
        </w:rPr>
        <w:t xml:space="preserve"> — the Arabic name structure of </w:t>
      </w:r>
      <w:r>
        <w:rPr>
          <w:rFonts w:ascii="Georgia" w:hAnsi="Georgia" w:cs="SBL Hebrew" w:eastAsia="Georgia"/>
          <w:b w:val="0"/>
          <w:i/>
          <w:color w:val="1A1A1A"/>
          <w:sz w:val="22"/>
        </w:rPr>
        <w:t>Abu</w:t>
      </w:r>
      <w:r>
        <w:rPr>
          <w:rFonts w:ascii="Georgia" w:hAnsi="Georgia" w:cs="SBL Hebrew" w:eastAsia="Georgia"/>
          <w:b w:val="0"/>
          <w:i w:val="0"/>
          <w:color w:val="1A1A1A"/>
          <w:sz w:val="22"/>
        </w:rPr>
        <w:t xml:space="preserve"> ("father of") plus </w:t>
      </w:r>
      <w:r>
        <w:rPr>
          <w:rFonts w:ascii="Georgia" w:hAnsi="Georgia" w:cs="SBL Hebrew" w:eastAsia="Georgia"/>
          <w:b w:val="0"/>
          <w:i/>
          <w:color w:val="1A1A1A"/>
          <w:sz w:val="22"/>
        </w:rPr>
        <w:t>dirham</w:t>
      </w:r>
      <w:r>
        <w:rPr>
          <w:rFonts w:ascii="Georgia" w:hAnsi="Georgia" w:cs="SBL Hebrew" w:eastAsia="Georgia"/>
          <w:b w:val="0"/>
          <w:i w:val="0"/>
          <w:color w:val="1A1A1A"/>
          <w:sz w:val="22"/>
        </w:rPr>
        <w:t xml:space="preserve"> (a currency, still in use today in Morocco and the United Arab Emirates).</w:t>
        <w:br/>
      </w:r>
    </w:p>
    <w:p>
      <w:pPr>
        <w:spacing w:before="0" w:after="120" w:line="324" w:lineRule="auto"/>
      </w:pPr>
      <w:r>
        <w:rPr>
          <w:rFonts w:ascii="Georgia" w:hAnsi="Georgia" w:cs="SBL Hebrew" w:eastAsia="Georgia"/>
          <w:b w:val="0"/>
          <w:i w:val="0"/>
          <w:color w:val="1A1A1A"/>
          <w:sz w:val="22"/>
        </w:rPr>
        <w:br/>
        <w:t xml:space="preserve">  Two explanations of the name circulate. The first, simpler: his family were money-changers; they worked with currency; the family name preserved the trade. In medieval Spain family names were routinely formed from occupations. The second, "cuter" but probably mid-rash: חז״ל call the fixed formulas of ברכה </w:t>
      </w:r>
      <w:r>
        <w:rPr>
          <w:rFonts w:ascii="Georgia" w:hAnsi="Georgia" w:cs="SBL Hebrew" w:eastAsia="Georgia"/>
          <w:b w:val="0"/>
          <w:i/>
          <w:color w:val="1A1A1A"/>
          <w:sz w:val="22"/>
        </w:rPr>
        <w:t>מטבע שטבעו חכמים</w:t>
      </w:r>
      <w:r>
        <w:rPr>
          <w:rFonts w:ascii="Georgia" w:hAnsi="Georgia" w:cs="SBL Hebrew" w:eastAsia="Georgia"/>
          <w:b w:val="0"/>
          <w:i w:val="0"/>
          <w:color w:val="1A1A1A"/>
          <w:sz w:val="22"/>
        </w:rPr>
        <w:t xml:space="preserve"> — "the coinage that the Sages minted." You do not improvise the currency; you do not casually alter the נוסח of a ברכה. Since the אבודרהם's entire sefer is devoted to explaining the structure and meaning of the ברכות — to walking through the "coinage" — the dirham association becomes a thematic fit with his life's work. The שיעור flagged this as a </w:t>
      </w:r>
      <w:r>
        <w:rPr>
          <w:rFonts w:ascii="Georgia" w:hAnsi="Georgia" w:cs="SBL Hebrew" w:eastAsia="Georgia"/>
          <w:b w:val="0"/>
          <w:i/>
          <w:color w:val="1A1A1A"/>
          <w:sz w:val="22"/>
        </w:rPr>
        <w:t>cute pshat</w:t>
      </w:r>
      <w:r>
        <w:rPr>
          <w:rFonts w:ascii="Georgia" w:hAnsi="Georgia" w:cs="SBL Hebrew" w:eastAsia="Georgia"/>
          <w:b w:val="0"/>
          <w:i w:val="0"/>
          <w:color w:val="1A1A1A"/>
          <w:sz w:val="22"/>
        </w:rPr>
        <w:t xml:space="preserve">, not necessarily an </w:t>
      </w:r>
      <w:r>
        <w:rPr>
          <w:rFonts w:ascii="Georgia" w:hAnsi="Georgia" w:cs="SBL Hebrew" w:eastAsia="Georgia"/>
          <w:b w:val="0"/>
          <w:i/>
          <w:color w:val="1A1A1A"/>
          <w:sz w:val="22"/>
        </w:rPr>
        <w:t>emes pshat</w:t>
      </w:r>
      <w:r>
        <w:rPr>
          <w:rFonts w:ascii="Georgia" w:hAnsi="Georgia" w:cs="SBL Hebrew" w:eastAsia="Georgia"/>
          <w:b w:val="0"/>
          <w:i w:val="0"/>
          <w:color w:val="1A1A1A"/>
          <w:sz w:val="22"/>
        </w:rPr>
        <w:t>. The conventional academic identification follows the first explanation.</w:t>
        <w:br/>
      </w:r>
    </w:p>
    <w:p>
      <w:pPr>
        <w:spacing w:before="240" w:after="40"/>
      </w:pPr>
      <w:r>
        <w:rPr>
          <w:rFonts w:ascii="Georgia" w:hAnsi="Georgia" w:cs="SBL Hebrew" w:eastAsia="Georgia"/>
          <w:b w:val="0"/>
          <w:i/>
          <w:color w:val="B8860B"/>
          <w:sz w:val="23"/>
        </w:rPr>
        <w:t xml:space="preserve">B) The Abudraham's Tradition — A </w:t>
      </w:r>
      <w:r>
        <w:rPr>
          <w:rFonts w:ascii="SBL Hebrew" w:hAnsi="SBL Hebrew" w:cs="SBL Hebrew" w:eastAsia="SBL Hebrew"/>
          <w:b w:val="0"/>
          <w:i/>
          <w:color w:val="B8860B"/>
          <w:sz w:val="23"/>
        </w:rPr>
        <w:t>גזירה</w:t>
      </w:r>
      <w:r>
        <w:rPr>
          <w:rFonts w:ascii="Georgia" w:hAnsi="Georgia" w:cs="SBL Hebrew" w:eastAsia="Georgia"/>
          <w:b w:val="0"/>
          <w:i/>
          <w:color w:val="B8860B"/>
          <w:sz w:val="23"/>
        </w:rPr>
        <w:t xml:space="preserve"> Against Maariv</w:t>
      </w:r>
    </w:p>
    <w:p>
      <w:pPr>
        <w:spacing w:before="0" w:after="120" w:line="324" w:lineRule="auto"/>
      </w:pPr>
      <w:r>
        <w:rPr>
          <w:rFonts w:ascii="Georgia" w:hAnsi="Georgia" w:cs="SBL Hebrew" w:eastAsia="Georgia"/>
          <w:b w:val="0"/>
          <w:i w:val="0"/>
          <w:color w:val="1A1A1A"/>
          <w:sz w:val="22"/>
        </w:rPr>
        <w:br/>
        <w:t xml:space="preserve">  The אבודרהם records a striking historical tradition — and Rabbi Ephrati emphasized that he was unable to find many parallel sources for it. There was a period when non-Jewish authorities issued a גזירה specifically against davening </w:t>
      </w:r>
      <w:r>
        <w:rPr>
          <w:rFonts w:ascii="Georgia" w:hAnsi="Georgia" w:cs="SBL Hebrew" w:eastAsia="Georgia"/>
          <w:b w:val="0"/>
          <w:i/>
          <w:color w:val="1A1A1A"/>
          <w:sz w:val="22"/>
        </w:rPr>
        <w:t>מעריב</w:t>
      </w:r>
      <w:r>
        <w:rPr>
          <w:rFonts w:ascii="Georgia" w:hAnsi="Georgia" w:cs="SBL Hebrew" w:eastAsia="Georgia"/>
          <w:b w:val="0"/>
          <w:i w:val="0"/>
          <w:color w:val="1A1A1A"/>
          <w:sz w:val="22"/>
        </w:rPr>
        <w:t xml:space="preserve">. Guards were stationed at the שולים to prevent Jews from entering shul for מעריב. Why מעריב in particular, when שחרית and מנחה were allowed, is unclear in the source. But during that period, the kehillot enacted that people would gather as a tzibbur but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say שמונה עשרה. Instead they would recite a set of פסוקים — a substitute structure built around eighteen invocations of הקדוש ברוך הוא — that served halachically and emotionally "in place of" the עמידה.</w:t>
        <w:br/>
      </w:r>
    </w:p>
    <w:p>
      <w:pPr>
        <w:spacing w:before="0" w:after="120" w:line="324" w:lineRule="auto"/>
      </w:pPr>
      <w:r>
        <w:rPr>
          <w:rFonts w:ascii="Georgia" w:hAnsi="Georgia" w:cs="SBL Hebrew" w:eastAsia="Georgia"/>
          <w:b w:val="0"/>
          <w:i w:val="0"/>
          <w:color w:val="1A1A1A"/>
          <w:sz w:val="22"/>
        </w:rPr>
        <w:br/>
        <w:t xml:space="preserve">  When the גזירה lifted, the substitute structure was already embedded in the siddur and remained. The אבודרהם presents this as a tradition recorded by a major ראשון, but the specific historical setting — which government, what period, which region — is not securely identified. The שיעור left this as an open </w:t>
      </w:r>
      <w:r>
        <w:rPr>
          <w:rFonts w:ascii="SBL Hebrew" w:hAnsi="SBL Hebrew" w:cs="SBL Hebrew" w:eastAsia="SBL Hebrew"/>
          <w:b w:val="0"/>
          <w:i w:val="0"/>
          <w:color w:val="1A1A1A"/>
          <w:sz w:val="22"/>
        </w:rPr>
        <w:t>בירור</w:t>
      </w:r>
      <w:r>
        <w:rPr>
          <w:rFonts w:ascii="Georgia" w:hAnsi="Georgia" w:cs="SBL Hebrew" w:eastAsia="Georgia"/>
          <w:b w:val="0"/>
          <w:i w:val="0"/>
          <w:color w:val="1A1A1A"/>
          <w:sz w:val="22"/>
        </w:rPr>
        <w:t>, and Rabbi Ephrati invited the kehillah to bring any further sources to his attention.</w:t>
        <w:br/>
      </w:r>
    </w:p>
    <w:p>
      <w:pPr>
        <w:spacing w:before="360" w:after="80"/>
        <w:pBdr>
          <w:bottom w:val="single" w:sz="6" w:space="2" w:color="b8860b"/>
        </w:pBdr>
      </w:pPr>
      <w:r>
        <w:rPr>
          <w:rFonts w:ascii="Georgia" w:hAnsi="Georgia" w:cs="SBL Hebrew" w:eastAsia="Georgia"/>
          <w:b w:val="0"/>
          <w:i w:val="0"/>
          <w:color w:val="1E3A8A"/>
          <w:sz w:val="26"/>
          <w:smallCaps w:val="1"/>
        </w:rPr>
        <w:t xml:space="preserve">X. The Geonim and Latecomers — A Mussar Point about </w:t>
      </w:r>
      <w:r>
        <w:rPr>
          <w:rFonts w:ascii="SBL Hebrew" w:hAnsi="SBL Hebrew" w:cs="SBL Hebrew" w:eastAsia="SBL Hebrew"/>
          <w:b w:val="0"/>
          <w:i w:val="0"/>
          <w:color w:val="1E3A8A"/>
          <w:sz w:val="26"/>
          <w:smallCaps w:val="1"/>
        </w:rPr>
        <w:t>תפילה בציבור</w:t>
      </w:r>
    </w:p>
    <w:p>
      <w:pPr>
        <w:spacing w:before="0" w:after="120" w:line="324" w:lineRule="auto"/>
      </w:pPr>
      <w:r>
        <w:rPr>
          <w:rFonts w:ascii="Georgia" w:hAnsi="Georgia" w:cs="SBL Hebrew" w:eastAsia="Georgia"/>
          <w:b w:val="0"/>
          <w:i w:val="0"/>
          <w:color w:val="1A1A1A"/>
          <w:sz w:val="22"/>
        </w:rPr>
        <w:br/>
        <w:t xml:space="preserve">  The שיעור took a sharp turn here into a striking observation. Communities often frown on latecomers — and there is real truth to the expectation that a Jew should come to shul on time. But notice what the Geonim did. They did not just criticize latecomers; </w:t>
      </w:r>
      <w:r>
        <w:rPr>
          <w:rFonts w:ascii="Georgia" w:hAnsi="Georgia" w:cs="SBL Hebrew" w:eastAsia="Georgia"/>
          <w:b w:val="0"/>
          <w:i/>
          <w:color w:val="1A1A1A"/>
          <w:sz w:val="22"/>
        </w:rPr>
        <w:t>they catered to them</w:t>
      </w:r>
      <w:r>
        <w:rPr>
          <w:rFonts w:ascii="Georgia" w:hAnsi="Georgia" w:cs="SBL Hebrew" w:eastAsia="Georgia"/>
          <w:b w:val="0"/>
          <w:i w:val="0"/>
          <w:color w:val="1A1A1A"/>
          <w:sz w:val="22"/>
        </w:rPr>
        <w:t xml:space="preserve">, restructuring parts of the davening so that latecomers would still be included in </w:t>
      </w:r>
      <w:r>
        <w:rPr>
          <w:rFonts w:ascii="SBL Hebrew" w:hAnsi="SBL Hebrew" w:cs="SBL Hebrew" w:eastAsia="SBL Hebrew"/>
          <w:b w:val="0"/>
          <w:i w:val="0"/>
          <w:color w:val="1A1A1A"/>
          <w:sz w:val="22"/>
        </w:rPr>
        <w:t>תפילה בציבור</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Rabbi Ephrati made an important definitional point. </w:t>
      </w:r>
      <w:r>
        <w:rPr>
          <w:rFonts w:ascii="Georgia" w:hAnsi="Georgia" w:cs="SBL Hebrew" w:eastAsia="Georgia"/>
          <w:b/>
          <w:i w:val="0"/>
          <w:color w:val="1A1A1A"/>
          <w:sz w:val="22"/>
        </w:rPr>
        <w:t>תפילה בציבור does not mean "I eventually reach שמונה עשרה while other people are somewhere in the room."</w:t>
      </w:r>
      <w:r>
        <w:rPr>
          <w:rFonts w:ascii="Georgia" w:hAnsi="Georgia" w:cs="SBL Hebrew" w:eastAsia="Georgia"/>
          <w:b w:val="0"/>
          <w:i w:val="0"/>
          <w:color w:val="1A1A1A"/>
          <w:sz w:val="22"/>
        </w:rPr>
        <w:t xml:space="preserve"> It means </w:t>
      </w:r>
      <w:r>
        <w:rPr>
          <w:rFonts w:ascii="Georgia" w:hAnsi="Georgia" w:cs="SBL Hebrew" w:eastAsia="Georgia"/>
          <w:b w:val="0"/>
          <w:i/>
          <w:color w:val="1A1A1A"/>
          <w:sz w:val="22"/>
        </w:rPr>
        <w:t>I begin the core תפילה together with the tzibbur — when they stand, I stand with them</w:t>
      </w:r>
      <w:r>
        <w:rPr>
          <w:rFonts w:ascii="Georgia" w:hAnsi="Georgia" w:cs="SBL Hebrew" w:eastAsia="Georgia"/>
          <w:b w:val="0"/>
          <w:i w:val="0"/>
          <w:color w:val="1A1A1A"/>
          <w:sz w:val="22"/>
        </w:rPr>
        <w:t xml:space="preserve">. When you finally pull yourself together to start עמידה and the tzibbur is already </w:t>
      </w:r>
      <w:r>
        <w:rPr>
          <w:rFonts w:ascii="SBL Hebrew" w:hAnsi="SBL Hebrew" w:cs="SBL Hebrew" w:eastAsia="SBL Hebrew"/>
          <w:b w:val="0"/>
          <w:i w:val="0"/>
          <w:color w:val="1A1A1A"/>
          <w:sz w:val="22"/>
        </w:rPr>
        <w:t>מודים</w:t>
      </w:r>
      <w:r>
        <w:rPr>
          <w:rFonts w:ascii="Georgia" w:hAnsi="Georgia" w:cs="SBL Hebrew" w:eastAsia="Georgia"/>
          <w:b w:val="0"/>
          <w:i w:val="0"/>
          <w:color w:val="1A1A1A"/>
          <w:sz w:val="22"/>
        </w:rPr>
        <w:t xml:space="preserve">, you are not </w:t>
      </w:r>
      <w:r>
        <w:rPr>
          <w:rFonts w:ascii="SBL Hebrew" w:hAnsi="SBL Hebrew" w:cs="SBL Hebrew" w:eastAsia="SBL Hebrew"/>
          <w:b w:val="0"/>
          <w:i w:val="0"/>
          <w:color w:val="1A1A1A"/>
          <w:sz w:val="22"/>
        </w:rPr>
        <w:t>מתפלל בציבור</w:t>
      </w:r>
      <w:r>
        <w:rPr>
          <w:rFonts w:ascii="Georgia" w:hAnsi="Georgia" w:cs="SBL Hebrew" w:eastAsia="Georgia"/>
          <w:b w:val="0"/>
          <w:i w:val="0"/>
          <w:color w:val="1A1A1A"/>
          <w:sz w:val="22"/>
        </w:rPr>
        <w:t>; you are davening alongside a tzibbur. The two are not the same.</w:t>
        <w:br/>
      </w:r>
    </w:p>
    <w:p>
      <w:pPr>
        <w:spacing w:before="0" w:after="120" w:line="324" w:lineRule="auto"/>
      </w:pPr>
      <w:r>
        <w:rPr>
          <w:rFonts w:ascii="Georgia" w:hAnsi="Georgia" w:cs="SBL Hebrew" w:eastAsia="Georgia"/>
          <w:b w:val="0"/>
          <w:i w:val="0"/>
          <w:color w:val="1A1A1A"/>
          <w:sz w:val="22"/>
        </w:rPr>
        <w:br/>
        <w:t xml:space="preserve">  So what happens when many people arrive and the tzibbur is already close to קריאת שמע? They will not realistically catch up by the time the tzibbur begins שמונה עשרה — and then they lose תפילה בציבור entirely. The Geonim's solution: insert the unit of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as a deliberate pause of two or three minutes between השכיבנו and the עמידה. The tzibbur stops; the latecomers align; more people can stand together for the עמידה. Yes, it creates some </w:t>
      </w:r>
      <w:r>
        <w:rPr>
          <w:rFonts w:ascii="SBL Hebrew" w:hAnsi="SBL Hebrew" w:cs="SBL Hebrew" w:eastAsia="SBL Hebrew"/>
          <w:b w:val="0"/>
          <w:i w:val="0"/>
          <w:color w:val="1A1A1A"/>
          <w:sz w:val="22"/>
        </w:rPr>
        <w:t>טירחא דציבורא</w:t>
      </w:r>
      <w:r>
        <w:rPr>
          <w:rFonts w:ascii="Georgia" w:hAnsi="Georgia" w:cs="SBL Hebrew" w:eastAsia="Georgia"/>
          <w:b w:val="0"/>
          <w:i w:val="0"/>
          <w:color w:val="1A1A1A"/>
          <w:sz w:val="22"/>
        </w:rPr>
        <w:t>, but there is real value in making room for more Yidden to stand together at the central moment of the entire service — when the kehillah stands before the King.</w:t>
        <w:br/>
      </w:r>
    </w:p>
    <w:p>
      <w:pPr>
        <w:spacing w:before="0" w:after="120" w:line="324" w:lineRule="auto"/>
      </w:pPr>
      <w:r>
        <w:rPr>
          <w:rFonts w:ascii="Georgia" w:hAnsi="Georgia" w:cs="SBL Hebrew" w:eastAsia="Georgia"/>
          <w:b w:val="0"/>
          <w:i w:val="0"/>
          <w:color w:val="1A1A1A"/>
          <w:sz w:val="22"/>
        </w:rPr>
        <w:br/>
        <w:t xml:space="preserve">  The שיעור underlined the mussar embedded in this. The Geonim were so sensitive to the practical reality of human life — wives needing help, an oynus on the road, a hundred quiet reasons — that they reshaped the liturgy itself to include the latecomer rather than reject him. The contrast with the modern shul, often run as if speed and punctuality were the supreme communal values, was left implicit but unmistakable.</w:t>
        <w:br/>
      </w:r>
    </w:p>
    <w:p>
      <w:pPr>
        <w:spacing w:before="360" w:after="80"/>
        <w:pBdr>
          <w:bottom w:val="single" w:sz="6" w:space="2" w:color="b8860b"/>
        </w:pBdr>
      </w:pPr>
      <w:r>
        <w:rPr>
          <w:rFonts w:ascii="Georgia" w:hAnsi="Georgia" w:cs="SBL Hebrew" w:eastAsia="Georgia"/>
          <w:b w:val="0"/>
          <w:i w:val="0"/>
          <w:color w:val="1E3A8A"/>
          <w:sz w:val="26"/>
          <w:smallCaps w:val="1"/>
        </w:rPr>
        <w:t xml:space="preserve">XI. Maariv Has No </w:t>
      </w:r>
      <w:r>
        <w:rPr>
          <w:rFonts w:ascii="SBL Hebrew" w:hAnsi="SBL Hebrew" w:cs="SBL Hebrew" w:eastAsia="SBL Hebrew"/>
          <w:b w:val="0"/>
          <w:i w:val="0"/>
          <w:color w:val="1E3A8A"/>
          <w:sz w:val="26"/>
          <w:smallCaps w:val="1"/>
        </w:rPr>
        <w:t>חזרת הש״ץ</w:t>
      </w:r>
      <w:r>
        <w:rPr>
          <w:rFonts w:ascii="Georgia" w:hAnsi="Georgia" w:cs="SBL Hebrew" w:eastAsia="Georgia"/>
          <w:b w:val="0"/>
          <w:i w:val="0"/>
          <w:color w:val="1E3A8A"/>
          <w:sz w:val="26"/>
          <w:smallCaps w:val="1"/>
        </w:rPr>
        <w:t xml:space="preserve"> — So the Unit Functions as a Mini-חזרה</w:t>
      </w:r>
    </w:p>
    <w:p>
      <w:pPr>
        <w:spacing w:before="0" w:after="120" w:line="324" w:lineRule="auto"/>
      </w:pPr>
      <w:r>
        <w:rPr>
          <w:rFonts w:ascii="Georgia" w:hAnsi="Georgia" w:cs="SBL Hebrew" w:eastAsia="Georgia"/>
          <w:b w:val="0"/>
          <w:i w:val="0"/>
          <w:color w:val="1A1A1A"/>
          <w:sz w:val="22"/>
        </w:rPr>
        <w:br/>
        <w:t xml:space="preserve">  A further reason: שחרית and מנחה each have a full </w:t>
      </w:r>
      <w:r>
        <w:rPr>
          <w:rFonts w:ascii="SBL Hebrew" w:hAnsi="SBL Hebrew" w:cs="SBL Hebrew" w:eastAsia="SBL Hebrew"/>
          <w:b w:val="0"/>
          <w:i w:val="0"/>
          <w:color w:val="1A1A1A"/>
          <w:sz w:val="22"/>
        </w:rPr>
        <w:t>חזרת הש״ץ</w:t>
      </w:r>
      <w:r>
        <w:rPr>
          <w:rFonts w:ascii="Georgia" w:hAnsi="Georgia" w:cs="SBL Hebrew" w:eastAsia="Georgia"/>
          <w:b w:val="0"/>
          <w:i w:val="0"/>
          <w:color w:val="1A1A1A"/>
          <w:sz w:val="22"/>
        </w:rPr>
        <w:t xml:space="preserve">; מעריב, by long-standing practice, does not. The insertion of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with its eighteen פסוקים and its eighteen invocations of the Name can be understood as a kind of quasi-communal echo — a structured tzibbur recitation that gives מעריב a faint parallel to the public repetition that the other two tefillot have, where מעריב would otherwise have none.</w:t>
        <w:br/>
      </w:r>
    </w:p>
    <w:p>
      <w:pPr>
        <w:spacing w:before="0" w:after="120" w:line="324" w:lineRule="auto"/>
      </w:pPr>
      <w:r>
        <w:rPr>
          <w:rFonts w:ascii="Georgia" w:hAnsi="Georgia" w:cs="SBL Hebrew" w:eastAsia="Georgia"/>
          <w:b w:val="0"/>
          <w:i w:val="0"/>
          <w:color w:val="1A1A1A"/>
          <w:sz w:val="22"/>
        </w:rPr>
        <w:br/>
        <w:t xml:space="preserve">  (Why מעריב has no חזרת הש״ץ is itself a broader sugya — connected to its origin as </w:t>
      </w:r>
      <w:r>
        <w:rPr>
          <w:rFonts w:ascii="SBL Hebrew" w:hAnsi="SBL Hebrew" w:cs="SBL Hebrew" w:eastAsia="SBL Hebrew"/>
          <w:b w:val="0"/>
          <w:i w:val="0"/>
          <w:color w:val="1A1A1A"/>
          <w:sz w:val="22"/>
        </w:rPr>
        <w:t>רשות</w:t>
      </w:r>
      <w:r>
        <w:rPr>
          <w:rFonts w:ascii="Georgia" w:hAnsi="Georgia" w:cs="SBL Hebrew" w:eastAsia="Georgia"/>
          <w:b w:val="0"/>
          <w:i w:val="0"/>
          <w:color w:val="1A1A1A"/>
          <w:sz w:val="22"/>
        </w:rPr>
        <w:t>, the absence of a corresponding קרבן at night, and the historical structure of the early communal tefillah. The שיעור flagged it for later discussion.)</w:t>
        <w:br/>
      </w:r>
    </w:p>
    <w:p>
      <w:pPr>
        <w:spacing w:before="360" w:after="80"/>
        <w:pBdr>
          <w:bottom w:val="single" w:sz="6" w:space="2" w:color="b8860b"/>
        </w:pBdr>
      </w:pPr>
      <w:r>
        <w:rPr>
          <w:rFonts w:ascii="Georgia" w:hAnsi="Georgia" w:cs="SBL Hebrew" w:eastAsia="Georgia"/>
          <w:b w:val="0"/>
          <w:i w:val="0"/>
          <w:color w:val="1E3A8A"/>
          <w:sz w:val="26"/>
          <w:smallCaps w:val="1"/>
        </w:rPr>
        <w:t xml:space="preserve">XII. Rashi's Reason — </w:t>
      </w:r>
      <w:r>
        <w:rPr>
          <w:rFonts w:ascii="SBL Hebrew" w:hAnsi="SBL Hebrew" w:cs="SBL Hebrew" w:eastAsia="SBL Hebrew"/>
          <w:b w:val="0"/>
          <w:i w:val="0"/>
          <w:color w:val="1E3A8A"/>
          <w:sz w:val="26"/>
          <w:smallCaps w:val="1"/>
        </w:rPr>
        <w:t>הכנה</w:t>
      </w:r>
      <w:r>
        <w:rPr>
          <w:rFonts w:ascii="Georgia" w:hAnsi="Georgia" w:cs="SBL Hebrew" w:eastAsia="Georgia"/>
          <w:b w:val="0"/>
          <w:i w:val="0"/>
          <w:color w:val="1E3A8A"/>
          <w:sz w:val="26"/>
          <w:smallCaps w:val="1"/>
        </w:rPr>
        <w:t xml:space="preserve">, </w:t>
      </w:r>
      <w:r>
        <w:rPr>
          <w:rFonts w:ascii="SBL Hebrew" w:hAnsi="SBL Hebrew" w:cs="SBL Hebrew" w:eastAsia="SBL Hebrew"/>
          <w:b w:val="0"/>
          <w:i w:val="0"/>
          <w:color w:val="1E3A8A"/>
          <w:sz w:val="26"/>
          <w:smallCaps w:val="1"/>
        </w:rPr>
        <w:t>גירוש מחשבות</w:t>
      </w:r>
      <w:r>
        <w:rPr>
          <w:rFonts w:ascii="Georgia" w:hAnsi="Georgia" w:cs="SBL Hebrew" w:eastAsia="Georgia"/>
          <w:b w:val="0"/>
          <w:i w:val="0"/>
          <w:color w:val="1E3A8A"/>
          <w:sz w:val="26"/>
          <w:smallCaps w:val="1"/>
        </w:rPr>
        <w:t xml:space="preserve">, and </w:t>
      </w:r>
      <w:r>
        <w:rPr>
          <w:rFonts w:ascii="SBL Hebrew" w:hAnsi="SBL Hebrew" w:cs="SBL Hebrew" w:eastAsia="SBL Hebrew"/>
          <w:b w:val="0"/>
          <w:i w:val="0"/>
          <w:color w:val="1E3A8A"/>
          <w:sz w:val="26"/>
          <w:smallCaps w:val="1"/>
        </w:rPr>
        <w:t>שמחה</w:t>
      </w:r>
    </w:p>
    <w:p>
      <w:pPr>
        <w:spacing w:before="0" w:after="120" w:line="324" w:lineRule="auto"/>
      </w:pPr>
      <w:r>
        <w:rPr>
          <w:rFonts w:ascii="Georgia" w:hAnsi="Georgia" w:cs="SBL Hebrew" w:eastAsia="Georgia"/>
          <w:b w:val="0"/>
          <w:i w:val="0"/>
          <w:color w:val="1A1A1A"/>
          <w:sz w:val="22"/>
        </w:rPr>
        <w:br/>
        <w:t xml:space="preserve">  There is one more reason — and this one is associated with </w:t>
      </w:r>
      <w:r>
        <w:rPr>
          <w:rFonts w:ascii="Georgia" w:hAnsi="Georgia" w:cs="SBL Hebrew" w:eastAsia="Georgia"/>
          <w:b/>
          <w:i w:val="0"/>
          <w:color w:val="1A1A1A"/>
          <w:sz w:val="22"/>
        </w:rPr>
        <w:t>רש״י</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who himself did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say </w:t>
      </w:r>
      <w:r>
        <w:rPr>
          <w:rFonts w:ascii="SBL Hebrew" w:hAnsi="SBL Hebrew" w:cs="SBL Hebrew" w:eastAsia="SBL Hebrew"/>
          <w:b w:val="0"/>
          <w:i w:val="0"/>
          <w:color w:val="1A1A1A"/>
          <w:sz w:val="22"/>
        </w:rPr>
        <w:t>יראו עינינו</w:t>
      </w:r>
      <w:r>
        <w:rPr>
          <w:rFonts w:ascii="Georgia" w:hAnsi="Georgia" w:cs="SBL Hebrew" w:eastAsia="Georgia"/>
          <w:b w:val="0"/>
          <w:i w:val="0"/>
          <w:color w:val="1A1A1A"/>
          <w:sz w:val="22"/>
        </w:rPr>
        <w:t xml:space="preserve">. Rashi nonetheless explains the reason for those who do. The reason is internal, almost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-focused, rather than structural.</w:t>
        <w:br/>
      </w:r>
    </w:p>
    <w:p>
      <w:pPr>
        <w:spacing w:before="0" w:after="120" w:line="324" w:lineRule="auto"/>
      </w:pPr>
      <w:r>
        <w:rPr>
          <w:rFonts w:ascii="Georgia" w:hAnsi="Georgia" w:cs="SBL Hebrew" w:eastAsia="Georgia"/>
          <w:b w:val="0"/>
          <w:i w:val="0"/>
          <w:color w:val="1A1A1A"/>
          <w:sz w:val="22"/>
        </w:rPr>
        <w:br/>
        <w:t xml:space="preserve">  The Gemara says a person should daven שמונה עשרה </w:t>
      </w:r>
      <w:r>
        <w:rPr>
          <w:rFonts w:ascii="SBL Hebrew" w:hAnsi="SBL Hebrew" w:cs="SBL Hebrew" w:eastAsia="SBL Hebrew"/>
          <w:b w:val="0"/>
          <w:i w:val="0"/>
          <w:color w:val="1A1A1A"/>
          <w:sz w:val="22"/>
        </w:rPr>
        <w:t>מתוך שמחה</w:t>
      </w:r>
      <w:r>
        <w:rPr>
          <w:rFonts w:ascii="Georgia" w:hAnsi="Georgia" w:cs="SBL Hebrew" w:eastAsia="Georgia"/>
          <w:b w:val="0"/>
          <w:i w:val="0"/>
          <w:color w:val="1A1A1A"/>
          <w:sz w:val="22"/>
        </w:rPr>
        <w:t xml:space="preserve"> — out of joy, not out of grief or anger or sadness or a toxic state. There is a real practical problem here, especially at מנחה: people arrive in shul at the last second, say אשרי quickly, exchange a few words with a friend, and then immediately take three steps back and start עמידה. That is not the right mode to talk to </w:t>
      </w:r>
      <w:r>
        <w:rPr>
          <w:rFonts w:ascii="SBL Hebrew" w:hAnsi="SBL Hebrew" w:cs="SBL Hebrew" w:eastAsia="SBL Hebrew"/>
          <w:b w:val="0"/>
          <w:i w:val="0"/>
          <w:color w:val="1A1A1A"/>
          <w:sz w:val="22"/>
        </w:rPr>
        <w:t>מלך מלכי המלכים</w:t>
      </w:r>
      <w:r>
        <w:rPr>
          <w:rFonts w:ascii="Georgia" w:hAnsi="Georgia" w:cs="SBL Hebrew" w:eastAsia="Georgia"/>
          <w:b w:val="0"/>
          <w:i w:val="0"/>
          <w:color w:val="1A1A1A"/>
          <w:sz w:val="22"/>
        </w:rPr>
        <w:t xml:space="preserve">. You need a moment of </w:t>
      </w:r>
      <w:r>
        <w:rPr>
          <w:rFonts w:ascii="SBL Hebrew" w:hAnsi="SBL Hebrew" w:cs="SBL Hebrew" w:eastAsia="SBL Hebrew"/>
          <w:b w:val="0"/>
          <w:i w:val="0"/>
          <w:color w:val="1A1A1A"/>
          <w:sz w:val="22"/>
        </w:rPr>
        <w:t>הכנה</w:t>
      </w:r>
      <w:r>
        <w:rPr>
          <w:rFonts w:ascii="Georgia" w:hAnsi="Georgia" w:cs="SBL Hebrew" w:eastAsia="Georgia"/>
          <w:b w:val="0"/>
          <w:i w:val="0"/>
          <w:color w:val="1A1A1A"/>
          <w:sz w:val="22"/>
        </w:rPr>
        <w:t>: pause, clear the head, push away other thoughts.</w:t>
        <w:br/>
      </w:r>
    </w:p>
    <w:p>
      <w:pPr>
        <w:spacing w:before="0" w:after="120" w:line="324" w:lineRule="auto"/>
      </w:pPr>
      <w:r>
        <w:rPr>
          <w:rFonts w:ascii="Georgia" w:hAnsi="Georgia" w:cs="SBL Hebrew" w:eastAsia="Georgia"/>
          <w:b w:val="0"/>
          <w:i w:val="0"/>
          <w:color w:val="1A1A1A"/>
          <w:sz w:val="22"/>
        </w:rPr>
        <w:br/>
        <w:t xml:space="preserve">  In modern language people call this "meditation." The שיעור preferred the older, sharper formulation: </w:t>
      </w:r>
      <w:r>
        <w:rPr>
          <w:rFonts w:ascii="Georgia" w:hAnsi="Georgia" w:cs="SBL Hebrew" w:eastAsia="Georgia"/>
          <w:b w:val="0"/>
          <w:i/>
          <w:color w:val="1A1A1A"/>
          <w:sz w:val="22"/>
        </w:rPr>
        <w:t>גירוש מחשבות</w:t>
      </w:r>
      <w:r>
        <w:rPr>
          <w:rFonts w:ascii="Georgia" w:hAnsi="Georgia" w:cs="SBL Hebrew" w:eastAsia="Georgia"/>
          <w:b w:val="0"/>
          <w:i w:val="0"/>
          <w:color w:val="1A1A1A"/>
          <w:sz w:val="22"/>
        </w:rPr>
        <w:t xml:space="preserve"> — actively expelling distracting thoughts so you can stand consciously before הקדוש ברוך הוא. Rashi's idea: the right preparation is not just the absence of distraction but the active </w:t>
      </w:r>
      <w:r>
        <w:rPr>
          <w:rFonts w:ascii="Georgia" w:hAnsi="Georgia" w:cs="SBL Hebrew" w:eastAsia="Georgia"/>
          <w:b w:val="0"/>
          <w:i/>
          <w:color w:val="1A1A1A"/>
          <w:sz w:val="22"/>
        </w:rPr>
        <w:t>presence</w:t>
      </w:r>
      <w:r>
        <w:rPr>
          <w:rFonts w:ascii="Georgia" w:hAnsi="Georgia" w:cs="SBL Hebrew" w:eastAsia="Georgia"/>
          <w:b w:val="0"/>
          <w:i w:val="0"/>
          <w:color w:val="1A1A1A"/>
          <w:sz w:val="22"/>
        </w:rPr>
        <w:t xml:space="preserve"> of שמחה. And what helps generate שמחה? Praising פסוקים, expressions of </w:t>
      </w:r>
      <w:r>
        <w:rPr>
          <w:rFonts w:ascii="SBL Hebrew" w:hAnsi="SBL Hebrew" w:cs="SBL Hebrew" w:eastAsia="SBL Hebrew"/>
          <w:b w:val="0"/>
          <w:i w:val="0"/>
          <w:color w:val="1A1A1A"/>
          <w:sz w:val="22"/>
        </w:rPr>
        <w:t>ביטחון</w:t>
      </w:r>
      <w:r>
        <w:rPr>
          <w:rFonts w:ascii="Georgia" w:hAnsi="Georgia" w:cs="SBL Hebrew" w:eastAsia="Georgia"/>
          <w:b w:val="0"/>
          <w:i w:val="0"/>
          <w:color w:val="1A1A1A"/>
          <w:sz w:val="22"/>
        </w:rPr>
        <w:t xml:space="preserve"> in הקדוש ברוך הוא. Reciting </w:t>
      </w:r>
      <w:r>
        <w:rPr>
          <w:rFonts w:ascii="SBL Hebrew" w:hAnsi="SBL Hebrew" w:cs="SBL Hebrew" w:eastAsia="SBL Hebrew"/>
          <w:b w:val="0"/>
          <w:i w:val="0"/>
          <w:color w:val="1A1A1A"/>
          <w:sz w:val="22"/>
        </w:rPr>
        <w:t>ברוך ה' לעולם אמן ואמן</w:t>
      </w:r>
      <w:r>
        <w:rPr>
          <w:rFonts w:ascii="Georgia" w:hAnsi="Georgia" w:cs="SBL Hebrew" w:eastAsia="Georgia"/>
          <w:b w:val="0"/>
          <w:i w:val="0"/>
          <w:color w:val="1A1A1A"/>
          <w:sz w:val="22"/>
        </w:rPr>
        <w:t xml:space="preserve"> — the long string of הקדוש ברוך הוא's names with their resonance of trust and royal sovereignty — can function as a bridge, cultivating ביטחון, generating שמחה, and preparing the person for the עמידה.</w:t>
        <w:br/>
      </w:r>
    </w:p>
    <w:p>
      <w:pPr>
        <w:spacing w:before="360" w:after="80"/>
        <w:pBdr>
          <w:bottom w:val="single" w:sz="6" w:space="2" w:color="b8860b"/>
        </w:pBdr>
      </w:pPr>
      <w:r>
        <w:rPr>
          <w:rFonts w:ascii="Georgia" w:hAnsi="Georgia" w:cs="SBL Hebrew" w:eastAsia="Georgia"/>
          <w:b w:val="0"/>
          <w:i w:val="0"/>
          <w:color w:val="1E3A8A"/>
          <w:sz w:val="26"/>
          <w:smallCaps w:val="1"/>
        </w:rPr>
        <w:t>XIII. The הפסק Difficulty — Returning to the Underlying Question</w:t>
      </w:r>
    </w:p>
    <w:p>
      <w:pPr>
        <w:spacing w:before="0" w:after="120" w:line="324" w:lineRule="auto"/>
      </w:pPr>
      <w:r>
        <w:rPr>
          <w:rFonts w:ascii="Georgia" w:hAnsi="Georgia" w:cs="SBL Hebrew" w:eastAsia="Georgia"/>
          <w:b w:val="0"/>
          <w:i w:val="0"/>
          <w:color w:val="1A1A1A"/>
          <w:sz w:val="22"/>
        </w:rPr>
        <w:br/>
        <w:t xml:space="preserve">  We have collected seven reasons (and several family members of reasons): rishus-substitute, safety-and-roads, decree-substitute, latecomer-accommodation, mini-chazaras-hashatz, hachana-and-simchah, plus the principle of takana-bimkomah-omedet that holds the rest in place. But even with all of them in hand, the structural hard problem returns. </w:t>
      </w:r>
      <w:r>
        <w:rPr>
          <w:rFonts w:ascii="Georgia" w:hAnsi="Georgia" w:cs="SBL Hebrew" w:eastAsia="Georgia"/>
          <w:b w:val="0"/>
          <w:i/>
          <w:color w:val="1A1A1A"/>
          <w:sz w:val="22"/>
        </w:rPr>
        <w:t>How is this not הפסק?</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If the rationale ties to גאולה — if you can argue that the eighteen פסוקים are themselves a continuation of the theme of redemption — then perhaps these פסוקים function the way השכיבנו does, as </w:t>
      </w:r>
      <w:r>
        <w:rPr>
          <w:rFonts w:ascii="SBL Hebrew" w:hAnsi="SBL Hebrew" w:cs="SBL Hebrew" w:eastAsia="SBL Hebrew"/>
          <w:b w:val="0"/>
          <w:i w:val="0"/>
          <w:color w:val="1A1A1A"/>
          <w:sz w:val="22"/>
        </w:rPr>
        <w:t>גאולה אריכתא</w:t>
      </w:r>
      <w:r>
        <w:rPr>
          <w:rFonts w:ascii="Georgia" w:hAnsi="Georgia" w:cs="SBL Hebrew" w:eastAsia="Georgia"/>
          <w:b w:val="0"/>
          <w:i w:val="0"/>
          <w:color w:val="1A1A1A"/>
          <w:sz w:val="22"/>
        </w:rPr>
        <w:t xml:space="preserve">: an extension of the topic rather than a break. But the שיעור acknowledged the difficulty plainly: the unit is </w:t>
      </w:r>
      <w:r>
        <w:rPr>
          <w:rFonts w:ascii="Georgia" w:hAnsi="Georgia" w:cs="SBL Hebrew" w:eastAsia="Georgia"/>
          <w:b w:val="0"/>
          <w:i/>
          <w:color w:val="1A1A1A"/>
          <w:sz w:val="22"/>
        </w:rPr>
        <w:t>not short</w:t>
      </w:r>
      <w:r>
        <w:rPr>
          <w:rFonts w:ascii="Georgia" w:hAnsi="Georgia" w:cs="SBL Hebrew" w:eastAsia="Georgia"/>
          <w:b w:val="0"/>
          <w:i w:val="0"/>
          <w:color w:val="1A1A1A"/>
          <w:sz w:val="22"/>
        </w:rPr>
        <w:t xml:space="preserve">. It is a substantial block of liturgical text. The Geonim and many other ראשונים held that yes — it </w:t>
      </w:r>
      <w:r>
        <w:rPr>
          <w:rFonts w:ascii="Georgia" w:hAnsi="Georgia" w:cs="SBL Hebrew" w:eastAsia="Georgia"/>
          <w:b w:val="0"/>
          <w:i/>
          <w:color w:val="1A1A1A"/>
          <w:sz w:val="22"/>
        </w:rPr>
        <w:t>is</w:t>
      </w:r>
      <w:r>
        <w:rPr>
          <w:rFonts w:ascii="Georgia" w:hAnsi="Georgia" w:cs="SBL Hebrew" w:eastAsia="Georgia"/>
          <w:b w:val="0"/>
          <w:i w:val="0"/>
          <w:color w:val="1A1A1A"/>
          <w:sz w:val="22"/>
        </w:rPr>
        <w:t xml:space="preserve"> a הפסק.</w:t>
        <w:br/>
      </w:r>
    </w:p>
    <w:p>
      <w:pPr>
        <w:spacing w:before="0" w:after="120" w:line="324" w:lineRule="auto"/>
      </w:pPr>
      <w:r>
        <w:rPr>
          <w:rFonts w:ascii="Georgia" w:hAnsi="Georgia" w:cs="SBL Hebrew" w:eastAsia="Georgia"/>
          <w:b w:val="0"/>
          <w:i w:val="0"/>
          <w:color w:val="1A1A1A"/>
          <w:sz w:val="22"/>
        </w:rPr>
        <w:br/>
        <w:t xml:space="preserve">  On the other hand, if you take the approach that מעריב's עמידה was historically framed as </w:t>
      </w:r>
      <w:r>
        <w:rPr>
          <w:rFonts w:ascii="SBL Hebrew" w:hAnsi="SBL Hebrew" w:cs="SBL Hebrew" w:eastAsia="SBL Hebrew"/>
          <w:b w:val="0"/>
          <w:i w:val="0"/>
          <w:color w:val="1A1A1A"/>
          <w:sz w:val="22"/>
        </w:rPr>
        <w:t>רשות</w:t>
      </w:r>
      <w:r>
        <w:rPr>
          <w:rFonts w:ascii="Georgia" w:hAnsi="Georgia" w:cs="SBL Hebrew" w:eastAsia="Georgia"/>
          <w:b w:val="0"/>
          <w:i w:val="0"/>
          <w:color w:val="1A1A1A"/>
          <w:sz w:val="22"/>
        </w:rPr>
        <w:t xml:space="preserve">, and the unit was the </w:t>
      </w:r>
      <w:r>
        <w:rPr>
          <w:rFonts w:ascii="Georgia" w:hAnsi="Georgia" w:cs="SBL Hebrew" w:eastAsia="Georgia"/>
          <w:b w:val="0"/>
          <w:i/>
          <w:color w:val="1A1A1A"/>
          <w:sz w:val="22"/>
        </w:rPr>
        <w:t>ending</w:t>
      </w:r>
      <w:r>
        <w:rPr>
          <w:rFonts w:ascii="Georgia" w:hAnsi="Georgia" w:cs="SBL Hebrew" w:eastAsia="Georgia"/>
          <w:b w:val="0"/>
          <w:i w:val="0"/>
          <w:color w:val="1A1A1A"/>
          <w:sz w:val="22"/>
        </w:rPr>
        <w:t xml:space="preserve"> of the service rather than an addition before further obligation — then the question dissolves: you cannot be interrupting something you are not, in that older framing, required to proceed into. We do not pasken that way today, but the older framing is the conceptual ground on which the unit was originally laid.</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An older נוסח possibility</w:t>
            </w:r>
          </w:p>
          <w:p>
            <w:pPr>
              <w:spacing w:before="0" w:after="80" w:line="312" w:lineRule="auto"/>
            </w:pPr>
            <w:r>
              <w:rPr>
                <w:rFonts w:ascii="Georgia" w:hAnsi="Georgia" w:cs="SBL Hebrew" w:eastAsia="Georgia"/>
                <w:color w:val="3B3B3B"/>
                <w:sz w:val="21"/>
              </w:rPr>
              <w:br/>
              <w:t xml:space="preserve">The שיעור raised a tentative third option: perhaps there was an older נוסח in which what we now call השכיבנו was structured as a </w:t>
            </w:r>
            <w:r>
              <w:rPr>
                <w:rFonts w:ascii="Georgia" w:hAnsi="Georgia" w:cs="SBL Hebrew" w:eastAsia="Georgia"/>
                <w:b w:val="0"/>
                <w:i w:val="0"/>
                <w:color w:val="3B3B3B"/>
                <w:sz w:val="21"/>
              </w:rPr>
              <w:t>single long ברכה</w:t>
            </w:r>
            <w:r>
              <w:rPr>
                <w:rFonts w:ascii="Georgia" w:hAnsi="Georgia" w:cs="SBL Hebrew" w:eastAsia="Georgia"/>
                <w:color w:val="3B3B3B"/>
                <w:sz w:val="21"/>
              </w:rPr>
              <w:t xml:space="preserve"> rather than as ברכה-plus-something-new. On that reading, what we read as a closing and a new opening was, in the earlier practice, one continuous unit — which would reduce the "break" sensation, since the flow would remain within one ענין. Rabbi Ephrati associated this tentatively with the Rambam's world but was not fully certain of the citation, and he stressed that we do not commonly see that practice today. We preserve the possibility as a marker of how the seam may once have looked.</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 xml:space="preserve">XIV. Transition to </w:t>
      </w:r>
      <w:r>
        <w:rPr>
          <w:rFonts w:ascii="SBL Hebrew" w:hAnsi="SBL Hebrew" w:cs="SBL Hebrew" w:eastAsia="SBL Hebrew"/>
          <w:b w:val="0"/>
          <w:i w:val="0"/>
          <w:color w:val="1E3A8A"/>
          <w:sz w:val="26"/>
          <w:smallCaps w:val="1"/>
        </w:rPr>
        <w:t>קדיש</w:t>
      </w:r>
      <w:r>
        <w:rPr>
          <w:rFonts w:ascii="Georgia" w:hAnsi="Georgia" w:cs="SBL Hebrew" w:eastAsia="Georgia"/>
          <w:b w:val="0"/>
          <w:i w:val="0"/>
          <w:color w:val="1E3A8A"/>
          <w:sz w:val="26"/>
          <w:smallCaps w:val="1"/>
        </w:rPr>
        <w:t xml:space="preserve"> — Why מעריב Has It Where שחרית Cannot</w:t>
      </w:r>
    </w:p>
    <w:p>
      <w:pPr>
        <w:spacing w:before="0" w:after="120" w:line="324" w:lineRule="auto"/>
      </w:pPr>
      <w:r>
        <w:rPr>
          <w:rFonts w:ascii="Georgia" w:hAnsi="Georgia" w:cs="SBL Hebrew" w:eastAsia="Georgia"/>
          <w:b w:val="0"/>
          <w:i w:val="0"/>
          <w:color w:val="1A1A1A"/>
          <w:sz w:val="22"/>
        </w:rPr>
        <w:br/>
        <w:t xml:space="preserve">  The structural phenomenon is immediately visible if you look at the three daily tefillot in sequence:</w:t>
        <w:br/>
      </w:r>
    </w:p>
    <w:p>
      <w:pPr>
        <w:spacing w:before="0" w:after="120" w:line="324" w:lineRule="auto"/>
      </w:pPr>
      <w:r>
        <w:rPr>
          <w:rFonts w:ascii="Georgia" w:hAnsi="Georgia" w:cs="SBL Hebrew" w:eastAsia="Georgia"/>
          <w:b w:val="0"/>
          <w:i w:val="0"/>
          <w:color w:val="1A1A1A"/>
          <w:sz w:val="22"/>
        </w:rPr>
        <w:br/>
        <w:t xml:space="preserve">  At </w:t>
      </w:r>
      <w:r>
        <w:rPr>
          <w:rFonts w:ascii="Georgia" w:hAnsi="Georgia" w:cs="SBL Hebrew" w:eastAsia="Georgia"/>
          <w:b/>
          <w:i w:val="0"/>
          <w:color w:val="1A1A1A"/>
          <w:sz w:val="22"/>
        </w:rPr>
        <w:t>שחרית</w:t>
      </w:r>
      <w:r>
        <w:rPr>
          <w:rFonts w:ascii="Georgia" w:hAnsi="Georgia" w:cs="SBL Hebrew" w:eastAsia="Georgia"/>
          <w:b w:val="0"/>
          <w:i w:val="0"/>
          <w:color w:val="1A1A1A"/>
          <w:sz w:val="22"/>
        </w:rPr>
        <w:t xml:space="preserve">, we go directly from </w:t>
      </w:r>
      <w:r>
        <w:rPr>
          <w:rFonts w:ascii="SBL Hebrew" w:hAnsi="SBL Hebrew" w:cs="SBL Hebrew" w:eastAsia="SBL Hebrew"/>
          <w:b w:val="0"/>
          <w:i w:val="0"/>
          <w:color w:val="1A1A1A"/>
          <w:sz w:val="22"/>
        </w:rPr>
        <w:t>גאל ישראל</w:t>
      </w:r>
      <w:r>
        <w:rPr>
          <w:rFonts w:ascii="Georgia" w:hAnsi="Georgia" w:cs="SBL Hebrew" w:eastAsia="Georgia"/>
          <w:b w:val="0"/>
          <w:i w:val="0"/>
          <w:color w:val="1A1A1A"/>
          <w:sz w:val="22"/>
        </w:rPr>
        <w:t xml:space="preserve"> into שמונה עשרה — no קדיש in between, precisely to preserve </w:t>
      </w:r>
      <w:r>
        <w:rPr>
          <w:rFonts w:ascii="SBL Hebrew" w:hAnsi="SBL Hebrew" w:cs="SBL Hebrew" w:eastAsia="SBL Hebrew"/>
          <w:b w:val="0"/>
          <w:i w:val="0"/>
          <w:color w:val="1A1A1A"/>
          <w:sz w:val="22"/>
        </w:rPr>
        <w:t>סמיכת גאולה לתפילה</w:t>
      </w:r>
      <w:r>
        <w:rPr>
          <w:rFonts w:ascii="Georgia" w:hAnsi="Georgia" w:cs="SBL Hebrew" w:eastAsia="Georgia"/>
          <w:b w:val="0"/>
          <w:i w:val="0"/>
          <w:color w:val="1A1A1A"/>
          <w:sz w:val="22"/>
        </w:rPr>
        <w:t xml:space="preserve">. At </w:t>
      </w:r>
      <w:r>
        <w:rPr>
          <w:rFonts w:ascii="Georgia" w:hAnsi="Georgia" w:cs="SBL Hebrew" w:eastAsia="Georgia"/>
          <w:b/>
          <w:i w:val="0"/>
          <w:color w:val="1A1A1A"/>
          <w:sz w:val="22"/>
        </w:rPr>
        <w:t>מנחה</w:t>
      </w:r>
      <w:r>
        <w:rPr>
          <w:rFonts w:ascii="Georgia" w:hAnsi="Georgia" w:cs="SBL Hebrew" w:eastAsia="Georgia"/>
          <w:b w:val="0"/>
          <w:i w:val="0"/>
          <w:color w:val="1A1A1A"/>
          <w:sz w:val="22"/>
        </w:rPr>
        <w:t xml:space="preserve">, there is no </w:t>
      </w:r>
      <w:r>
        <w:rPr>
          <w:rFonts w:ascii="SBL Hebrew" w:hAnsi="SBL Hebrew" w:cs="SBL Hebrew" w:eastAsia="SBL Hebrew"/>
          <w:b w:val="0"/>
          <w:i w:val="0"/>
          <w:color w:val="1A1A1A"/>
          <w:sz w:val="22"/>
        </w:rPr>
        <w:t>ברכת גאולה</w:t>
      </w:r>
      <w:r>
        <w:rPr>
          <w:rFonts w:ascii="Georgia" w:hAnsi="Georgia" w:cs="SBL Hebrew" w:eastAsia="Georgia"/>
          <w:b w:val="0"/>
          <w:i w:val="0"/>
          <w:color w:val="1A1A1A"/>
          <w:sz w:val="22"/>
        </w:rPr>
        <w:t xml:space="preserve"> at all, so the placement of קדיש presents no parallel problem; it sits where it sits without disturbing anything. At </w:t>
      </w:r>
      <w:r>
        <w:rPr>
          <w:rFonts w:ascii="Georgia" w:hAnsi="Georgia" w:cs="SBL Hebrew" w:eastAsia="Georgia"/>
          <w:b/>
          <w:i w:val="0"/>
          <w:color w:val="1A1A1A"/>
          <w:sz w:val="22"/>
        </w:rPr>
        <w:t>מעריב</w:t>
      </w:r>
      <w:r>
        <w:rPr>
          <w:rFonts w:ascii="Georgia" w:hAnsi="Georgia" w:cs="SBL Hebrew" w:eastAsia="Georgia"/>
          <w:b w:val="0"/>
          <w:i w:val="0"/>
          <w:color w:val="1A1A1A"/>
          <w:sz w:val="22"/>
        </w:rPr>
        <w:t xml:space="preserve">, we say קדיש — between השכיבנו (and, in chutz-laaretz מנהג, after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and שמונה עשרה. The placement is striking, because the same סמיכת גאולה לתפילה sensitivity that ruled out קדיש at שחרית does not seem to rule it out at מעריב. Why not?</w:t>
        <w:br/>
      </w:r>
    </w:p>
    <w:p>
      <w:pPr>
        <w:spacing w:before="0" w:after="120" w:line="324" w:lineRule="auto"/>
      </w:pPr>
      <w:r>
        <w:rPr>
          <w:rFonts w:ascii="Georgia" w:hAnsi="Georgia" w:cs="SBL Hebrew" w:eastAsia="Georgia"/>
          <w:b w:val="0"/>
          <w:i w:val="0"/>
          <w:color w:val="1A1A1A"/>
          <w:sz w:val="22"/>
        </w:rPr>
        <w:br/>
        <w:t xml:space="preserve">  The classical framework is a </w:t>
      </w:r>
      <w:r>
        <w:rPr>
          <w:rFonts w:ascii="SBL Hebrew" w:hAnsi="SBL Hebrew" w:cs="SBL Hebrew" w:eastAsia="SBL Hebrew"/>
          <w:b w:val="0"/>
          <w:i w:val="0"/>
          <w:color w:val="1A1A1A"/>
          <w:sz w:val="22"/>
        </w:rPr>
        <w:t>מחלוקת</w:t>
      </w:r>
      <w:r>
        <w:rPr>
          <w:rFonts w:ascii="Georgia" w:hAnsi="Georgia" w:cs="SBL Hebrew" w:eastAsia="Georgia"/>
          <w:b w:val="0"/>
          <w:i w:val="0"/>
          <w:color w:val="1A1A1A"/>
          <w:sz w:val="22"/>
        </w:rPr>
        <w:t xml:space="preserve"> between the </w:t>
      </w:r>
      <w:r>
        <w:rPr>
          <w:rFonts w:ascii="Georgia" w:hAnsi="Georgia" w:cs="SBL Hebrew" w:eastAsia="Georgia"/>
          <w:b/>
          <w:i w:val="0"/>
          <w:color w:val="1A1A1A"/>
          <w:sz w:val="22"/>
        </w:rPr>
        <w:t>רמב״ם</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and the </w:t>
      </w:r>
      <w:r>
        <w:rPr>
          <w:rFonts w:ascii="Georgia" w:hAnsi="Georgia" w:cs="SBL Hebrew" w:eastAsia="Georgia"/>
          <w:b/>
          <w:i w:val="0"/>
          <w:color w:val="1A1A1A"/>
          <w:sz w:val="22"/>
        </w:rPr>
        <w:t>ראב״ד</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 and as the שיעור observed wryly, like all good machloikes in כלל ישראל, the Rambam and the Raavad. The שיעור opened with a smaller example. Why do we say קדיש after יִשתבח, before ברכת קריאת שמע? On the Rambam's reading, that קדיש has nothing to do with פסוקי דזמרה </w:t>
      </w:r>
      <w:r>
        <w:rPr>
          <w:rFonts w:ascii="Georgia" w:hAnsi="Georgia" w:cs="SBL Hebrew" w:eastAsia="Georgia"/>
          <w:b w:val="0"/>
          <w:i/>
          <w:color w:val="1A1A1A"/>
          <w:sz w:val="22"/>
        </w:rPr>
        <w:t>per se</w:t>
      </w:r>
      <w:r>
        <w:rPr>
          <w:rFonts w:ascii="Georgia" w:hAnsi="Georgia" w:cs="SBL Hebrew" w:eastAsia="Georgia"/>
          <w:b w:val="0"/>
          <w:i w:val="0"/>
          <w:color w:val="1A1A1A"/>
          <w:sz w:val="22"/>
        </w:rPr>
        <w:t xml:space="preserve">. It reflects a broader principle: </w:t>
      </w:r>
      <w:r>
        <w:rPr>
          <w:rFonts w:ascii="Georgia" w:hAnsi="Georgia" w:cs="SBL Hebrew" w:eastAsia="Georgia"/>
          <w:b w:val="0"/>
          <w:i/>
          <w:color w:val="1A1A1A"/>
          <w:sz w:val="22"/>
        </w:rPr>
        <w:t>before any major standing tefillah, we say קדיש</w:t>
      </w:r>
      <w:r>
        <w:rPr>
          <w:rFonts w:ascii="Georgia" w:hAnsi="Georgia" w:cs="SBL Hebrew" w:eastAsia="Georgia"/>
          <w:b w:val="0"/>
          <w:i w:val="0"/>
          <w:color w:val="1A1A1A"/>
          <w:sz w:val="22"/>
        </w:rPr>
        <w:t xml:space="preserve"> — except in שחרית, where the principle would create a הפסק between גאל ישראל and עמידה, so the קדיש is moved earlier (to after ישתבח). The Rambam reads קדיש as preparation for what is coming next.</w:t>
        <w:br/>
      </w:r>
    </w:p>
    <w:p>
      <w:pPr>
        <w:spacing w:before="360" w:after="80"/>
        <w:pBdr>
          <w:bottom w:val="single" w:sz="6" w:space="2" w:color="b8860b"/>
        </w:pBdr>
      </w:pPr>
      <w:r>
        <w:rPr>
          <w:rFonts w:ascii="Georgia" w:hAnsi="Georgia" w:cs="SBL Hebrew" w:eastAsia="Georgia"/>
          <w:b w:val="0"/>
          <w:i w:val="0"/>
          <w:color w:val="1E3A8A"/>
          <w:sz w:val="26"/>
          <w:smallCaps w:val="1"/>
        </w:rPr>
        <w:t xml:space="preserve">XV. </w:t>
      </w:r>
      <w:r>
        <w:rPr>
          <w:rFonts w:ascii="SBL Hebrew" w:hAnsi="SBL Hebrew" w:cs="SBL Hebrew" w:eastAsia="SBL Hebrew"/>
          <w:b w:val="0"/>
          <w:i w:val="0"/>
          <w:color w:val="1E3A8A"/>
          <w:sz w:val="26"/>
          <w:smallCaps w:val="1"/>
        </w:rPr>
        <w:t>גאולה</w:t>
      </w:r>
      <w:r>
        <w:rPr>
          <w:rFonts w:ascii="Georgia" w:hAnsi="Georgia" w:cs="SBL Hebrew" w:eastAsia="Georgia"/>
          <w:b w:val="0"/>
          <w:i w:val="0"/>
          <w:color w:val="1E3A8A"/>
          <w:sz w:val="26"/>
          <w:smallCaps w:val="1"/>
        </w:rPr>
        <w:t xml:space="preserve"> in </w:t>
      </w:r>
      <w:r>
        <w:rPr>
          <w:rFonts w:ascii="SBL Hebrew" w:hAnsi="SBL Hebrew" w:cs="SBL Hebrew" w:eastAsia="SBL Hebrew"/>
          <w:b w:val="0"/>
          <w:i w:val="0"/>
          <w:color w:val="1E3A8A"/>
          <w:sz w:val="26"/>
          <w:smallCaps w:val="1"/>
        </w:rPr>
        <w:t>גלות</w:t>
      </w:r>
      <w:r>
        <w:rPr>
          <w:rFonts w:ascii="Georgia" w:hAnsi="Georgia" w:cs="SBL Hebrew" w:eastAsia="Georgia"/>
          <w:b w:val="0"/>
          <w:i w:val="0"/>
          <w:color w:val="1E3A8A"/>
          <w:sz w:val="26"/>
          <w:smallCaps w:val="1"/>
        </w:rPr>
        <w:t xml:space="preserve"> — When Do We Actually Feel Redemption?</w:t>
      </w:r>
    </w:p>
    <w:p>
      <w:pPr>
        <w:spacing w:before="0" w:after="120" w:line="324" w:lineRule="auto"/>
      </w:pPr>
      <w:r>
        <w:rPr>
          <w:rFonts w:ascii="Georgia" w:hAnsi="Georgia" w:cs="SBL Hebrew" w:eastAsia="Georgia"/>
          <w:b w:val="0"/>
          <w:i w:val="0"/>
          <w:color w:val="1A1A1A"/>
          <w:sz w:val="22"/>
        </w:rPr>
        <w:br/>
        <w:t xml:space="preserve">  Before laying out the full Rambam-vs.-Raavad on קדיש at מעריב, the שיעור took a substantial detour into hashkafah — and we will preserve the detour, because it is the conceptual ground on which the Rambam's read of קדיש makes sense.</w:t>
        <w:br/>
      </w:r>
    </w:p>
    <w:p>
      <w:pPr>
        <w:spacing w:before="0" w:after="120" w:line="324" w:lineRule="auto"/>
      </w:pPr>
      <w:r>
        <w:rPr>
          <w:rFonts w:ascii="Georgia" w:hAnsi="Georgia" w:cs="SBL Hebrew" w:eastAsia="Georgia"/>
          <w:b w:val="0"/>
          <w:i w:val="0"/>
          <w:color w:val="1A1A1A"/>
          <w:sz w:val="22"/>
        </w:rPr>
        <w:br/>
        <w:t xml:space="preserve">  We talk about גאולה constantly. But when do we actually </w:t>
      </w:r>
      <w:r>
        <w:rPr>
          <w:rFonts w:ascii="Georgia" w:hAnsi="Georgia" w:cs="SBL Hebrew" w:eastAsia="Georgia"/>
          <w:b w:val="0"/>
          <w:i/>
          <w:color w:val="1A1A1A"/>
          <w:sz w:val="22"/>
        </w:rPr>
        <w:t>think</w:t>
      </w:r>
      <w:r>
        <w:rPr>
          <w:rFonts w:ascii="Georgia" w:hAnsi="Georgia" w:cs="SBL Hebrew" w:eastAsia="Georgia"/>
          <w:b w:val="0"/>
          <w:i w:val="0"/>
          <w:color w:val="1A1A1A"/>
          <w:sz w:val="22"/>
        </w:rPr>
        <w:t xml:space="preserve"> about it? Ideally, we would think about גאולה precisely when we say the words in תפילה that speak about it. But one of the hardest tests of גלות is this: </w:t>
      </w:r>
      <w:r>
        <w:rPr>
          <w:rFonts w:ascii="Georgia" w:hAnsi="Georgia" w:cs="SBL Hebrew" w:eastAsia="Georgia"/>
          <w:b w:val="0"/>
          <w:i/>
          <w:color w:val="1A1A1A"/>
          <w:sz w:val="22"/>
        </w:rPr>
        <w:t>when a Jew becomes so comfortable that he stops feeling he is in גלות at all</w:t>
      </w:r>
      <w:r>
        <w:rPr>
          <w:rFonts w:ascii="Georgia" w:hAnsi="Georgia" w:cs="SBL Hebrew" w:eastAsia="Georgia"/>
          <w:b w:val="0"/>
          <w:i w:val="0"/>
          <w:color w:val="1A1A1A"/>
          <w:sz w:val="22"/>
        </w:rPr>
        <w:t xml:space="preserve">. People settle in: home, business, community, society, culture. "I am fine where I am. Why do I need to go anywhere?" That itself is the deepest </w:t>
      </w:r>
      <w:r>
        <w:rPr>
          <w:rFonts w:ascii="SBL Hebrew" w:hAnsi="SBL Hebrew" w:cs="SBL Hebrew" w:eastAsia="SBL Hebrew"/>
          <w:b w:val="0"/>
          <w:i w:val="0"/>
          <w:color w:val="1A1A1A"/>
          <w:sz w:val="22"/>
        </w:rPr>
        <w:t>הסתר פנים</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Reb Nachman of Breslov described a </w:t>
      </w:r>
      <w:r>
        <w:rPr>
          <w:rFonts w:ascii="SBL Hebrew" w:hAnsi="SBL Hebrew" w:cs="SBL Hebrew" w:eastAsia="SBL Hebrew"/>
          <w:b w:val="0"/>
          <w:i w:val="0"/>
          <w:color w:val="1A1A1A"/>
          <w:sz w:val="22"/>
        </w:rPr>
        <w:t>מצב</w:t>
      </w:r>
      <w:r>
        <w:rPr>
          <w:rFonts w:ascii="Georgia" w:hAnsi="Georgia" w:cs="SBL Hebrew" w:eastAsia="Georgia"/>
          <w:b w:val="0"/>
          <w:i w:val="0"/>
          <w:color w:val="1A1A1A"/>
          <w:sz w:val="22"/>
        </w:rPr>
        <w:t xml:space="preserve"> in which people can even "make a </w:t>
      </w:r>
      <w:r>
        <w:rPr>
          <w:rFonts w:ascii="Georgia" w:hAnsi="Georgia" w:cs="SBL Hebrew" w:eastAsia="Georgia"/>
          <w:b w:val="0"/>
          <w:i/>
          <w:color w:val="1A1A1A"/>
          <w:sz w:val="22"/>
        </w:rPr>
        <w:t>niggun</w:t>
      </w:r>
      <w:r>
        <w:rPr>
          <w:rFonts w:ascii="Georgia" w:hAnsi="Georgia" w:cs="SBL Hebrew" w:eastAsia="Georgia"/>
          <w:b w:val="0"/>
          <w:i w:val="0"/>
          <w:color w:val="1A1A1A"/>
          <w:sz w:val="22"/>
        </w:rPr>
        <w:t>" out of their exile — meaning, they normalize it so completely that it no longer hurts. The numbness is itself part of the catastrophe. The first stage of גלות is the pain of גלות. The deeper stage is the loss of the pain.</w:t>
        <w:br/>
      </w:r>
    </w:p>
    <w:p>
      <w:pPr>
        <w:spacing w:before="360" w:after="80"/>
        <w:pBdr>
          <w:bottom w:val="single" w:sz="6" w:space="2" w:color="b8860b"/>
        </w:pBdr>
      </w:pPr>
      <w:r>
        <w:rPr>
          <w:rFonts w:ascii="Georgia" w:hAnsi="Georgia" w:cs="SBL Hebrew" w:eastAsia="Georgia"/>
          <w:b w:val="0"/>
          <w:i w:val="0"/>
          <w:color w:val="1E3A8A"/>
          <w:sz w:val="26"/>
          <w:smallCaps w:val="1"/>
        </w:rPr>
        <w:t xml:space="preserve">XVI. A Story at the </w:t>
      </w:r>
      <w:r>
        <w:rPr>
          <w:rFonts w:ascii="SBL Hebrew" w:hAnsi="SBL Hebrew" w:cs="SBL Hebrew" w:eastAsia="SBL Hebrew"/>
          <w:b w:val="0"/>
          <w:i w:val="0"/>
          <w:color w:val="1E3A8A"/>
          <w:sz w:val="26"/>
          <w:smallCaps w:val="1"/>
        </w:rPr>
        <w:t>כותל</w:t>
      </w:r>
      <w:r>
        <w:rPr>
          <w:rFonts w:ascii="Georgia" w:hAnsi="Georgia" w:cs="SBL Hebrew" w:eastAsia="Georgia"/>
          <w:b w:val="0"/>
          <w:i w:val="0"/>
          <w:color w:val="1E3A8A"/>
          <w:sz w:val="26"/>
          <w:smallCaps w:val="1"/>
        </w:rPr>
        <w:t xml:space="preserve"> — Crying Because We Don't Know Why</w:t>
      </w:r>
    </w:p>
    <w:p>
      <w:pPr>
        <w:spacing w:before="0" w:after="120" w:line="324" w:lineRule="auto"/>
      </w:pPr>
      <w:r>
        <w:rPr>
          <w:rFonts w:ascii="Georgia" w:hAnsi="Georgia" w:cs="SBL Hebrew" w:eastAsia="Georgia"/>
          <w:b w:val="0"/>
          <w:i w:val="0"/>
          <w:color w:val="1A1A1A"/>
          <w:sz w:val="22"/>
        </w:rPr>
        <w:br/>
        <w:t xml:space="preserve">  There is a famous story from the days of the Six Day War, when Jews returned to the </w:t>
      </w:r>
      <w:r>
        <w:rPr>
          <w:rFonts w:ascii="SBL Hebrew" w:hAnsi="SBL Hebrew" w:cs="SBL Hebrew" w:eastAsia="SBL Hebrew"/>
          <w:b w:val="0"/>
          <w:i w:val="0"/>
          <w:color w:val="1A1A1A"/>
          <w:sz w:val="22"/>
        </w:rPr>
        <w:t>כותל המערבי</w:t>
      </w:r>
      <w:r>
        <w:rPr>
          <w:rFonts w:ascii="Georgia" w:hAnsi="Georgia" w:cs="SBL Hebrew" w:eastAsia="Georgia"/>
          <w:b w:val="0"/>
          <w:i w:val="0"/>
          <w:color w:val="1A1A1A"/>
          <w:sz w:val="22"/>
        </w:rPr>
        <w:t xml:space="preserve"> after nineteen years of separation. Rav Shlomo Goren is often associated with the moment.</w:t>
        <w:br/>
      </w:r>
    </w:p>
    <w:p>
      <w:pPr>
        <w:spacing w:before="0" w:after="120" w:line="324" w:lineRule="auto"/>
      </w:pPr>
      <w:r>
        <w:rPr>
          <w:rFonts w:ascii="Georgia" w:hAnsi="Georgia" w:cs="SBL Hebrew" w:eastAsia="Georgia"/>
          <w:b w:val="0"/>
          <w:i w:val="0"/>
          <w:color w:val="1A1A1A"/>
          <w:sz w:val="22"/>
        </w:rPr>
        <w:br/>
        <w:t xml:space="preserve">  Soldiers — many of them not observant, with little Torah background — arrived at the כותל and began crying. Someone asked them: </w:t>
      </w:r>
      <w:r>
        <w:rPr>
          <w:rFonts w:ascii="Georgia" w:hAnsi="Georgia" w:cs="SBL Hebrew" w:eastAsia="Georgia"/>
          <w:b w:val="0"/>
          <w:i/>
          <w:color w:val="1A1A1A"/>
          <w:sz w:val="22"/>
        </w:rPr>
        <w:t>why are you crying?</w:t>
      </w:r>
      <w:r>
        <w:rPr>
          <w:rFonts w:ascii="Georgia" w:hAnsi="Georgia" w:cs="SBL Hebrew" w:eastAsia="Georgia"/>
          <w:b w:val="0"/>
          <w:i w:val="0"/>
          <w:color w:val="1A1A1A"/>
          <w:sz w:val="22"/>
        </w:rPr>
        <w:t xml:space="preserve"> One of them answered: </w:t>
      </w:r>
      <w:r>
        <w:rPr>
          <w:rFonts w:ascii="Georgia" w:hAnsi="Georgia" w:cs="SBL Hebrew" w:eastAsia="Georgia"/>
          <w:b w:val="0"/>
          <w:i/>
          <w:color w:val="1A1A1A"/>
          <w:sz w:val="22"/>
        </w:rPr>
        <w:t>because we see everyone else crying — and we don't even know why they're crying. So we're crying that we don't know.</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line pierces the heart. The כותל is a last remnant, a last visible connection that says </w:t>
      </w:r>
      <w:r>
        <w:rPr>
          <w:rFonts w:ascii="Georgia" w:hAnsi="Georgia" w:cs="SBL Hebrew" w:eastAsia="Georgia"/>
          <w:b w:val="0"/>
          <w:i/>
          <w:color w:val="1A1A1A"/>
          <w:sz w:val="22"/>
        </w:rPr>
        <w:t>we are not severed from our source</w:t>
      </w:r>
      <w:r>
        <w:rPr>
          <w:rFonts w:ascii="Georgia" w:hAnsi="Georgia" w:cs="SBL Hebrew" w:eastAsia="Georgia"/>
          <w:b w:val="0"/>
          <w:i w:val="0"/>
          <w:color w:val="1A1A1A"/>
          <w:sz w:val="22"/>
        </w:rPr>
        <w:t>. But the deeper tragedy is when a Jew no longer knows what גלות is, and no longer understands what there is to mourn. The soldier's tear was the tear at exactly that gap. He had Jewish neshama enough to cry, but he had been distanced from the source enough that he could no longer name what he was crying for. He was crying for the gap itself.</w:t>
        <w:br/>
      </w:r>
    </w:p>
    <w:p>
      <w:pPr>
        <w:spacing w:before="360" w:after="80"/>
        <w:pBdr>
          <w:bottom w:val="single" w:sz="6" w:space="2" w:color="b8860b"/>
        </w:pBdr>
      </w:pPr>
      <w:r>
        <w:rPr>
          <w:rFonts w:ascii="Georgia" w:hAnsi="Georgia" w:cs="SBL Hebrew" w:eastAsia="Georgia"/>
          <w:b w:val="0"/>
          <w:i w:val="0"/>
          <w:color w:val="1E3A8A"/>
          <w:sz w:val="26"/>
          <w:smallCaps w:val="1"/>
        </w:rPr>
        <w:t xml:space="preserve">XVII. </w:t>
      </w:r>
      <w:r>
        <w:rPr>
          <w:rFonts w:ascii="SBL Hebrew" w:hAnsi="SBL Hebrew" w:cs="SBL Hebrew" w:eastAsia="SBL Hebrew"/>
          <w:b w:val="0"/>
          <w:i w:val="0"/>
          <w:color w:val="1E3A8A"/>
          <w:sz w:val="26"/>
          <w:smallCaps w:val="1"/>
        </w:rPr>
        <w:t>קדיש</w:t>
      </w:r>
      <w:r>
        <w:rPr>
          <w:rFonts w:ascii="Georgia" w:hAnsi="Georgia" w:cs="SBL Hebrew" w:eastAsia="Georgia"/>
          <w:b w:val="0"/>
          <w:i w:val="0"/>
          <w:color w:val="1E3A8A"/>
          <w:sz w:val="26"/>
          <w:smallCaps w:val="1"/>
        </w:rPr>
        <w:t xml:space="preserve"> as a Declaration of Hope — the Rambam's Frame</w:t>
      </w:r>
    </w:p>
    <w:p>
      <w:pPr>
        <w:spacing w:before="0" w:after="120" w:line="324" w:lineRule="auto"/>
      </w:pPr>
      <w:r>
        <w:rPr>
          <w:rFonts w:ascii="Georgia" w:hAnsi="Georgia" w:cs="SBL Hebrew" w:eastAsia="Georgia"/>
          <w:b w:val="0"/>
          <w:i w:val="0"/>
          <w:color w:val="1A1A1A"/>
          <w:sz w:val="22"/>
        </w:rPr>
        <w:br/>
        <w:t xml:space="preserve">  This is exactly where the Rambam's reading of קדיש lands. According to the Rambam, the reason we say קדיש before תפילה — every time Jews gather together — is not arbitrary structural padding. It is a deliberate, regular reminder: </w:t>
      </w:r>
      <w:r>
        <w:rPr>
          <w:rFonts w:ascii="Georgia" w:hAnsi="Georgia" w:cs="SBL Hebrew" w:eastAsia="Georgia"/>
          <w:b w:val="0"/>
          <w:i/>
          <w:color w:val="1A1A1A"/>
          <w:sz w:val="22"/>
        </w:rPr>
        <w:t>there will be a day when Hashem's Name will be complete and revealed in the world</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When we answer </w:t>
      </w:r>
      <w:r>
        <w:rPr>
          <w:rFonts w:ascii="SBL Hebrew" w:hAnsi="SBL Hebrew" w:cs="SBL Hebrew" w:eastAsia="SBL Hebrew"/>
          <w:b w:val="0"/>
          <w:i w:val="0"/>
          <w:color w:val="1A1A1A"/>
          <w:sz w:val="22"/>
        </w:rPr>
        <w:t>אמן</w:t>
      </w:r>
      <w:r>
        <w:rPr>
          <w:rFonts w:ascii="Georgia" w:hAnsi="Georgia" w:cs="SBL Hebrew" w:eastAsia="Georgia"/>
          <w:b w:val="0"/>
          <w:i w:val="0"/>
          <w:color w:val="1A1A1A"/>
          <w:sz w:val="22"/>
        </w:rPr>
        <w:t xml:space="preserve">, and especially </w:t>
      </w:r>
      <w:r>
        <w:rPr>
          <w:rFonts w:ascii="SBL Hebrew" w:hAnsi="SBL Hebrew" w:cs="SBL Hebrew" w:eastAsia="SBL Hebrew"/>
          <w:b w:val="0"/>
          <w:i w:val="0"/>
          <w:color w:val="1A1A1A"/>
          <w:sz w:val="22"/>
        </w:rPr>
        <w:t>אמן יהא שמיה רבא מברך לעולם ולעלמי עלמיא</w:t>
      </w:r>
      <w:r>
        <w:rPr>
          <w:rFonts w:ascii="Georgia" w:hAnsi="Georgia" w:cs="SBL Hebrew" w:eastAsia="Georgia"/>
          <w:b w:val="0"/>
          <w:i w:val="0"/>
          <w:color w:val="1A1A1A"/>
          <w:sz w:val="22"/>
        </w:rPr>
        <w:t xml:space="preserve">, we are not merely responding to "a nice thing." We are affirming something fundamental about our relationship to גלות: </w:t>
      </w:r>
      <w:r>
        <w:rPr>
          <w:rFonts w:ascii="Georgia" w:hAnsi="Georgia" w:cs="SBL Hebrew" w:eastAsia="Georgia"/>
          <w:b w:val="0"/>
          <w:i/>
          <w:color w:val="1A1A1A"/>
          <w:sz w:val="22"/>
        </w:rPr>
        <w:t>don't give up. You are in גלות now, but there will be גאולה. The Name is not yet whole; it will be.</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 xml:space="preserve">A Note on Nusach — </w:t>
      </w:r>
      <w:r>
        <w:rPr>
          <w:rFonts w:ascii="SBL Hebrew" w:hAnsi="SBL Hebrew" w:cs="SBL Hebrew" w:eastAsia="SBL Hebrew"/>
          <w:b w:val="0"/>
          <w:i/>
          <w:color w:val="B8860B"/>
          <w:sz w:val="23"/>
        </w:rPr>
        <w:t>ויצמח פורקנה ויקרב משיחה</w:t>
      </w:r>
    </w:p>
    <w:p>
      <w:pPr>
        <w:spacing w:before="0" w:after="120" w:line="324" w:lineRule="auto"/>
      </w:pPr>
      <w:r>
        <w:rPr>
          <w:rFonts w:ascii="Georgia" w:hAnsi="Georgia" w:cs="SBL Hebrew" w:eastAsia="Georgia"/>
          <w:b w:val="0"/>
          <w:i w:val="0"/>
          <w:color w:val="1A1A1A"/>
          <w:sz w:val="22"/>
        </w:rPr>
        <w:br/>
        <w:t xml:space="preserve">  There are different customs in קדיש regarding the line </w:t>
      </w:r>
      <w:r>
        <w:rPr>
          <w:rFonts w:ascii="SBL Hebrew" w:hAnsi="SBL Hebrew" w:cs="SBL Hebrew" w:eastAsia="SBL Hebrew"/>
          <w:b w:val="0"/>
          <w:i w:val="0"/>
          <w:color w:val="1A1A1A"/>
          <w:sz w:val="22"/>
        </w:rPr>
        <w:t>ויצמח פורקנה ויקרב משיחה</w:t>
      </w:r>
      <w:r>
        <w:rPr>
          <w:rFonts w:ascii="Georgia" w:hAnsi="Georgia" w:cs="SBL Hebrew" w:eastAsia="Georgia"/>
          <w:b w:val="0"/>
          <w:i w:val="0"/>
          <w:color w:val="1A1A1A"/>
          <w:sz w:val="22"/>
        </w:rPr>
        <w:t xml:space="preserve"> — "may He cause His salvation to flourish and bring near His anointed one." Some נוסחאות include it, some do not. People can be very sensitive about נוסח changes; when you grow up with one version, even one additional word can feel like a new religion. The שיעור noted this with both warmth and a touch of irony — that the larger point of the קדיש, in the Rambam's reading, is the planting of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-consciousness in the middle of routine life, and the נוסח variations are minor variants on the same essential move.</w:t>
        <w:br/>
      </w:r>
    </w:p>
    <w:p>
      <w:pPr>
        <w:spacing w:before="360" w:after="80"/>
        <w:pBdr>
          <w:bottom w:val="single" w:sz="6" w:space="2" w:color="b8860b"/>
        </w:pBdr>
      </w:pPr>
      <w:r>
        <w:rPr>
          <w:rFonts w:ascii="Georgia" w:hAnsi="Georgia" w:cs="SBL Hebrew" w:eastAsia="Georgia"/>
          <w:b w:val="0"/>
          <w:i w:val="0"/>
          <w:color w:val="1E3A8A"/>
          <w:sz w:val="26"/>
          <w:smallCaps w:val="1"/>
        </w:rPr>
        <w:t xml:space="preserve">XVIII. Rambam vs. Raavad on </w:t>
      </w:r>
      <w:r>
        <w:rPr>
          <w:rFonts w:ascii="SBL Hebrew" w:hAnsi="SBL Hebrew" w:cs="SBL Hebrew" w:eastAsia="SBL Hebrew"/>
          <w:b w:val="0"/>
          <w:i w:val="0"/>
          <w:color w:val="1E3A8A"/>
          <w:sz w:val="26"/>
          <w:smallCaps w:val="1"/>
        </w:rPr>
        <w:t>קדיש</w:t>
      </w:r>
      <w:r>
        <w:rPr>
          <w:rFonts w:ascii="Georgia" w:hAnsi="Georgia" w:cs="SBL Hebrew" w:eastAsia="Georgia"/>
          <w:b w:val="0"/>
          <w:i w:val="0"/>
          <w:color w:val="1E3A8A"/>
          <w:sz w:val="26"/>
          <w:smallCaps w:val="1"/>
        </w:rPr>
        <w:t xml:space="preserve"> at מעריב</w:t>
      </w:r>
    </w:p>
    <w:p>
      <w:pPr>
        <w:spacing w:before="240" w:after="40"/>
      </w:pPr>
      <w:r>
        <w:rPr>
          <w:rFonts w:ascii="Georgia" w:hAnsi="Georgia" w:cs="SBL Hebrew" w:eastAsia="Georgia"/>
          <w:b w:val="0"/>
          <w:i/>
          <w:color w:val="B8860B"/>
          <w:sz w:val="23"/>
        </w:rPr>
        <w:t xml:space="preserve">A) The Rambam — </w:t>
      </w:r>
      <w:r>
        <w:rPr>
          <w:rFonts w:ascii="SBL Hebrew" w:hAnsi="SBL Hebrew" w:cs="SBL Hebrew" w:eastAsia="SBL Hebrew"/>
          <w:b w:val="0"/>
          <w:i/>
          <w:color w:val="B8860B"/>
          <w:sz w:val="23"/>
        </w:rPr>
        <w:t>קדיש</w:t>
      </w:r>
      <w:r>
        <w:rPr>
          <w:rFonts w:ascii="Georgia" w:hAnsi="Georgia" w:cs="SBL Hebrew" w:eastAsia="Georgia"/>
          <w:b w:val="0"/>
          <w:i/>
          <w:color w:val="B8860B"/>
          <w:sz w:val="23"/>
        </w:rPr>
        <w:t xml:space="preserve"> as </w:t>
      </w:r>
      <w:r>
        <w:rPr>
          <w:rFonts w:ascii="SBL Hebrew" w:hAnsi="SBL Hebrew" w:cs="SBL Hebrew" w:eastAsia="SBL Hebrew"/>
          <w:b w:val="0"/>
          <w:i/>
          <w:color w:val="B8860B"/>
          <w:sz w:val="23"/>
        </w:rPr>
        <w:t>הכנה</w:t>
      </w:r>
      <w:r>
        <w:rPr>
          <w:rFonts w:ascii="Georgia" w:hAnsi="Georgia" w:cs="SBL Hebrew" w:eastAsia="Georgia"/>
          <w:b w:val="0"/>
          <w:i/>
          <w:color w:val="B8860B"/>
          <w:sz w:val="23"/>
        </w:rPr>
        <w:t xml:space="preserve"> to שמונה עשרה</w:t>
      </w:r>
    </w:p>
    <w:p>
      <w:pPr>
        <w:spacing w:before="0" w:after="120" w:line="324" w:lineRule="auto"/>
      </w:pPr>
      <w:r>
        <w:rPr>
          <w:rFonts w:ascii="Georgia" w:hAnsi="Georgia" w:cs="SBL Hebrew" w:eastAsia="Georgia"/>
          <w:b w:val="0"/>
          <w:i w:val="0"/>
          <w:color w:val="1A1A1A"/>
          <w:sz w:val="22"/>
        </w:rPr>
        <w:br/>
        <w:t xml:space="preserve">  On the Rambam's reading, saying קדיש before שמונה עשרה at מעריב functions as an introduction to the עמידה: </w:t>
      </w:r>
      <w:r>
        <w:rPr>
          <w:rFonts w:ascii="Georgia" w:hAnsi="Georgia" w:cs="SBL Hebrew" w:eastAsia="Georgia"/>
          <w:b w:val="0"/>
          <w:i/>
          <w:color w:val="1A1A1A"/>
          <w:sz w:val="22"/>
        </w:rPr>
        <w:t>we are now a tzibbur, a מנין of Yidden — remember משיח, remember גאולה, before you step forward to stand before הקדוש ברוך הוא</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On this approach, the קדיש is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a problematic הפסק between גאולה and תפילה, for two reasons that converge. First, השכיבנו is </w:t>
      </w:r>
      <w:r>
        <w:rPr>
          <w:rFonts w:ascii="SBL Hebrew" w:hAnsi="SBL Hebrew" w:cs="SBL Hebrew" w:eastAsia="SBL Hebrew"/>
          <w:b w:val="0"/>
          <w:i w:val="0"/>
          <w:color w:val="1A1A1A"/>
          <w:sz w:val="22"/>
        </w:rPr>
        <w:t>גאולה אריכתא</w:t>
      </w:r>
      <w:r>
        <w:rPr>
          <w:rFonts w:ascii="Georgia" w:hAnsi="Georgia" w:cs="SBL Hebrew" w:eastAsia="Georgia"/>
          <w:b w:val="0"/>
          <w:i w:val="0"/>
          <w:color w:val="1A1A1A"/>
          <w:sz w:val="22"/>
        </w:rPr>
        <w:t xml:space="preserve"> — the theme of גאולה is already extended through the ברכה. Second, the קדיש itself is saturated with the language and longing of גאולה — the entire text is a declaration of yearning for the complete revelation of Hashem's Name. The קדיש therefore </w:t>
      </w:r>
      <w:r>
        <w:rPr>
          <w:rFonts w:ascii="Georgia" w:hAnsi="Georgia" w:cs="SBL Hebrew" w:eastAsia="Georgia"/>
          <w:b w:val="0"/>
          <w:i/>
          <w:color w:val="1A1A1A"/>
          <w:sz w:val="22"/>
        </w:rPr>
        <w:t>continues</w:t>
      </w:r>
      <w:r>
        <w:rPr>
          <w:rFonts w:ascii="Georgia" w:hAnsi="Georgia" w:cs="SBL Hebrew" w:eastAsia="Georgia"/>
          <w:b w:val="0"/>
          <w:i w:val="0"/>
          <w:color w:val="1A1A1A"/>
          <w:sz w:val="22"/>
        </w:rPr>
        <w:t xml:space="preserve"> the same redemption-consciousness rather than breaking it. It does not interrupt; it deepens. And this is why, on the Rambam's frame, the קדיש can stand at מעריב in the exact seam where it cannot stand at שחרית — because at מעריב, the prior ברכה is גאולה אריכתא, and the קדיש thematically extends the theme; at שחרית, the prior ברכה is גאל ישראל without that extension, and the קדיש would be a true interruption.</w:t>
        <w:br/>
      </w:r>
    </w:p>
    <w:p>
      <w:pPr>
        <w:spacing w:before="240" w:after="40"/>
      </w:pPr>
      <w:r>
        <w:rPr>
          <w:rFonts w:ascii="Georgia" w:hAnsi="Georgia" w:cs="SBL Hebrew" w:eastAsia="Georgia"/>
          <w:b w:val="0"/>
          <w:i/>
          <w:color w:val="B8860B"/>
          <w:sz w:val="23"/>
        </w:rPr>
        <w:t xml:space="preserve">B) The Raavad — </w:t>
      </w:r>
      <w:r>
        <w:rPr>
          <w:rFonts w:ascii="SBL Hebrew" w:hAnsi="SBL Hebrew" w:cs="SBL Hebrew" w:eastAsia="SBL Hebrew"/>
          <w:b w:val="0"/>
          <w:i/>
          <w:color w:val="B8860B"/>
          <w:sz w:val="23"/>
        </w:rPr>
        <w:t>קדיש</w:t>
      </w:r>
      <w:r>
        <w:rPr>
          <w:rFonts w:ascii="Georgia" w:hAnsi="Georgia" w:cs="SBL Hebrew" w:eastAsia="Georgia"/>
          <w:b w:val="0"/>
          <w:i/>
          <w:color w:val="B8860B"/>
          <w:sz w:val="23"/>
        </w:rPr>
        <w:t xml:space="preserve"> as a </w:t>
      </w:r>
      <w:r>
        <w:rPr>
          <w:rFonts w:ascii="SBL Hebrew" w:hAnsi="SBL Hebrew" w:cs="SBL Hebrew" w:eastAsia="SBL Hebrew"/>
          <w:b w:val="0"/>
          <w:i/>
          <w:color w:val="B8860B"/>
          <w:sz w:val="23"/>
        </w:rPr>
        <w:t>סיום</w:t>
      </w:r>
      <w:r>
        <w:rPr>
          <w:rFonts w:ascii="Georgia" w:hAnsi="Georgia" w:cs="SBL Hebrew" w:eastAsia="Georgia"/>
          <w:b w:val="0"/>
          <w:i/>
          <w:color w:val="B8860B"/>
          <w:sz w:val="23"/>
        </w:rPr>
        <w:t xml:space="preserve"> to an Older Core Unit</w:t>
      </w:r>
    </w:p>
    <w:p>
      <w:pPr>
        <w:spacing w:before="0" w:after="120" w:line="324" w:lineRule="auto"/>
      </w:pPr>
      <w:r>
        <w:rPr>
          <w:rFonts w:ascii="Georgia" w:hAnsi="Georgia" w:cs="SBL Hebrew" w:eastAsia="Georgia"/>
          <w:b w:val="0"/>
          <w:i w:val="0"/>
          <w:color w:val="1A1A1A"/>
          <w:sz w:val="22"/>
        </w:rPr>
        <w:br/>
        <w:t xml:space="preserve">  On the Raavad's reading (and the line of reasoning associated with several other ראשונים), מעריב historically functioned differently. It was originally treated as </w:t>
      </w:r>
      <w:r>
        <w:rPr>
          <w:rFonts w:ascii="SBL Hebrew" w:hAnsi="SBL Hebrew" w:cs="SBL Hebrew" w:eastAsia="SBL Hebrew"/>
          <w:b w:val="0"/>
          <w:i w:val="0"/>
          <w:color w:val="1A1A1A"/>
          <w:sz w:val="22"/>
        </w:rPr>
        <w:t>רשות</w:t>
      </w:r>
      <w:r>
        <w:rPr>
          <w:rFonts w:ascii="Georgia" w:hAnsi="Georgia" w:cs="SBL Hebrew" w:eastAsia="Georgia"/>
          <w:b w:val="0"/>
          <w:i w:val="0"/>
          <w:color w:val="1A1A1A"/>
          <w:sz w:val="22"/>
        </w:rPr>
        <w:t xml:space="preserve">; the primary </w:t>
      </w:r>
      <w:r>
        <w:rPr>
          <w:rFonts w:ascii="SBL Hebrew" w:hAnsi="SBL Hebrew" w:cs="SBL Hebrew" w:eastAsia="SBL Hebrew"/>
          <w:b w:val="0"/>
          <w:i w:val="0"/>
          <w:color w:val="1A1A1A"/>
          <w:sz w:val="22"/>
        </w:rPr>
        <w:t>חיובא</w:t>
      </w:r>
      <w:r>
        <w:rPr>
          <w:rFonts w:ascii="Georgia" w:hAnsi="Georgia" w:cs="SBL Hebrew" w:eastAsia="Georgia"/>
          <w:b w:val="0"/>
          <w:i w:val="0"/>
          <w:color w:val="1A1A1A"/>
          <w:sz w:val="22"/>
        </w:rPr>
        <w:t xml:space="preserve"> structure revolved around </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and its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not necessarily around שמונה עשרה. On that older structure, after the kehillah finished the main unit of the service — ברכות קריאת שמע, ending with השכיבנו — the natural place for קדיש was at the </w:t>
      </w:r>
      <w:r>
        <w:rPr>
          <w:rFonts w:ascii="Georgia" w:hAnsi="Georgia" w:cs="SBL Hebrew" w:eastAsia="Georgia"/>
          <w:b w:val="0"/>
          <w:i/>
          <w:color w:val="1A1A1A"/>
          <w:sz w:val="22"/>
        </w:rPr>
        <w:t>end</w:t>
      </w:r>
      <w:r>
        <w:rPr>
          <w:rFonts w:ascii="Georgia" w:hAnsi="Georgia" w:cs="SBL Hebrew" w:eastAsia="Georgia"/>
          <w:b w:val="0"/>
          <w:i w:val="0"/>
          <w:color w:val="1A1A1A"/>
          <w:sz w:val="22"/>
        </w:rPr>
        <w:t xml:space="preserve"> of that unit, as a סיום before dispersing.</w:t>
        <w:br/>
      </w:r>
    </w:p>
    <w:p>
      <w:pPr>
        <w:spacing w:before="0" w:after="120" w:line="324" w:lineRule="auto"/>
      </w:pPr>
      <w:r>
        <w:rPr>
          <w:rFonts w:ascii="Georgia" w:hAnsi="Georgia" w:cs="SBL Hebrew" w:eastAsia="Georgia"/>
          <w:b w:val="0"/>
          <w:i w:val="0"/>
          <w:color w:val="1A1A1A"/>
          <w:sz w:val="22"/>
        </w:rPr>
        <w:br/>
        <w:t xml:space="preserve">  When the practice later shifted and שמונה עשרה became standard at מעריב as well, the קדיש </w:t>
      </w:r>
      <w:r>
        <w:rPr>
          <w:rFonts w:ascii="Georgia" w:hAnsi="Georgia" w:cs="SBL Hebrew" w:eastAsia="Georgia"/>
          <w:b w:val="0"/>
          <w:i/>
          <w:color w:val="1A1A1A"/>
          <w:sz w:val="22"/>
        </w:rPr>
        <w:t>remained where it was</w:t>
      </w:r>
      <w:r>
        <w:rPr>
          <w:rFonts w:ascii="Georgia" w:hAnsi="Georgia" w:cs="SBL Hebrew" w:eastAsia="Georgia"/>
          <w:b w:val="0"/>
          <w:i w:val="0"/>
          <w:color w:val="1A1A1A"/>
          <w:sz w:val="22"/>
        </w:rPr>
        <w:t xml:space="preserve"> — at the structural end of the older core unit. So today, looking at the davening, it looks as if קדיש sits between גאולה and תפילה. But on the Raavad's read, it does not really sit "between"; it sits at the historical סיום of one structure, with the עמידה later appended as a separate later expansion.</w:t>
        <w:br/>
      </w:r>
    </w:p>
    <w:p>
      <w:pPr>
        <w:spacing w:before="0" w:after="120" w:line="324" w:lineRule="auto"/>
      </w:pPr>
      <w:r>
        <w:rPr>
          <w:rFonts w:ascii="Georgia" w:hAnsi="Georgia" w:cs="SBL Hebrew" w:eastAsia="Georgia"/>
          <w:b w:val="0"/>
          <w:i w:val="0"/>
          <w:color w:val="1A1A1A"/>
          <w:sz w:val="22"/>
        </w:rPr>
        <w:br/>
        <w:t xml:space="preserve">  Many ראשונים note that once the practice entered the fixed structure, the מנהג remained: the unit is in the סידור, we say it. On both the Rambam's and the Raavad's accounts the קדיש stays in place; the difference is only in the conceptual story about </w:t>
      </w:r>
      <w:r>
        <w:rPr>
          <w:rFonts w:ascii="Georgia" w:hAnsi="Georgia" w:cs="SBL Hebrew" w:eastAsia="Georgia"/>
          <w:b w:val="0"/>
          <w:i/>
          <w:color w:val="1A1A1A"/>
          <w:sz w:val="22"/>
        </w:rPr>
        <w:t>why</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 xml:space="preserve">XIX. A Halachic Side Point — Announcing </w:t>
      </w:r>
      <w:r>
        <w:rPr>
          <w:rFonts w:ascii="SBL Hebrew" w:hAnsi="SBL Hebrew" w:cs="SBL Hebrew" w:eastAsia="SBL Hebrew"/>
          <w:b w:val="0"/>
          <w:i w:val="0"/>
          <w:color w:val="1E3A8A"/>
          <w:sz w:val="26"/>
          <w:smallCaps w:val="1"/>
        </w:rPr>
        <w:t>יעלה ויבוא</w:t>
      </w:r>
    </w:p>
    <w:p>
      <w:pPr>
        <w:spacing w:before="0" w:after="120" w:line="324" w:lineRule="auto"/>
      </w:pPr>
      <w:r>
        <w:rPr>
          <w:rFonts w:ascii="Georgia" w:hAnsi="Georgia" w:cs="SBL Hebrew" w:eastAsia="Georgia"/>
          <w:b w:val="0"/>
          <w:i w:val="0"/>
          <w:color w:val="1A1A1A"/>
          <w:sz w:val="22"/>
        </w:rPr>
        <w:br/>
        <w:t xml:space="preserve">  Many people assume that because we try not to be </w:t>
      </w:r>
      <w:r>
        <w:rPr>
          <w:rFonts w:ascii="SBL Hebrew" w:hAnsi="SBL Hebrew" w:cs="SBL Hebrew" w:eastAsia="SBL Hebrew"/>
          <w:b w:val="0"/>
          <w:i w:val="0"/>
          <w:color w:val="1A1A1A"/>
          <w:sz w:val="22"/>
        </w:rPr>
        <w:t>מפסיק</w:t>
      </w:r>
      <w:r>
        <w:rPr>
          <w:rFonts w:ascii="Georgia" w:hAnsi="Georgia" w:cs="SBL Hebrew" w:eastAsia="Georgia"/>
          <w:b w:val="0"/>
          <w:i w:val="0"/>
          <w:color w:val="1A1A1A"/>
          <w:sz w:val="22"/>
        </w:rPr>
        <w:t xml:space="preserve"> between גאולה and תפילה, the </w:t>
      </w:r>
      <w:r>
        <w:rPr>
          <w:rFonts w:ascii="SBL Hebrew" w:hAnsi="SBL Hebrew" w:cs="SBL Hebrew" w:eastAsia="SBL Hebrew"/>
          <w:b w:val="0"/>
          <w:i w:val="0"/>
          <w:color w:val="1A1A1A"/>
          <w:sz w:val="22"/>
        </w:rPr>
        <w:t>גבאי</w:t>
      </w:r>
      <w:r>
        <w:rPr>
          <w:rFonts w:ascii="Georgia" w:hAnsi="Georgia" w:cs="SBL Hebrew" w:eastAsia="Georgia"/>
          <w:b w:val="0"/>
          <w:i w:val="0"/>
          <w:color w:val="1A1A1A"/>
          <w:sz w:val="22"/>
        </w:rPr>
        <w:t xml:space="preserve"> at the appropriate moment must </w:t>
      </w:r>
      <w:r>
        <w:rPr>
          <w:rFonts w:ascii="Georgia" w:hAnsi="Georgia" w:cs="SBL Hebrew" w:eastAsia="Georgia"/>
          <w:b w:val="0"/>
          <w:i/>
          <w:color w:val="1A1A1A"/>
          <w:sz w:val="22"/>
        </w:rPr>
        <w:t>only</w:t>
      </w:r>
      <w:r>
        <w:rPr>
          <w:rFonts w:ascii="Georgia" w:hAnsi="Georgia" w:cs="SBL Hebrew" w:eastAsia="Georgia"/>
          <w:b w:val="0"/>
          <w:i w:val="0"/>
          <w:color w:val="1A1A1A"/>
          <w:sz w:val="22"/>
        </w:rPr>
        <w:t xml:space="preserve"> clap — never verbalize a reminder like </w:t>
      </w:r>
      <w:r>
        <w:rPr>
          <w:rFonts w:ascii="SBL Hebrew" w:hAnsi="SBL Hebrew" w:cs="SBL Hebrew" w:eastAsia="SBL Hebrew"/>
          <w:b w:val="0"/>
          <w:i w:val="0"/>
          <w:color w:val="1A1A1A"/>
          <w:sz w:val="22"/>
        </w:rPr>
        <w:t>יעלה ויבוא</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על הניסים</w:t>
      </w:r>
      <w:r>
        <w:rPr>
          <w:rFonts w:ascii="Georgia" w:hAnsi="Georgia" w:cs="SBL Hebrew" w:eastAsia="Georgia"/>
          <w:b w:val="0"/>
          <w:i w:val="0"/>
          <w:color w:val="1A1A1A"/>
          <w:sz w:val="22"/>
        </w:rPr>
        <w:t xml:space="preserve">, or </w:t>
      </w:r>
      <w:r>
        <w:rPr>
          <w:rFonts w:ascii="SBL Hebrew" w:hAnsi="SBL Hebrew" w:cs="SBL Hebrew" w:eastAsia="SBL Hebrew"/>
          <w:b w:val="0"/>
          <w:i w:val="0"/>
          <w:color w:val="1A1A1A"/>
          <w:sz w:val="22"/>
        </w:rPr>
        <w:t>ותן טל ומטר</w:t>
      </w:r>
      <w:r>
        <w:rPr>
          <w:rFonts w:ascii="Georgia" w:hAnsi="Georgia" w:cs="SBL Hebrew" w:eastAsia="Georgia"/>
          <w:b w:val="0"/>
          <w:i w:val="0"/>
          <w:color w:val="1A1A1A"/>
          <w:sz w:val="22"/>
        </w:rPr>
        <w:t>. The assumption is widespread but wrong.</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שולחן ערוך</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is explicit that the </w:t>
      </w:r>
      <w:r>
        <w:rPr>
          <w:rFonts w:ascii="SBL Hebrew" w:hAnsi="SBL Hebrew" w:cs="SBL Hebrew" w:eastAsia="SBL Hebrew"/>
          <w:b w:val="0"/>
          <w:i w:val="0"/>
          <w:color w:val="1A1A1A"/>
          <w:sz w:val="22"/>
        </w:rPr>
        <w:t>שליח ציבור</w:t>
      </w:r>
      <w:r>
        <w:rPr>
          <w:rFonts w:ascii="Georgia" w:hAnsi="Georgia" w:cs="SBL Hebrew" w:eastAsia="Georgia"/>
          <w:b w:val="0"/>
          <w:i w:val="0"/>
          <w:color w:val="1A1A1A"/>
          <w:sz w:val="22"/>
        </w:rPr>
        <w:t xml:space="preserve"> — and, practically, the person responsible for the tzibbur, often the gabbai — may verbally announce the relevant reminder because the announcement is </w:t>
      </w:r>
      <w:r>
        <w:rPr>
          <w:rFonts w:ascii="Georgia" w:hAnsi="Georgia" w:cs="SBL Hebrew" w:eastAsia="Georgia"/>
          <w:b w:val="0"/>
          <w:i/>
          <w:color w:val="1A1A1A"/>
          <w:sz w:val="22"/>
        </w:rPr>
        <w:t>צורך התפילה</w:t>
      </w:r>
      <w:r>
        <w:rPr>
          <w:rFonts w:ascii="Georgia" w:hAnsi="Georgia" w:cs="SBL Hebrew" w:eastAsia="Georgia"/>
          <w:b w:val="0"/>
          <w:i w:val="0"/>
          <w:color w:val="1A1A1A"/>
          <w:sz w:val="22"/>
        </w:rPr>
        <w:t>: it enables the tzibbur to daven correctly. It is not "random chatter"; it is part of the structural support of the תפילה itself. The רשב״א writes a תשובה on this directly. The single-word reminder, said by the right person at the right moment, falls inside the תפילה rather than outside it.</w:t>
        <w:br/>
      </w:r>
    </w:p>
    <w:p>
      <w:pPr>
        <w:spacing w:before="0" w:after="120" w:line="324" w:lineRule="auto"/>
      </w:pPr>
      <w:r>
        <w:rPr>
          <w:rFonts w:ascii="Georgia" w:hAnsi="Georgia" w:cs="SBL Hebrew" w:eastAsia="Georgia"/>
          <w:b w:val="0"/>
          <w:i w:val="0"/>
          <w:color w:val="1A1A1A"/>
          <w:sz w:val="22"/>
        </w:rPr>
        <w:br/>
        <w:t xml:space="preserve">  Where it becomes touchier is when </w:t>
      </w:r>
      <w:r>
        <w:rPr>
          <w:rFonts w:ascii="Georgia" w:hAnsi="Georgia" w:cs="SBL Hebrew" w:eastAsia="Georgia"/>
          <w:b w:val="0"/>
          <w:i/>
          <w:color w:val="1A1A1A"/>
          <w:sz w:val="22"/>
        </w:rPr>
        <w:t>individuals</w:t>
      </w:r>
      <w:r>
        <w:rPr>
          <w:rFonts w:ascii="Georgia" w:hAnsi="Georgia" w:cs="SBL Hebrew" w:eastAsia="Georgia"/>
          <w:b w:val="0"/>
          <w:i w:val="0"/>
          <w:color w:val="1A1A1A"/>
          <w:sz w:val="22"/>
        </w:rPr>
        <w:t xml:space="preserve"> call out reminders in the middle of other people's שמונה עשרה — that potentially disturbs </w:t>
      </w:r>
      <w:r>
        <w:rPr>
          <w:rFonts w:ascii="SBL Hebrew" w:hAnsi="SBL Hebrew" w:cs="SBL Hebrew" w:eastAsia="SBL Hebrew"/>
          <w:b w:val="0"/>
          <w:i w:val="0"/>
          <w:color w:val="1A1A1A"/>
          <w:sz w:val="22"/>
        </w:rPr>
        <w:t>כוונה</w:t>
      </w:r>
      <w:r>
        <w:rPr>
          <w:rFonts w:ascii="Georgia" w:hAnsi="Georgia" w:cs="SBL Hebrew" w:eastAsia="Georgia"/>
          <w:b w:val="0"/>
          <w:i w:val="0"/>
          <w:color w:val="1A1A1A"/>
          <w:sz w:val="22"/>
        </w:rPr>
        <w:t xml:space="preserve"> and requires careful discussion. But the gabbai's licensed reminder is not the problem; it is the structural solution.</w:t>
        <w:br/>
      </w:r>
    </w:p>
    <w:p>
      <w:pPr>
        <w:spacing w:before="360" w:after="80"/>
        <w:pBdr>
          <w:bottom w:val="single" w:sz="6" w:space="2" w:color="b8860b"/>
        </w:pBdr>
      </w:pPr>
      <w:r>
        <w:rPr>
          <w:rFonts w:ascii="Georgia" w:hAnsi="Georgia" w:cs="SBL Hebrew" w:eastAsia="Georgia"/>
          <w:b w:val="0"/>
          <w:i w:val="0"/>
          <w:color w:val="1E3A8A"/>
          <w:sz w:val="26"/>
          <w:smallCaps w:val="1"/>
        </w:rPr>
        <w:t xml:space="preserve">XX. Moving to Shabbos מעריב — Why We Say </w:t>
      </w:r>
      <w:r>
        <w:rPr>
          <w:rFonts w:ascii="SBL Hebrew" w:hAnsi="SBL Hebrew" w:cs="SBL Hebrew" w:eastAsia="SBL Hebrew"/>
          <w:b w:val="0"/>
          <w:i w:val="0"/>
          <w:color w:val="1E3A8A"/>
          <w:sz w:val="26"/>
          <w:smallCaps w:val="1"/>
        </w:rPr>
        <w:t>ושמרו</w:t>
      </w:r>
    </w:p>
    <w:p>
      <w:pPr>
        <w:spacing w:before="0" w:after="120" w:line="324" w:lineRule="auto"/>
      </w:pPr>
      <w:r>
        <w:rPr>
          <w:rFonts w:ascii="Georgia" w:hAnsi="Georgia" w:cs="SBL Hebrew" w:eastAsia="Georgia"/>
          <w:b w:val="0"/>
          <w:i w:val="0"/>
          <w:color w:val="1A1A1A"/>
          <w:sz w:val="22"/>
        </w:rPr>
        <w:br/>
        <w:t xml:space="preserve">  We now move to </w:t>
      </w:r>
      <w:r>
        <w:rPr>
          <w:rFonts w:ascii="SBL Hebrew" w:hAnsi="SBL Hebrew" w:cs="SBL Hebrew" w:eastAsia="SBL Hebrew"/>
          <w:b w:val="0"/>
          <w:i w:val="0"/>
          <w:color w:val="1A1A1A"/>
          <w:sz w:val="22"/>
        </w:rPr>
        <w:t>מעריב של שבת</w:t>
      </w:r>
      <w:r>
        <w:rPr>
          <w:rFonts w:ascii="Georgia" w:hAnsi="Georgia" w:cs="SBL Hebrew" w:eastAsia="Georgia"/>
          <w:b w:val="0"/>
          <w:i w:val="0"/>
          <w:color w:val="1A1A1A"/>
          <w:sz w:val="22"/>
        </w:rPr>
        <w:t>. Many communities recite (not all do):</w:t>
        <w:br/>
      </w:r>
    </w:p>
    <w:p>
      <w:pPr>
        <w:spacing w:before="120" w:after="120" w:line="312" w:lineRule="auto"/>
        <w:pBdr>
          <w:left w:val="single" w:sz="18" w:space="8" w:color="2c5282"/>
        </w:pBdr>
        <w:shd w:val="clear" w:color="auto" w:fill="eef2fb"/>
        <w:ind w:left="280"/>
      </w:pPr>
      <w:r>
        <w:rPr>
          <w:rFonts w:ascii="SBL Hebrew" w:hAnsi="SBL Hebrew" w:cs="SBL Hebrew" w:eastAsia="SBL Hebrew"/>
          <w:b w:val="0"/>
          <w:i w:val="0"/>
          <w:color w:val="1E3A8A"/>
          <w:sz w:val="22"/>
        </w:rPr>
        <w:t>וְשָׁמְרוּ בְנֵי יִשְׂרָאֵל אֶת הַשַּׁבָּת לַעֲשׂוֹת אֶת הַשַּׁבָּת לְדֹרֹתָם בְּרִית עוֹלָם. בֵּינִי וּבֵין בְּנֵי יִשְׂרָאֵל אוֹת הִיא לְעֹלָם כִּי שֵׁשֶׁת יָמִים עָשָׂה ה' אֶת הַשָּׁמַיִם וְאֶת הָאָרֶץ וּבַיּוֹם הַשְּׁבִיעִי שָׁבַת וַיִּנָּפַשׁ.</w:t>
      </w:r>
      <w:r>
        <w:rPr>
          <w:rFonts w:ascii="Georgia" w:hAnsi="Georgia" w:cs="SBL Hebrew" w:eastAsia="Georgia"/>
          <w:color w:val="B8860B"/>
          <w:sz w:val="16"/>
          <w:vertAlign w:val="superscript"/>
        </w:rPr>
        <w:t>[18]</w:t>
      </w:r>
    </w:p>
    <w:p>
      <w:pPr>
        <w:spacing w:before="240" w:after="40"/>
      </w:pPr>
      <w:r>
        <w:rPr>
          <w:rFonts w:ascii="Georgia" w:hAnsi="Georgia" w:cs="SBL Hebrew" w:eastAsia="Georgia"/>
          <w:b w:val="0"/>
          <w:i/>
          <w:color w:val="B8860B"/>
          <w:sz w:val="23"/>
        </w:rPr>
        <w:t>A) The Tur — שבת Itself Is the שמירה</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טור</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explains that on Friday night the closing of </w:t>
      </w:r>
      <w:r>
        <w:rPr>
          <w:rFonts w:ascii="SBL Hebrew" w:hAnsi="SBL Hebrew" w:cs="SBL Hebrew" w:eastAsia="SBL Hebrew"/>
          <w:b w:val="0"/>
          <w:i w:val="0"/>
          <w:color w:val="1A1A1A"/>
          <w:sz w:val="22"/>
        </w:rPr>
        <w:t>השכיבנו</w:t>
      </w:r>
      <w:r>
        <w:rPr>
          <w:rFonts w:ascii="Georgia" w:hAnsi="Georgia" w:cs="SBL Hebrew" w:eastAsia="Georgia"/>
          <w:b w:val="0"/>
          <w:i w:val="0"/>
          <w:color w:val="1A1A1A"/>
          <w:sz w:val="22"/>
        </w:rPr>
        <w:t xml:space="preserve"> changes. On weekdays we say </w:t>
      </w:r>
      <w:r>
        <w:rPr>
          <w:rFonts w:ascii="SBL Hebrew" w:hAnsi="SBL Hebrew" w:cs="SBL Hebrew" w:eastAsia="SBL Hebrew"/>
          <w:b w:val="0"/>
          <w:i w:val="0"/>
          <w:color w:val="1A1A1A"/>
          <w:sz w:val="22"/>
        </w:rPr>
        <w:t>בָּרוּךְ אַתָּה ה' שׁוֹמֵר עַמּוֹ יִשְׂרָאֵל לָעַד</w:t>
      </w:r>
      <w:r>
        <w:rPr>
          <w:rFonts w:ascii="Georgia" w:hAnsi="Georgia" w:cs="SBL Hebrew" w:eastAsia="Georgia"/>
          <w:b w:val="0"/>
          <w:i w:val="0"/>
          <w:color w:val="1A1A1A"/>
          <w:sz w:val="22"/>
        </w:rPr>
        <w:t xml:space="preserve">. On Shabbos we say </w:t>
      </w:r>
      <w:r>
        <w:rPr>
          <w:rFonts w:ascii="SBL Hebrew" w:hAnsi="SBL Hebrew" w:cs="SBL Hebrew" w:eastAsia="SBL Hebrew"/>
          <w:b w:val="0"/>
          <w:i w:val="0"/>
          <w:color w:val="1A1A1A"/>
          <w:sz w:val="22"/>
        </w:rPr>
        <w:t>וּפְרוֹשׂ עָלֵינוּ סֻכַּת שְׁלוֹמֶךָ…</w:t>
      </w:r>
      <w:r>
        <w:rPr>
          <w:rFonts w:ascii="Georgia" w:hAnsi="Georgia" w:cs="SBL Hebrew" w:eastAsia="Georgia"/>
          <w:b w:val="0"/>
          <w:i w:val="0"/>
          <w:color w:val="1A1A1A"/>
          <w:sz w:val="22"/>
        </w:rPr>
        <w:t xml:space="preserve">. Why the change? Because </w:t>
      </w:r>
      <w:r>
        <w:rPr>
          <w:rFonts w:ascii="Georgia" w:hAnsi="Georgia" w:cs="SBL Hebrew" w:eastAsia="Georgia"/>
          <w:b w:val="0"/>
          <w:i/>
          <w:color w:val="1A1A1A"/>
          <w:sz w:val="22"/>
        </w:rPr>
        <w:t>שבת itself is the שמירה</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שבת היא השמירה</w:t>
      </w:r>
      <w:r>
        <w:rPr>
          <w:rFonts w:ascii="Georgia" w:hAnsi="Georgia" w:cs="SBL Hebrew" w:eastAsia="Georgia"/>
          <w:b w:val="0"/>
          <w:i w:val="0"/>
          <w:color w:val="1A1A1A"/>
          <w:sz w:val="22"/>
        </w:rPr>
        <w:t xml:space="preserve">. The day functions as the protection. Keep Shabbos and Shabbos keeps you. (The famous line in modern Jewish discourse — "more than the Jews kept Shabbos, Shabbos kept the Jews" — is attributed by some to Ahad Ha'Am. The structural intuition is much older.) The Tur reads our recitation of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 xml:space="preserve"> immediately after the new </w:t>
      </w:r>
      <w:r>
        <w:rPr>
          <w:rFonts w:ascii="SBL Hebrew" w:hAnsi="SBL Hebrew" w:cs="SBL Hebrew" w:eastAsia="SBL Hebrew"/>
          <w:b w:val="0"/>
          <w:i w:val="0"/>
          <w:color w:val="1A1A1A"/>
          <w:sz w:val="22"/>
        </w:rPr>
        <w:t>חתימה</w:t>
      </w:r>
      <w:r>
        <w:rPr>
          <w:rFonts w:ascii="Georgia" w:hAnsi="Georgia" w:cs="SBL Hebrew" w:eastAsia="Georgia"/>
          <w:b w:val="0"/>
          <w:i w:val="0"/>
          <w:color w:val="1A1A1A"/>
          <w:sz w:val="22"/>
        </w:rPr>
        <w:t xml:space="preserve"> as the natural extension: we do not need to ask for שמירה in the same petitionary mode, because we have just declared the form of שמירה that Friday night already </w:t>
      </w:r>
      <w:r>
        <w:rPr>
          <w:rFonts w:ascii="Georgia" w:hAnsi="Georgia" w:cs="SBL Hebrew" w:eastAsia="Georgia"/>
          <w:b w:val="0"/>
          <w:i/>
          <w:color w:val="1A1A1A"/>
          <w:sz w:val="22"/>
        </w:rPr>
        <w:t>is</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 xml:space="preserve">B) The Reminder Model — Tonight's </w:t>
      </w:r>
      <w:r>
        <w:rPr>
          <w:rFonts w:ascii="SBL Hebrew" w:hAnsi="SBL Hebrew" w:cs="SBL Hebrew" w:eastAsia="SBL Hebrew"/>
          <w:b w:val="0"/>
          <w:i/>
          <w:color w:val="B8860B"/>
          <w:sz w:val="23"/>
        </w:rPr>
        <w:t>עמידה</w:t>
      </w:r>
      <w:r>
        <w:rPr>
          <w:rFonts w:ascii="Georgia" w:hAnsi="Georgia" w:cs="SBL Hebrew" w:eastAsia="Georgia"/>
          <w:b w:val="0"/>
          <w:i/>
          <w:color w:val="B8860B"/>
          <w:sz w:val="23"/>
        </w:rPr>
        <w:t xml:space="preserve"> is Different</w:t>
      </w:r>
    </w:p>
    <w:p>
      <w:pPr>
        <w:spacing w:before="0" w:after="120" w:line="324" w:lineRule="auto"/>
      </w:pPr>
      <w:r>
        <w:rPr>
          <w:rFonts w:ascii="Georgia" w:hAnsi="Georgia" w:cs="SBL Hebrew" w:eastAsia="Georgia"/>
          <w:b w:val="0"/>
          <w:i w:val="0"/>
          <w:color w:val="1A1A1A"/>
          <w:sz w:val="22"/>
        </w:rPr>
        <w:br/>
        <w:t xml:space="preserve">  A second explanation aligns with the very point we just made about announcements: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 xml:space="preserve"> functions as a tzibbur-level reminder — </w:t>
      </w:r>
      <w:r>
        <w:rPr>
          <w:rFonts w:ascii="Georgia" w:hAnsi="Georgia" w:cs="SBL Hebrew" w:eastAsia="Georgia"/>
          <w:b w:val="0"/>
          <w:i/>
          <w:color w:val="1A1A1A"/>
          <w:sz w:val="22"/>
        </w:rPr>
        <w:t>tonight is שבת; the עמידה you are about to begin is a Shabbos שמונה עשרה, not weekday</w:t>
      </w:r>
      <w:r>
        <w:rPr>
          <w:rFonts w:ascii="Georgia" w:hAnsi="Georgia" w:cs="SBL Hebrew" w:eastAsia="Georgia"/>
          <w:b w:val="0"/>
          <w:i w:val="0"/>
          <w:color w:val="1A1A1A"/>
          <w:sz w:val="22"/>
        </w:rPr>
        <w:t xml:space="preserve">. The Rashba's allowance for the gabbai to announce </w:t>
      </w:r>
      <w:r>
        <w:rPr>
          <w:rFonts w:ascii="SBL Hebrew" w:hAnsi="SBL Hebrew" w:cs="SBL Hebrew" w:eastAsia="SBL Hebrew"/>
          <w:b w:val="0"/>
          <w:i w:val="0"/>
          <w:color w:val="1A1A1A"/>
          <w:sz w:val="22"/>
        </w:rPr>
        <w:t>יעלה ויבוא</w:t>
      </w:r>
      <w:r>
        <w:rPr>
          <w:rFonts w:ascii="Georgia" w:hAnsi="Georgia" w:cs="SBL Hebrew" w:eastAsia="Georgia"/>
          <w:b w:val="0"/>
          <w:i w:val="0"/>
          <w:color w:val="1A1A1A"/>
          <w:sz w:val="22"/>
        </w:rPr>
        <w:t xml:space="preserve"> as </w:t>
      </w:r>
      <w:r>
        <w:rPr>
          <w:rFonts w:ascii="SBL Hebrew" w:hAnsi="SBL Hebrew" w:cs="SBL Hebrew" w:eastAsia="SBL Hebrew"/>
          <w:b w:val="0"/>
          <w:i w:val="0"/>
          <w:color w:val="1A1A1A"/>
          <w:sz w:val="22"/>
        </w:rPr>
        <w:t>צורך התפילה</w:t>
      </w:r>
      <w:r>
        <w:rPr>
          <w:rFonts w:ascii="Georgia" w:hAnsi="Georgia" w:cs="SBL Hebrew" w:eastAsia="Georgia"/>
          <w:b w:val="0"/>
          <w:i w:val="0"/>
          <w:color w:val="1A1A1A"/>
          <w:sz w:val="22"/>
        </w:rPr>
        <w:t xml:space="preserve"> extends here: the entire kehillah reciting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 xml:space="preserve"> together is itself a structural cue, signaling the change of mode to every מתפלל in the room.</w:t>
        <w:br/>
      </w:r>
    </w:p>
    <w:p>
      <w:pPr>
        <w:spacing w:before="0" w:after="120" w:line="324" w:lineRule="auto"/>
      </w:pPr>
      <w:r>
        <w:rPr>
          <w:rFonts w:ascii="Georgia" w:hAnsi="Georgia" w:cs="SBL Hebrew" w:eastAsia="Georgia"/>
          <w:b w:val="0"/>
          <w:i w:val="0"/>
          <w:color w:val="1A1A1A"/>
          <w:sz w:val="22"/>
        </w:rPr>
        <w:br/>
        <w:t xml:space="preserve">  People space out. People come out of davening genuinely uncertain what they said — weekday? Shabbos? Yom Tov? It is not malice; it is human. The Rabbi noted that a member of the kehillah had come to him recently after מוסף on the second day of yom tov, uncertain whether he had said the מוסף of שלוש רגלים or the מוסף of שבת — and indeed uncertain whether he had not, in fact, repeated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by mistake. The communal recitation of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 xml:space="preserve"> on Friday night is a structural counter-measure: it shifts the room into the correct mode before the עמידה begins.</w:t>
        <w:br/>
      </w:r>
    </w:p>
    <w:p>
      <w:pPr>
        <w:spacing w:before="360" w:after="80"/>
        <w:pBdr>
          <w:bottom w:val="single" w:sz="6" w:space="2" w:color="b8860b"/>
        </w:pBdr>
      </w:pPr>
      <w:r>
        <w:rPr>
          <w:rFonts w:ascii="Georgia" w:hAnsi="Georgia" w:cs="SBL Hebrew" w:eastAsia="Georgia"/>
          <w:b w:val="0"/>
          <w:i w:val="0"/>
          <w:color w:val="1E3A8A"/>
          <w:sz w:val="26"/>
          <w:smallCaps w:val="1"/>
        </w:rPr>
        <w:t xml:space="preserve">XXI. Extending the Model to יום טוב — </w:t>
      </w:r>
      <w:r>
        <w:rPr>
          <w:rFonts w:ascii="SBL Hebrew" w:hAnsi="SBL Hebrew" w:cs="SBL Hebrew" w:eastAsia="SBL Hebrew"/>
          <w:b w:val="0"/>
          <w:i w:val="0"/>
          <w:color w:val="1E3A8A"/>
          <w:sz w:val="26"/>
          <w:smallCaps w:val="1"/>
        </w:rPr>
        <w:t>דבר משה</w:t>
      </w:r>
      <w:r>
        <w:rPr>
          <w:rFonts w:ascii="Georgia" w:hAnsi="Georgia" w:cs="SBL Hebrew" w:eastAsia="Georgia"/>
          <w:b w:val="0"/>
          <w:i w:val="0"/>
          <w:color w:val="1E3A8A"/>
          <w:sz w:val="26"/>
          <w:smallCaps w:val="1"/>
        </w:rPr>
        <w:t xml:space="preserve"> and </w:t>
      </w:r>
      <w:r>
        <w:rPr>
          <w:rFonts w:ascii="SBL Hebrew" w:hAnsi="SBL Hebrew" w:cs="SBL Hebrew" w:eastAsia="SBL Hebrew"/>
          <w:b w:val="0"/>
          <w:i w:val="0"/>
          <w:color w:val="1E3A8A"/>
          <w:sz w:val="26"/>
          <w:smallCaps w:val="1"/>
        </w:rPr>
        <w:t>תקעו בחודש שופר</w:t>
      </w:r>
    </w:p>
    <w:p>
      <w:pPr>
        <w:spacing w:before="0" w:after="120" w:line="324" w:lineRule="auto"/>
      </w:pPr>
      <w:r>
        <w:rPr>
          <w:rFonts w:ascii="Georgia" w:hAnsi="Georgia" w:cs="SBL Hebrew" w:eastAsia="Georgia"/>
          <w:b w:val="0"/>
          <w:i w:val="0"/>
          <w:color w:val="1A1A1A"/>
          <w:sz w:val="22"/>
        </w:rPr>
        <w:br/>
        <w:t xml:space="preserve">  Some ראשונים discuss why on </w:t>
      </w:r>
      <w:r>
        <w:rPr>
          <w:rFonts w:ascii="SBL Hebrew" w:hAnsi="SBL Hebrew" w:cs="SBL Hebrew" w:eastAsia="SBL Hebrew"/>
          <w:b w:val="0"/>
          <w:i w:val="0"/>
          <w:color w:val="1A1A1A"/>
          <w:sz w:val="22"/>
        </w:rPr>
        <w:t>יום טוב</w:t>
      </w:r>
      <w:r>
        <w:rPr>
          <w:rFonts w:ascii="Georgia" w:hAnsi="Georgia" w:cs="SBL Hebrew" w:eastAsia="Georgia"/>
          <w:b w:val="0"/>
          <w:i w:val="0"/>
          <w:color w:val="1A1A1A"/>
          <w:sz w:val="22"/>
        </w:rPr>
        <w:t xml:space="preserve"> — and especially on </w:t>
      </w:r>
      <w:r>
        <w:rPr>
          <w:rFonts w:ascii="SBL Hebrew" w:hAnsi="SBL Hebrew" w:cs="SBL Hebrew" w:eastAsia="SBL Hebrew"/>
          <w:b w:val="0"/>
          <w:i w:val="0"/>
          <w:color w:val="1A1A1A"/>
          <w:sz w:val="22"/>
        </w:rPr>
        <w:t>ראש השנה</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יום כיפור</w:t>
      </w:r>
      <w:r>
        <w:rPr>
          <w:rFonts w:ascii="Georgia" w:hAnsi="Georgia" w:cs="SBL Hebrew" w:eastAsia="Georgia"/>
          <w:b w:val="0"/>
          <w:i w:val="0"/>
          <w:color w:val="1A1A1A"/>
          <w:sz w:val="22"/>
        </w:rPr>
        <w:t xml:space="preserve"> — we insert additional פסוקים, such as:</w:t>
        <w:br/>
      </w:r>
    </w:p>
    <w:p>
      <w:pPr>
        <w:spacing w:before="120" w:after="120" w:line="312" w:lineRule="auto"/>
        <w:pBdr>
          <w:left w:val="single" w:sz="18" w:space="8" w:color="2c5282"/>
        </w:pBdr>
        <w:shd w:val="clear" w:color="auto" w:fill="eef2fb"/>
        <w:ind w:left="280"/>
      </w:pPr>
      <w:r>
        <w:rPr>
          <w:rFonts w:ascii="SBL Hebrew" w:hAnsi="SBL Hebrew" w:cs="SBL Hebrew" w:eastAsia="SBL Hebrew"/>
          <w:b w:val="0"/>
          <w:i w:val="0"/>
          <w:color w:val="1E3A8A"/>
          <w:sz w:val="22"/>
        </w:rPr>
        <w:t>דַּבֵּר מֹשֶׁה אֶת מֹעֲדֵי ה' אֶל בְּנֵי יִשְׂרָאֵל.</w:t>
      </w:r>
      <w:r>
        <w:rPr>
          <w:rFonts w:ascii="Georgia" w:hAnsi="Georgia" w:cs="SBL Hebrew" w:eastAsia="Georgia"/>
          <w:color w:val="B8860B"/>
          <w:sz w:val="16"/>
          <w:vertAlign w:val="superscript"/>
        </w:rPr>
        <w:t>[20]</w:t>
      </w:r>
    </w:p>
    <w:p>
      <w:pPr>
        <w:spacing w:before="0" w:after="120" w:line="324" w:lineRule="auto"/>
      </w:pPr>
      <w:r>
        <w:rPr>
          <w:rFonts w:ascii="Georgia" w:hAnsi="Georgia" w:cs="SBL Hebrew" w:eastAsia="Georgia"/>
          <w:b w:val="0"/>
          <w:i w:val="0"/>
          <w:color w:val="1A1A1A"/>
          <w:sz w:val="22"/>
        </w:rPr>
        <w:t>And on Rosh HaShanah:</w:t>
      </w:r>
    </w:p>
    <w:p>
      <w:pPr>
        <w:spacing w:before="120" w:after="120" w:line="312" w:lineRule="auto"/>
        <w:pBdr>
          <w:left w:val="single" w:sz="18" w:space="8" w:color="2c5282"/>
        </w:pBdr>
        <w:shd w:val="clear" w:color="auto" w:fill="eef2fb"/>
        <w:ind w:left="280"/>
      </w:pPr>
      <w:r>
        <w:rPr>
          <w:rFonts w:ascii="SBL Hebrew" w:hAnsi="SBL Hebrew" w:cs="SBL Hebrew" w:eastAsia="SBL Hebrew"/>
          <w:b w:val="0"/>
          <w:i w:val="0"/>
          <w:color w:val="1E3A8A"/>
          <w:sz w:val="22"/>
        </w:rPr>
        <w:t>תִּקְעוּ בַחֹדֶשׁ שׁוֹפָר בַּכֵּסֶה לְיוֹם חַגֵּנוּ.</w:t>
      </w:r>
      <w:r>
        <w:rPr>
          <w:rFonts w:ascii="Georgia" w:hAnsi="Georgia" w:cs="SBL Hebrew" w:eastAsia="Georgia"/>
          <w:color w:val="B8860B"/>
          <w:sz w:val="16"/>
          <w:vertAlign w:val="superscript"/>
        </w:rPr>
        <w:t>[21]</w:t>
      </w:r>
    </w:p>
    <w:p>
      <w:pPr>
        <w:spacing w:before="0" w:after="120" w:line="324" w:lineRule="auto"/>
      </w:pPr>
      <w:r>
        <w:rPr>
          <w:rFonts w:ascii="Georgia" w:hAnsi="Georgia" w:cs="SBL Hebrew" w:eastAsia="Georgia"/>
          <w:b w:val="0"/>
          <w:i w:val="0"/>
          <w:color w:val="1A1A1A"/>
          <w:sz w:val="22"/>
        </w:rPr>
        <w:br/>
        <w:t xml:space="preserve">  If the Tur's "Shabbos is שמירה" logic is unique to Shabbos, why do we do similar mode-shifting inserts on Yom Tov? Some ראשונים actually </w:t>
      </w:r>
      <w:r>
        <w:rPr>
          <w:rFonts w:ascii="Georgia" w:hAnsi="Georgia" w:cs="SBL Hebrew" w:eastAsia="Georgia"/>
          <w:b w:val="0"/>
          <w:i/>
          <w:color w:val="1A1A1A"/>
          <w:sz w:val="22"/>
        </w:rPr>
        <w:t>do</w:t>
      </w:r>
      <w:r>
        <w:rPr>
          <w:rFonts w:ascii="Georgia" w:hAnsi="Georgia" w:cs="SBL Hebrew" w:eastAsia="Georgia"/>
          <w:b w:val="0"/>
          <w:i w:val="0"/>
          <w:color w:val="1A1A1A"/>
          <w:sz w:val="22"/>
        </w:rPr>
        <w:t xml:space="preserve"> say one should not say these on Yom Tov — Rabbi Ephrati flagged this as a minority view but a real one. The widespread מנהג, however, is to say them, and the operative explanation is the second of the two above: the tzibbur needs a structural reminder of what night it is. The insertion functions like a communal announcement: </w:t>
      </w:r>
      <w:r>
        <w:rPr>
          <w:rFonts w:ascii="Georgia" w:hAnsi="Georgia" w:cs="SBL Hebrew" w:eastAsia="Georgia"/>
          <w:b w:val="0"/>
          <w:i/>
          <w:color w:val="1A1A1A"/>
          <w:sz w:val="22"/>
        </w:rPr>
        <w:t>tonight's שמונה עשרה is שלוש רגלים / ראש השנה / יום כיפור — not Shabbos, not weekday</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לבוש</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adds a further framing: all </w:t>
      </w:r>
      <w:r>
        <w:rPr>
          <w:rFonts w:ascii="SBL Hebrew" w:hAnsi="SBL Hebrew" w:cs="SBL Hebrew" w:eastAsia="SBL Hebrew"/>
          <w:b w:val="0"/>
          <w:i w:val="0"/>
          <w:color w:val="1A1A1A"/>
          <w:sz w:val="22"/>
        </w:rPr>
        <w:t>ימים טובים</w:t>
      </w:r>
      <w:r>
        <w:rPr>
          <w:rFonts w:ascii="Georgia" w:hAnsi="Georgia" w:cs="SBL Hebrew" w:eastAsia="Georgia"/>
          <w:b w:val="0"/>
          <w:i w:val="0"/>
          <w:color w:val="1A1A1A"/>
          <w:sz w:val="22"/>
        </w:rPr>
        <w:t xml:space="preserve"> are </w:t>
      </w:r>
      <w:r>
        <w:rPr>
          <w:rFonts w:ascii="SBL Hebrew" w:hAnsi="SBL Hebrew" w:cs="SBL Hebrew" w:eastAsia="SBL Hebrew"/>
          <w:b w:val="0"/>
          <w:i w:val="0"/>
          <w:color w:val="1A1A1A"/>
          <w:sz w:val="22"/>
        </w:rPr>
        <w:t>זכר ליציאת מצרים</w:t>
      </w:r>
      <w:r>
        <w:rPr>
          <w:rFonts w:ascii="Georgia" w:hAnsi="Georgia" w:cs="SBL Hebrew" w:eastAsia="Georgia"/>
          <w:b w:val="0"/>
          <w:i w:val="0"/>
          <w:color w:val="1A1A1A"/>
          <w:sz w:val="22"/>
        </w:rPr>
        <w:t xml:space="preserve">. On that reading these פסוקים can also be understood as a continuation of the redemption theme — a kind of </w:t>
      </w:r>
      <w:r>
        <w:rPr>
          <w:rFonts w:ascii="SBL Hebrew" w:hAnsi="SBL Hebrew" w:cs="SBL Hebrew" w:eastAsia="SBL Hebrew"/>
          <w:b w:val="0"/>
          <w:i w:val="0"/>
          <w:color w:val="1A1A1A"/>
          <w:sz w:val="22"/>
        </w:rPr>
        <w:t>גאולה אריכתא</w:t>
      </w:r>
      <w:r>
        <w:rPr>
          <w:rFonts w:ascii="Georgia" w:hAnsi="Georgia" w:cs="SBL Hebrew" w:eastAsia="Georgia"/>
          <w:b w:val="0"/>
          <w:i w:val="0"/>
          <w:color w:val="1A1A1A"/>
          <w:sz w:val="22"/>
        </w:rPr>
        <w:t xml:space="preserve"> on the יום טוב level, parallel to השכיבנו on the weekday level, rather than as a disruptive interruption. The same conceptual move that defends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as גאולה-continuation lets the Yom Tov inserts pass as well: the theme is one, the insertion is its extension.</w:t>
        <w:br/>
      </w:r>
    </w:p>
    <w:p>
      <w:pPr>
        <w:spacing w:before="360" w:after="80"/>
        <w:pBdr>
          <w:bottom w:val="single" w:sz="6" w:space="2" w:color="b8860b"/>
        </w:pBdr>
      </w:pPr>
      <w:r>
        <w:rPr>
          <w:rFonts w:ascii="Georgia" w:hAnsi="Georgia" w:cs="SBL Hebrew" w:eastAsia="Georgia"/>
          <w:b w:val="0"/>
          <w:i w:val="0"/>
          <w:color w:val="1E3A8A"/>
          <w:sz w:val="26"/>
          <w:smallCaps w:val="1"/>
        </w:rPr>
        <w:t xml:space="preserve">XXII. A Historical חידוש — </w:t>
      </w:r>
      <w:r>
        <w:rPr>
          <w:rFonts w:ascii="SBL Hebrew" w:hAnsi="SBL Hebrew" w:cs="SBL Hebrew" w:eastAsia="SBL Hebrew"/>
          <w:b w:val="0"/>
          <w:i w:val="0"/>
          <w:color w:val="1E3A8A"/>
          <w:sz w:val="26"/>
          <w:smallCaps w:val="1"/>
        </w:rPr>
        <w:t>ושמרו</w:t>
      </w:r>
      <w:r>
        <w:rPr>
          <w:rFonts w:ascii="Georgia" w:hAnsi="Georgia" w:cs="SBL Hebrew" w:eastAsia="Georgia"/>
          <w:b w:val="0"/>
          <w:i w:val="0"/>
          <w:color w:val="1E3A8A"/>
          <w:sz w:val="26"/>
          <w:smallCaps w:val="1"/>
        </w:rPr>
        <w:t xml:space="preserve"> as </w:t>
      </w:r>
      <w:r>
        <w:rPr>
          <w:rFonts w:ascii="SBL Hebrew" w:hAnsi="SBL Hebrew" w:cs="SBL Hebrew" w:eastAsia="SBL Hebrew"/>
          <w:b w:val="0"/>
          <w:i w:val="0"/>
          <w:color w:val="1E3A8A"/>
          <w:sz w:val="26"/>
          <w:smallCaps w:val="1"/>
        </w:rPr>
        <w:t>קבלת שבת</w:t>
      </w:r>
    </w:p>
    <w:p>
      <w:pPr>
        <w:spacing w:before="0" w:after="120" w:line="324" w:lineRule="auto"/>
      </w:pPr>
      <w:r>
        <w:rPr>
          <w:rFonts w:ascii="Georgia" w:hAnsi="Georgia" w:cs="SBL Hebrew" w:eastAsia="Georgia"/>
          <w:b w:val="0"/>
          <w:i w:val="0"/>
          <w:color w:val="1A1A1A"/>
          <w:sz w:val="22"/>
        </w:rPr>
        <w:br/>
        <w:t xml:space="preserve">  A remarkable point appears in the writings of </w:t>
      </w:r>
      <w:r>
        <w:rPr>
          <w:rFonts w:ascii="Georgia" w:hAnsi="Georgia" w:cs="SBL Hebrew" w:eastAsia="Georgia"/>
          <w:b/>
          <w:i w:val="0"/>
          <w:color w:val="1A1A1A"/>
          <w:sz w:val="22"/>
        </w:rPr>
        <w:t>ר' שלמה מוורמייזא</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 Rabbi Shlomo of Worms, the major contemporary of רש״י (the שיעור noted that Rashi eclipsed him in lasting fame, but Rabbi Shlomo was the central rabbinic figure of his moment in Germany, civilly recognized in his role by the imperial authorities). He authored a siddur — </w:t>
      </w:r>
      <w:r>
        <w:rPr>
          <w:rFonts w:ascii="Georgia" w:hAnsi="Georgia" w:cs="SBL Hebrew" w:eastAsia="Georgia"/>
          <w:b w:val="0"/>
          <w:i/>
          <w:color w:val="1A1A1A"/>
          <w:sz w:val="22"/>
        </w:rPr>
        <w:t>סידור ר' שלמה מוורמייזא</w:t>
      </w:r>
      <w:r>
        <w:rPr>
          <w:rFonts w:ascii="Georgia" w:hAnsi="Georgia" w:cs="SBL Hebrew" w:eastAsia="Georgia"/>
          <w:b w:val="0"/>
          <w:i w:val="0"/>
          <w:color w:val="1A1A1A"/>
          <w:sz w:val="22"/>
        </w:rPr>
        <w:t xml:space="preserve"> — and in it he writes something the שיעור flagged as taking a moment to fully </w:t>
      </w:r>
      <w:r>
        <w:rPr>
          <w:rFonts w:ascii="SBL Hebrew" w:hAnsi="SBL Hebrew" w:cs="SBL Hebrew" w:eastAsia="SBL Hebrew"/>
          <w:b w:val="0"/>
          <w:i w:val="0"/>
          <w:color w:val="1A1A1A"/>
          <w:sz w:val="22"/>
        </w:rPr>
        <w:t>חאפן</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 xml:space="preserve">at the moment the tzibbur says </w:t>
      </w:r>
      <w:r>
        <w:rPr>
          <w:rFonts w:ascii="SBL Hebrew" w:hAnsi="SBL Hebrew" w:cs="SBL Hebrew" w:eastAsia="SBL Hebrew"/>
          <w:b/>
          <w:i w:val="0"/>
          <w:color w:val="1A1A1A"/>
          <w:sz w:val="22"/>
        </w:rPr>
        <w:t>ושמרו</w:t>
      </w:r>
      <w:r>
        <w:rPr>
          <w:rFonts w:ascii="Georgia" w:hAnsi="Georgia" w:cs="SBL Hebrew" w:eastAsia="Georgia"/>
          <w:b/>
          <w:i w:val="0"/>
          <w:color w:val="1A1A1A"/>
          <w:sz w:val="22"/>
        </w:rPr>
        <w:t>, that itself was their קבלת שבת</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In earlier centuries the kehillot did not have the full structure of Kabbalas Shabbos that we know today — the </w:t>
      </w:r>
      <w:r>
        <w:rPr>
          <w:rFonts w:ascii="SBL Hebrew" w:hAnsi="SBL Hebrew" w:cs="SBL Hebrew" w:eastAsia="SBL Hebrew"/>
          <w:b w:val="0"/>
          <w:i w:val="0"/>
          <w:color w:val="1A1A1A"/>
          <w:sz w:val="22"/>
        </w:rPr>
        <w:t>לכה דודי</w:t>
      </w:r>
      <w:r>
        <w:rPr>
          <w:rFonts w:ascii="Georgia" w:hAnsi="Georgia" w:cs="SBL Hebrew" w:eastAsia="Georgia"/>
          <w:b w:val="0"/>
          <w:i w:val="0"/>
          <w:color w:val="1A1A1A"/>
          <w:sz w:val="22"/>
        </w:rPr>
        <w:t xml:space="preserve"> arrangement of the Tzfas </w:t>
      </w:r>
      <w:r>
        <w:rPr>
          <w:rFonts w:ascii="SBL Hebrew" w:hAnsi="SBL Hebrew" w:cs="SBL Hebrew" w:eastAsia="SBL Hebrew"/>
          <w:b w:val="0"/>
          <w:i w:val="0"/>
          <w:color w:val="1A1A1A"/>
          <w:sz w:val="22"/>
        </w:rPr>
        <w:t>מקובלים</w:t>
      </w:r>
      <w:r>
        <w:rPr>
          <w:rFonts w:ascii="Georgia" w:hAnsi="Georgia" w:cs="SBL Hebrew" w:eastAsia="Georgia"/>
          <w:b w:val="0"/>
          <w:i w:val="0"/>
          <w:color w:val="1A1A1A"/>
          <w:sz w:val="22"/>
        </w:rPr>
        <w:t xml:space="preserve"> in the sixteenth century, the surrounding mizmorim, the formal opening of </w:t>
      </w:r>
      <w:r>
        <w:rPr>
          <w:rFonts w:ascii="SBL Hebrew" w:hAnsi="SBL Hebrew" w:cs="SBL Hebrew" w:eastAsia="SBL Hebrew"/>
          <w:b w:val="0"/>
          <w:i w:val="0"/>
          <w:color w:val="1A1A1A"/>
          <w:sz w:val="22"/>
        </w:rPr>
        <w:t>לכו נרננה</w:t>
      </w:r>
      <w:r>
        <w:rPr>
          <w:rFonts w:ascii="Georgia" w:hAnsi="Georgia" w:cs="SBL Hebrew" w:eastAsia="Georgia"/>
          <w:b w:val="0"/>
          <w:i w:val="0"/>
          <w:color w:val="1A1A1A"/>
          <w:sz w:val="22"/>
        </w:rPr>
        <w:t xml:space="preserve"> — none of that yet existed in the era of the early ראשונים, a thousand years ago. So how did a weekday מעריב in the shul of Rabbi Shlomo of Worms become a Shabbos מעריב? The kehillah would gather. There may have been a learning seder or a דרשה. They would begin to daven מעריב. Then the tzibbur rose together and said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 collective declaration </w:t>
      </w:r>
      <w:r>
        <w:rPr>
          <w:rFonts w:ascii="Georgia" w:hAnsi="Georgia" w:cs="SBL Hebrew" w:eastAsia="Georgia"/>
          <w:b w:val="0"/>
          <w:i/>
          <w:color w:val="1A1A1A"/>
          <w:sz w:val="22"/>
        </w:rPr>
        <w:t>made it Shabbos in the synagogue</w:t>
      </w:r>
      <w:r>
        <w:rPr>
          <w:rFonts w:ascii="Georgia" w:hAnsi="Georgia" w:cs="SBL Hebrew" w:eastAsia="Georgia"/>
          <w:b w:val="0"/>
          <w:i w:val="0"/>
          <w:color w:val="1A1A1A"/>
          <w:sz w:val="22"/>
        </w:rPr>
        <w:t xml:space="preserve">. The kehillah's recitation of </w:t>
      </w:r>
      <w:r>
        <w:rPr>
          <w:rFonts w:ascii="SBL Hebrew" w:hAnsi="SBL Hebrew" w:cs="SBL Hebrew" w:eastAsia="SBL Hebrew"/>
          <w:b w:val="0"/>
          <w:i w:val="0"/>
          <w:color w:val="1A1A1A"/>
          <w:sz w:val="22"/>
        </w:rPr>
        <w:t>ושמרו בני ישראל את השבת</w:t>
      </w:r>
      <w:r>
        <w:rPr>
          <w:rFonts w:ascii="Georgia" w:hAnsi="Georgia" w:cs="SBL Hebrew" w:eastAsia="Georgia"/>
          <w:b w:val="0"/>
          <w:i w:val="0"/>
          <w:color w:val="1A1A1A"/>
          <w:sz w:val="22"/>
        </w:rPr>
        <w:t xml:space="preserve">, said as one voice, was the ציבור's act of accepting Shabbos. From that moment forward they entered the Shabbos שמונה עשרה. The recitation was not only a reminder; it was a ציבור act of identity — the formal communal statement that we are stepping into Shabbos consciousness together. The later Kabbalas Shabbos structure built around it; the older core, on Rabbi Shlomo's frame, was the recitation of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 xml:space="preserve"> itself.</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small frame</w:t>
            </w:r>
          </w:p>
          <w:p>
            <w:pPr>
              <w:spacing w:before="0" w:after="80" w:line="312" w:lineRule="auto"/>
            </w:pPr>
            <w:r>
              <w:rPr>
                <w:rFonts w:ascii="Georgia" w:hAnsi="Georgia" w:cs="SBL Hebrew" w:eastAsia="Georgia"/>
                <w:color w:val="3B3B3B"/>
                <w:sz w:val="21"/>
              </w:rPr>
              <w:br/>
              <w:t xml:space="preserve">This is exactly the kind of historical chiddush that recasts the meaning of what we are saying. Most of us recite </w:t>
            </w:r>
            <w:r>
              <w:rPr>
                <w:rFonts w:ascii="Georgia" w:hAnsi="Georgia" w:cs="SBL Hebrew" w:eastAsia="Georgia"/>
                <w:b w:val="0"/>
                <w:i w:val="0"/>
                <w:color w:val="3B3B3B"/>
                <w:sz w:val="21"/>
              </w:rPr>
              <w:t>ושמרו</w:t>
            </w:r>
            <w:r>
              <w:rPr>
                <w:rFonts w:ascii="Georgia" w:hAnsi="Georgia" w:cs="SBL Hebrew" w:eastAsia="Georgia"/>
                <w:color w:val="3B3B3B"/>
                <w:sz w:val="21"/>
              </w:rPr>
              <w:t xml:space="preserve"> at Friday-night מעריב as a kind of liturgical filler — beautiful, but functionally a transition piece. On Rabbi Shlomo of Worms's framing, the recitation is </w:t>
            </w:r>
            <w:r>
              <w:rPr>
                <w:rFonts w:ascii="Georgia" w:hAnsi="Georgia" w:cs="SBL Hebrew" w:eastAsia="Georgia"/>
                <w:b w:val="0"/>
                <w:i w:val="0"/>
                <w:color w:val="3B3B3B"/>
                <w:sz w:val="21"/>
              </w:rPr>
              <w:t>the historical kabbalas Shabbos itself</w:t>
            </w:r>
            <w:r>
              <w:rPr>
                <w:rFonts w:ascii="Georgia" w:hAnsi="Georgia" w:cs="SBL Hebrew" w:eastAsia="Georgia"/>
                <w:color w:val="3B3B3B"/>
                <w:sz w:val="21"/>
              </w:rPr>
              <w:t>. The hands of a thousand years of subsequent practice — לכה דודי, מזמור שיר ליום השבת, the whole Tzfas-inflected service of Kabbalas Shabbos — have been built on top of an older core that was, originally, exactly this one moment in the davening. The transition piece is the original mountain.</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XXIII. The Thread Through All the Sugyos</w:t>
      </w:r>
    </w:p>
    <w:p>
      <w:pPr>
        <w:spacing w:before="0" w:after="120" w:line="324" w:lineRule="auto"/>
      </w:pPr>
      <w:r>
        <w:rPr>
          <w:rFonts w:ascii="Georgia" w:hAnsi="Georgia" w:cs="SBL Hebrew" w:eastAsia="Georgia"/>
          <w:b w:val="0"/>
          <w:i w:val="0"/>
          <w:color w:val="1A1A1A"/>
          <w:sz w:val="22"/>
        </w:rPr>
        <w:br/>
        <w:t xml:space="preserve">  The arc of the שיעור runs through three apparently separate questions —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קדיש דמעריב, ושמרו — and lands on a single point. The structural sensitivity of </w:t>
      </w:r>
      <w:r>
        <w:rPr>
          <w:rFonts w:ascii="SBL Hebrew" w:hAnsi="SBL Hebrew" w:cs="SBL Hebrew" w:eastAsia="SBL Hebrew"/>
          <w:b w:val="0"/>
          <w:i w:val="0"/>
          <w:color w:val="1A1A1A"/>
          <w:sz w:val="22"/>
        </w:rPr>
        <w:t>סמיכת גאולה לתפילה</w:t>
      </w:r>
      <w:r>
        <w:rPr>
          <w:rFonts w:ascii="Georgia" w:hAnsi="Georgia" w:cs="SBL Hebrew" w:eastAsia="Georgia"/>
          <w:b w:val="0"/>
          <w:i w:val="0"/>
          <w:color w:val="1A1A1A"/>
          <w:sz w:val="22"/>
        </w:rPr>
        <w:t xml:space="preserve"> rules each of them; the question in every case is whether the insertion is a הפסק at the seam or a thematic extension of גאולה. The Rambam, the Raavad, the Geonim, Rabbi Shlomo of Worms, the Tur, the Lvush, the אבודרהם — each in their place — answer the same structural question differently, and each answer carries a different shape of </w:t>
      </w:r>
      <w:r>
        <w:rPr>
          <w:rFonts w:ascii="SBL Hebrew" w:hAnsi="SBL Hebrew" w:cs="SBL Hebrew" w:eastAsia="SBL Hebrew"/>
          <w:b w:val="0"/>
          <w:i w:val="0"/>
          <w:color w:val="1A1A1A"/>
          <w:sz w:val="22"/>
        </w:rPr>
        <w:t>עבודת ה'</w:t>
      </w:r>
      <w:r>
        <w:rPr>
          <w:rFonts w:ascii="Georgia" w:hAnsi="Georgia" w:cs="SBL Hebrew" w:eastAsia="Georgia"/>
          <w:b w:val="0"/>
          <w:i w:val="0"/>
          <w:color w:val="1A1A1A"/>
          <w:sz w:val="22"/>
        </w:rPr>
        <w:t xml:space="preserve"> with it.</w:t>
        <w:br/>
      </w:r>
    </w:p>
    <w:p>
      <w:pPr>
        <w:spacing w:before="0" w:after="120" w:line="324" w:lineRule="auto"/>
      </w:pPr>
      <w:r>
        <w:rPr>
          <w:rFonts w:ascii="Georgia" w:hAnsi="Georgia" w:cs="SBL Hebrew" w:eastAsia="Georgia"/>
          <w:b w:val="0"/>
          <w:i w:val="0"/>
          <w:color w:val="1A1A1A"/>
          <w:sz w:val="22"/>
        </w:rPr>
        <w:br/>
        <w:t xml:space="preserve">  And underneath the structural answers runs a hashkafic thread that the שיעור made explicit in its closing minutes. The danger of גלות is not only pain; it is numbness. קדיש and these carefully placed communal recitations — the eighteen invocations of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the announcement of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 xml:space="preserve">, the longing-language of </w:t>
      </w:r>
      <w:r>
        <w:rPr>
          <w:rFonts w:ascii="SBL Hebrew" w:hAnsi="SBL Hebrew" w:cs="SBL Hebrew" w:eastAsia="SBL Hebrew"/>
          <w:b w:val="0"/>
          <w:i w:val="0"/>
          <w:color w:val="1A1A1A"/>
          <w:sz w:val="22"/>
        </w:rPr>
        <w:t>יתגדל ויתקדש שמיה רבה</w:t>
      </w:r>
      <w:r>
        <w:rPr>
          <w:rFonts w:ascii="Georgia" w:hAnsi="Georgia" w:cs="SBL Hebrew" w:eastAsia="Georgia"/>
          <w:b w:val="0"/>
          <w:i w:val="0"/>
          <w:color w:val="1A1A1A"/>
          <w:sz w:val="22"/>
        </w:rPr>
        <w:t xml:space="preserve"> — are designed to keep the Jew awake. Awake to גאולה, awake to what is missing in the world right now, awake to who he is and where he is meant to be going. The architecture of מעריב is the architecture of staying awake at night in גלות.</w:t>
        <w:br/>
      </w:r>
    </w:p>
    <w:p>
      <w:pPr>
        <w:spacing w:before="0" w:after="120" w:line="324" w:lineRule="auto"/>
      </w:pPr>
      <w:r>
        <w:rPr>
          <w:rFonts w:ascii="Georgia" w:hAnsi="Georgia" w:cs="SBL Hebrew" w:eastAsia="Georgia"/>
          <w:b w:val="0"/>
          <w:i w:val="0"/>
          <w:color w:val="1A1A1A"/>
          <w:sz w:val="22"/>
        </w:rPr>
        <w:br/>
        <w:t xml:space="preserve">  May we be </w:t>
      </w:r>
      <w:r>
        <w:rPr>
          <w:rFonts w:ascii="SBL Hebrew" w:hAnsi="SBL Hebrew" w:cs="SBL Hebrew" w:eastAsia="SBL Hebrew"/>
          <w:b w:val="0"/>
          <w:i w:val="0"/>
          <w:color w:val="1A1A1A"/>
          <w:sz w:val="22"/>
        </w:rPr>
        <w:t>זוכה</w:t>
      </w:r>
      <w:r>
        <w:rPr>
          <w:rFonts w:ascii="Georgia" w:hAnsi="Georgia" w:cs="SBL Hebrew" w:eastAsia="Georgia"/>
          <w:b w:val="0"/>
          <w:i w:val="0"/>
          <w:color w:val="1A1A1A"/>
          <w:sz w:val="22"/>
        </w:rPr>
        <w:t xml:space="preserve"> to serve הקדוש ברוך הוא </w:t>
      </w:r>
      <w:r>
        <w:rPr>
          <w:rFonts w:ascii="SBL Hebrew" w:hAnsi="SBL Hebrew" w:cs="SBL Hebrew" w:eastAsia="SBL Hebrew"/>
          <w:b w:val="0"/>
          <w:i w:val="0"/>
          <w:color w:val="1A1A1A"/>
          <w:sz w:val="22"/>
        </w:rPr>
        <w:t>מתוך שמחה</w:t>
      </w:r>
      <w:r>
        <w:rPr>
          <w:rFonts w:ascii="Georgia" w:hAnsi="Georgia" w:cs="SBL Hebrew" w:eastAsia="Georgia"/>
          <w:b w:val="0"/>
          <w:i w:val="0"/>
          <w:color w:val="1A1A1A"/>
          <w:sz w:val="22"/>
        </w:rPr>
        <w:t>, and to live with a real sense of longing for the complete גאולה — for the day when the gap the soldier at the כותל wept for is finally closed.</w:t>
        <w:br/>
      </w:r>
    </w:p>
    <w:p>
      <w:pPr>
        <w:spacing w:before="200" w:after="200"/>
        <w:pBdr>
          <w:bottom w:val="single" w:sz="8" w:space="1" w:color="c9a227"/>
        </w:pBdr>
      </w:pPr>
    </w:p>
    <w:p>
      <w:pPr>
        <w:spacing w:before="0" w:after="120" w:line="324" w:lineRule="auto"/>
      </w:pPr>
      <w:r>
        <w:rPr>
          <w:rFonts w:ascii="Georgia" w:hAnsi="Georgia" w:cs="SBL Hebrew" w:eastAsia="Georgia"/>
          <w:b w:val="0"/>
          <w:i w:val="0"/>
          <w:color w:val="1A1A1A"/>
          <w:sz w:val="22"/>
        </w:rPr>
        <w:br/>
        <w:t xml:space="preserve">  The arc of the שיעור in three movements: </w:t>
      </w:r>
      <w:r>
        <w:rPr>
          <w:rFonts w:ascii="Georgia" w:hAnsi="Georgia" w:cs="SBL Hebrew" w:eastAsia="Georgia"/>
          <w:b w:val="0"/>
          <w:i/>
          <w:color w:val="1A1A1A"/>
          <w:sz w:val="22"/>
        </w:rPr>
        <w:t>(i)</w:t>
      </w:r>
      <w:r>
        <w:rPr>
          <w:rFonts w:ascii="Georgia" w:hAnsi="Georgia" w:cs="SBL Hebrew" w:eastAsia="Georgia"/>
          <w:b w:val="0"/>
          <w:i w:val="0"/>
          <w:color w:val="1A1A1A"/>
          <w:sz w:val="22"/>
        </w:rPr>
        <w:t xml:space="preserve"> seven distinct reasons for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after השכיבנו — from Rav Natronai Gaon's rishus-substitute to the Abudraham's gezeira-substitute to the Geonim's latecomer-accommodation to Rashi's inner-readiness reason — held together by the principle that </w:t>
      </w:r>
      <w:r>
        <w:rPr>
          <w:rFonts w:ascii="Georgia" w:hAnsi="Georgia" w:cs="SBL Hebrew" w:eastAsia="Georgia"/>
          <w:b w:val="0"/>
          <w:i/>
          <w:color w:val="1A1A1A"/>
          <w:sz w:val="22"/>
        </w:rPr>
        <w:t>תקנה במקומה עומדת</w:t>
      </w:r>
      <w:r>
        <w:rPr>
          <w:rFonts w:ascii="Georgia" w:hAnsi="Georgia" w:cs="SBL Hebrew" w:eastAsia="Georgia"/>
          <w:b w:val="0"/>
          <w:i w:val="0"/>
          <w:color w:val="1A1A1A"/>
          <w:sz w:val="22"/>
        </w:rPr>
        <w:t xml:space="preserve">, while the Ramban, the Gra, and the Alter Rebbe all hold that even with all the reasons, the unit remains a הפסק. </w:t>
      </w:r>
      <w:r>
        <w:rPr>
          <w:rFonts w:ascii="Georgia" w:hAnsi="Georgia" w:cs="SBL Hebrew" w:eastAsia="Georgia"/>
          <w:b w:val="0"/>
          <w:i/>
          <w:color w:val="1A1A1A"/>
          <w:sz w:val="22"/>
        </w:rPr>
        <w:t>(ii)</w:t>
      </w:r>
      <w:r>
        <w:rPr>
          <w:rFonts w:ascii="Georgia" w:hAnsi="Georgia" w:cs="SBL Hebrew" w:eastAsia="Georgia"/>
          <w:b w:val="0"/>
          <w:i w:val="0"/>
          <w:color w:val="1A1A1A"/>
          <w:sz w:val="22"/>
        </w:rPr>
        <w:t xml:space="preserve"> The Rambam-vs.-Raavad machloikes over the קדיש of מעריב — קדיש as </w:t>
      </w:r>
      <w:r>
        <w:rPr>
          <w:rFonts w:ascii="SBL Hebrew" w:hAnsi="SBL Hebrew" w:cs="SBL Hebrew" w:eastAsia="SBL Hebrew"/>
          <w:b w:val="0"/>
          <w:i w:val="0"/>
          <w:color w:val="1A1A1A"/>
          <w:sz w:val="22"/>
        </w:rPr>
        <w:t>הכנה</w:t>
      </w:r>
      <w:r>
        <w:rPr>
          <w:rFonts w:ascii="Georgia" w:hAnsi="Georgia" w:cs="SBL Hebrew" w:eastAsia="Georgia"/>
          <w:b w:val="0"/>
          <w:i w:val="0"/>
          <w:color w:val="1A1A1A"/>
          <w:sz w:val="22"/>
        </w:rPr>
        <w:t xml:space="preserve"> to שמונה עשרה (Rambam) or קדיש as </w:t>
      </w:r>
      <w:r>
        <w:rPr>
          <w:rFonts w:ascii="SBL Hebrew" w:hAnsi="SBL Hebrew" w:cs="SBL Hebrew" w:eastAsia="SBL Hebrew"/>
          <w:b w:val="0"/>
          <w:i w:val="0"/>
          <w:color w:val="1A1A1A"/>
          <w:sz w:val="22"/>
        </w:rPr>
        <w:t>סיום</w:t>
      </w:r>
      <w:r>
        <w:rPr>
          <w:rFonts w:ascii="Georgia" w:hAnsi="Georgia" w:cs="SBL Hebrew" w:eastAsia="Georgia"/>
          <w:b w:val="0"/>
          <w:i w:val="0"/>
          <w:color w:val="1A1A1A"/>
          <w:sz w:val="22"/>
        </w:rPr>
        <w:t xml:space="preserve"> to an older core unit (Raavad) — placed against the hashkafic frame of גאולה in גלות and the story of the soldiers at the כותל. </w:t>
      </w:r>
      <w:r>
        <w:rPr>
          <w:rFonts w:ascii="Georgia" w:hAnsi="Georgia" w:cs="SBL Hebrew" w:eastAsia="Georgia"/>
          <w:b w:val="0"/>
          <w:i/>
          <w:color w:val="1A1A1A"/>
          <w:sz w:val="22"/>
        </w:rPr>
        <w:t>(iii)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 xml:space="preserve"> on Friday night: the Tur's "שבת is the שמירה," the parallel Yom Tov inserts, and the historical chiddush of </w:t>
      </w:r>
      <w:r>
        <w:rPr>
          <w:rFonts w:ascii="Georgia" w:hAnsi="Georgia" w:cs="SBL Hebrew" w:eastAsia="Georgia"/>
          <w:b w:val="0"/>
          <w:i/>
          <w:color w:val="1A1A1A"/>
          <w:sz w:val="22"/>
        </w:rPr>
        <w:t>סידור ר' שלמה מוורמייזא</w:t>
      </w:r>
      <w:r>
        <w:rPr>
          <w:rFonts w:ascii="Georgia" w:hAnsi="Georgia" w:cs="SBL Hebrew" w:eastAsia="Georgia"/>
          <w:b w:val="0"/>
          <w:i w:val="0"/>
          <w:color w:val="1A1A1A"/>
          <w:sz w:val="22"/>
        </w:rPr>
        <w:t xml:space="preserve"> that the recitation of </w:t>
      </w:r>
      <w:r>
        <w:rPr>
          <w:rFonts w:ascii="SBL Hebrew" w:hAnsi="SBL Hebrew" w:cs="SBL Hebrew" w:eastAsia="SBL Hebrew"/>
          <w:b w:val="0"/>
          <w:i w:val="0"/>
          <w:color w:val="1A1A1A"/>
          <w:sz w:val="22"/>
        </w:rPr>
        <w:t>ושמרו</w:t>
      </w:r>
      <w:r>
        <w:rPr>
          <w:rFonts w:ascii="Georgia" w:hAnsi="Georgia" w:cs="SBL Hebrew" w:eastAsia="Georgia"/>
          <w:b w:val="0"/>
          <w:i w:val="0"/>
          <w:color w:val="1A1A1A"/>
          <w:sz w:val="22"/>
        </w:rPr>
        <w:t xml:space="preserve"> itself was, in its earliest layer, the kehillah's act of </w:t>
      </w:r>
      <w:r>
        <w:rPr>
          <w:rFonts w:ascii="SBL Hebrew" w:hAnsi="SBL Hebrew" w:cs="SBL Hebrew" w:eastAsia="SBL Hebrew"/>
          <w:b w:val="0"/>
          <w:i w:val="0"/>
          <w:color w:val="1A1A1A"/>
          <w:sz w:val="22"/>
        </w:rPr>
        <w:t>קבלת שבת</w:t>
      </w:r>
      <w:r>
        <w:rPr>
          <w:rFonts w:ascii="Georgia" w:hAnsi="Georgia" w:cs="SBL Hebrew" w:eastAsia="Georgia"/>
          <w:b w:val="0"/>
          <w:i w:val="0"/>
          <w:color w:val="1A1A1A"/>
          <w:sz w:val="22"/>
        </w:rPr>
        <w:t>.</w:t>
        <w:br/>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color w:val="1A1A1A"/>
          <w:sz w:val="21"/>
        </w:rPr>
        <w:t>ברכות ד׳ ע״ב</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כל הסומך גאולה לתפילה אינו ניזוק כל היום כולו</w:t>
      </w:r>
      <w:r>
        <w:rPr>
          <w:rFonts w:ascii="Georgia" w:hAnsi="Georgia" w:cs="SBL Hebrew" w:eastAsia="Georgia"/>
          <w:b w:val="0"/>
          <w:i w:val="0"/>
          <w:color w:val="1A1A1A"/>
          <w:sz w:val="21"/>
        </w:rPr>
        <w:t>.</w:t>
      </w:r>
      <w:r>
        <w:rPr>
          <w:rFonts w:ascii="Georgia" w:hAnsi="Georgia" w:cs="SBL Hebrew" w:eastAsia="Georgia"/>
          <w:b w:val="0"/>
          <w:i w:val="0"/>
          <w:color w:val="1A1A1A"/>
          <w:sz w:val="21"/>
        </w:rPr>
        <w:t>— The core principle: the closing ברכה of גאולה must be followed by שמונה עשרה without halachic interruption. The principle is codified for both שחרית (where the seam is גאל ישראל → עמידה) and מעריב (where it is the closing ברכה of גאולה → השכיבנו → עמידה). The unique structural sensitivity at this seam is the conceptual ground for the entire long machloikes over insertions — אשכיבנו itself (defended as גאולה אריכתא), ושמרו (disputed), and ברוך ה' לעולם / יראו עינינו (the central focus of this שיעור).</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color w:val="1A1A1A"/>
          <w:sz w:val="21"/>
        </w:rPr>
        <w:t>ברכות ט׳ ע״ב</w:t>
      </w:r>
      <w:r>
        <w:rPr>
          <w:rFonts w:ascii="Georgia" w:hAnsi="Georgia" w:cs="SBL Hebrew" w:eastAsia="Georgia"/>
          <w:b w:val="0"/>
          <w:i w:val="0"/>
          <w:color w:val="1A1A1A"/>
          <w:sz w:val="21"/>
        </w:rPr>
        <w:t xml:space="preserve"> — principle of </w:t>
      </w:r>
      <w:r>
        <w:rPr>
          <w:rFonts w:ascii="SBL Hebrew" w:hAnsi="SBL Hebrew" w:cs="SBL Hebrew" w:eastAsia="SBL Hebrew"/>
          <w:b w:val="0"/>
          <w:i w:val="0"/>
          <w:color w:val="1A1A1A"/>
          <w:sz w:val="21"/>
        </w:rPr>
        <w:t>גאולה אריכתא</w:t>
      </w:r>
      <w:r>
        <w:rPr>
          <w:rFonts w:ascii="Georgia" w:hAnsi="Georgia" w:cs="SBL Hebrew" w:eastAsia="Georgia"/>
          <w:b w:val="0"/>
          <w:i w:val="0"/>
          <w:color w:val="1A1A1A"/>
          <w:sz w:val="21"/>
        </w:rPr>
        <w:t>.</w:t>
      </w:r>
      <w:r>
        <w:rPr>
          <w:rFonts w:ascii="Georgia" w:hAnsi="Georgia" w:cs="SBL Hebrew" w:eastAsia="Georgia"/>
          <w:b w:val="0"/>
          <w:i w:val="0"/>
          <w:color w:val="1A1A1A"/>
          <w:sz w:val="21"/>
        </w:rPr>
        <w:t>— The Gemara frames השכיבנו as an extension of the גאולה theme rather than as a separate ברכה interrupting it. The same conceptual move — "this is not a הפסק because it continues the theme of גאולה" — is the only available defense for ברוך ה' לעולם / יראו עינינו, for the Rambam's reading of קדיש at מעריב, and for the Lvush's framing of the Yom Tov inserts. Whether the move works in each case is the central question.</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val="0"/>
          <w:color w:val="1A1A1A"/>
          <w:sz w:val="21"/>
        </w:rPr>
        <w:t xml:space="preserve">The position of the </w:t>
      </w:r>
      <w:r>
        <w:rPr>
          <w:rFonts w:ascii="Georgia" w:hAnsi="Georgia" w:cs="SBL Hebrew" w:eastAsia="Georgia"/>
          <w:b w:val="0"/>
          <w:i/>
          <w:color w:val="1A1A1A"/>
          <w:sz w:val="21"/>
        </w:rPr>
        <w:t>גר״א</w:t>
      </w:r>
      <w:r>
        <w:rPr>
          <w:rFonts w:ascii="Georgia" w:hAnsi="Georgia" w:cs="SBL Hebrew" w:eastAsia="Georgia"/>
          <w:b w:val="0"/>
          <w:i w:val="0"/>
          <w:color w:val="1A1A1A"/>
          <w:sz w:val="21"/>
        </w:rPr>
        <w:t xml:space="preserve"> (ר' אליהו, the Vilna Gaon, 1720–1797).</w:t>
      </w:r>
      <w:r>
        <w:rPr>
          <w:rFonts w:ascii="Georgia" w:hAnsi="Georgia" w:cs="SBL Hebrew" w:eastAsia="Georgia"/>
          <w:b w:val="0"/>
          <w:i w:val="0"/>
          <w:color w:val="1A1A1A"/>
          <w:sz w:val="21"/>
        </w:rPr>
        <w:t xml:space="preserve">— The Gra ruled against reciting </w:t>
      </w:r>
      <w:r>
        <w:rPr>
          <w:rFonts w:ascii="SBL Hebrew" w:hAnsi="SBL Hebrew" w:cs="SBL Hebrew" w:eastAsia="SBL Hebrew"/>
          <w:b w:val="0"/>
          <w:i w:val="0"/>
          <w:color w:val="1A1A1A"/>
          <w:sz w:val="21"/>
        </w:rPr>
        <w:t>ברוך ה' לעולם</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יראו עינינו</w:t>
      </w:r>
      <w:r>
        <w:rPr>
          <w:rFonts w:ascii="Georgia" w:hAnsi="Georgia" w:cs="SBL Hebrew" w:eastAsia="Georgia"/>
          <w:b w:val="0"/>
          <w:i w:val="0"/>
          <w:color w:val="1A1A1A"/>
          <w:sz w:val="21"/>
        </w:rPr>
        <w:t xml:space="preserve"> as a הפסק between גאולה and תפילה; he likewise ruled against reciting </w:t>
      </w:r>
      <w:r>
        <w:rPr>
          <w:rFonts w:ascii="SBL Hebrew" w:hAnsi="SBL Hebrew" w:cs="SBL Hebrew" w:eastAsia="SBL Hebrew"/>
          <w:b w:val="0"/>
          <w:i w:val="0"/>
          <w:color w:val="1A1A1A"/>
          <w:sz w:val="21"/>
        </w:rPr>
        <w:t>ושמרו</w:t>
      </w:r>
      <w:r>
        <w:rPr>
          <w:rFonts w:ascii="Georgia" w:hAnsi="Georgia" w:cs="SBL Hebrew" w:eastAsia="Georgia"/>
          <w:b w:val="0"/>
          <w:i w:val="0"/>
          <w:color w:val="1A1A1A"/>
          <w:sz w:val="21"/>
        </w:rPr>
        <w:t xml:space="preserve"> on Friday night for the same structural reason. The Volozhin tradition (founded by the Gra's primary תלמיד, ר' חיים of Volozhin) followed his lead, and through Volozhin the omission entered the major Lithuanian yeshivos — Mir, Slabodka, Telshe, Slutsk, and (through ר' יצחק הוטנר) Chaim Berlin in America. The שיעור noted a small biographical aside: ר' איסר זלמן מלצר, an einikel of ר' ישראל זלמן מלצר and one of the closest תלמידים of ר' חיים סולוביצ'יק, was one of the only ultra-Orthodox rabbanim to be מספיד Rav Kook and was famously stoned and pelted with vegetables during the levaya for doing so — a reminder, from inside the same Volozhin-Lithuanian tradition that opposed the unit, that the political battles of pre-state Eretz Yisrael were not the natural arena of these rabbanim, who carried both halachic strictness and rabbinic respect across the political lines of their time.</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val="0"/>
          <w:color w:val="1A1A1A"/>
          <w:sz w:val="21"/>
        </w:rPr>
        <w:t xml:space="preserve">Principle of </w:t>
      </w:r>
      <w:r>
        <w:rPr>
          <w:rFonts w:ascii="Georgia" w:hAnsi="Georgia" w:cs="SBL Hebrew" w:eastAsia="Georgia"/>
          <w:b w:val="0"/>
          <w:i/>
          <w:color w:val="1A1A1A"/>
          <w:sz w:val="21"/>
        </w:rPr>
        <w:t>מטבע שטבעו חכמים</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ברכות מ' ע״א</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Gemara's foundational rule on the fixed shapes of ברכות: </w:t>
      </w:r>
      <w:r>
        <w:rPr>
          <w:rFonts w:ascii="SBL Hebrew" w:hAnsi="SBL Hebrew" w:cs="SBL Hebrew" w:eastAsia="SBL Hebrew"/>
          <w:b w:val="0"/>
          <w:i w:val="0"/>
          <w:color w:val="1A1A1A"/>
          <w:sz w:val="21"/>
        </w:rPr>
        <w:t>כל ברכה שאין בה שם ומלכות אינה ברכה</w:t>
      </w:r>
      <w:r>
        <w:rPr>
          <w:rFonts w:ascii="Georgia" w:hAnsi="Georgia" w:cs="SBL Hebrew" w:eastAsia="Georgia"/>
          <w:b w:val="0"/>
          <w:i w:val="0"/>
          <w:color w:val="1A1A1A"/>
          <w:sz w:val="21"/>
        </w:rPr>
        <w:t xml:space="preserve">, and more generally, the שטר and shape of a ברכה is the mint-mark of חז״ל. You do not introduce new ברכות into the cycle and you do not casually modify the נוסח of an existing ברכה. This is the meta-halachic anchor of the second objection to </w:t>
      </w:r>
      <w:r>
        <w:rPr>
          <w:rFonts w:ascii="SBL Hebrew" w:hAnsi="SBL Hebrew" w:cs="SBL Hebrew" w:eastAsia="SBL Hebrew"/>
          <w:b w:val="0"/>
          <w:i w:val="0"/>
          <w:color w:val="1A1A1A"/>
          <w:sz w:val="21"/>
        </w:rPr>
        <w:t>ברוך ה' לעולם</w:t>
      </w:r>
      <w:r>
        <w:rPr>
          <w:rFonts w:ascii="Georgia" w:hAnsi="Georgia" w:cs="SBL Hebrew" w:eastAsia="Georgia"/>
          <w:b w:val="0"/>
          <w:i w:val="0"/>
          <w:color w:val="1A1A1A"/>
          <w:sz w:val="21"/>
        </w:rPr>
        <w:t xml:space="preserve"> — even setting aside the placement, the unit may be "unauthorized." Rashi and the Ramban treat this objection as decisive.</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color w:val="1A1A1A"/>
          <w:sz w:val="21"/>
        </w:rPr>
        <w:t>תשובות רש״י</w:t>
      </w:r>
      <w:r>
        <w:rPr>
          <w:rFonts w:ascii="Georgia" w:hAnsi="Georgia" w:cs="SBL Hebrew" w:eastAsia="Georgia"/>
          <w:b w:val="0"/>
          <w:i w:val="0"/>
          <w:color w:val="1A1A1A"/>
          <w:sz w:val="21"/>
        </w:rPr>
        <w:t xml:space="preserve"> — cited as objecting to ברוך ה' לעולם / יראו עינינו as הפסק and as an unauthorized ברכה.</w:t>
      </w:r>
      <w:r>
        <w:rPr>
          <w:rFonts w:ascii="Georgia" w:hAnsi="Georgia" w:cs="SBL Hebrew" w:eastAsia="Georgia"/>
          <w:b w:val="0"/>
          <w:i w:val="0"/>
          <w:color w:val="1A1A1A"/>
          <w:sz w:val="21"/>
        </w:rPr>
        <w:t>— Rashi (ר' שלמה יצחקי, 1040–1105, Troyes) writes in a תשובה referenced in the שיעור that one is not permitted to recite ברוך ה' לעולם אמן ואמן or יראו עינינו: it constitutes a הפסק between גאולה and תפילה, and post-talmudic ברכות are categorically disfavored. The שיעור referenced the תשובה but did not provide an exact siman; the Gemara reference brought in connection with Rashi's reasoning about שמחה and הכנה for תפילה was ברכות דף ל״א.</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שיעור cited "תשובות רש״י" without specifying a precise siman or edition. The position is well-attested in the broader ראשונים' reporting of Rashi's view; for the exact text and source, verify against published editions of תשובות רש״י (ed. Elfenbein, Mossad HaRav Kook, or similar) before quoting in a formal halachic context.</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val="0"/>
          <w:color w:val="1A1A1A"/>
          <w:sz w:val="21"/>
        </w:rPr>
        <w:t xml:space="preserve">The position of the </w:t>
      </w:r>
      <w:r>
        <w:rPr>
          <w:rFonts w:ascii="Georgia" w:hAnsi="Georgia" w:cs="SBL Hebrew" w:eastAsia="Georgia"/>
          <w:b w:val="0"/>
          <w:i/>
          <w:color w:val="1A1A1A"/>
          <w:sz w:val="21"/>
        </w:rPr>
        <w:t>רמב״ן</w:t>
      </w:r>
      <w:r>
        <w:rPr>
          <w:rFonts w:ascii="Georgia" w:hAnsi="Georgia" w:cs="SBL Hebrew" w:eastAsia="Georgia"/>
          <w:b w:val="0"/>
          <w:i w:val="0"/>
          <w:color w:val="1A1A1A"/>
          <w:sz w:val="21"/>
        </w:rPr>
        <w:t xml:space="preserve"> (ר' משה בן נחמן, 1194–1270, Catalonia).</w:t>
      </w:r>
      <w:r>
        <w:rPr>
          <w:rFonts w:ascii="Georgia" w:hAnsi="Georgia" w:cs="SBL Hebrew" w:eastAsia="Georgia"/>
          <w:b w:val="0"/>
          <w:i w:val="0"/>
          <w:color w:val="1A1A1A"/>
          <w:sz w:val="21"/>
        </w:rPr>
        <w:t>— The Ramban's opposition to ברוך ה' לעולם / יראו עינינו on the joint grounds of הפסק and post-talmudic authorship is the touchstone of the omission tradition discussed at length in last week's שיעור. The position is reported in the Rashbash, the Bais Yosef, and several other ראשונים; the שיעור this week assumed familiarity with the framework from the prior week's treatment.</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color w:val="1A1A1A"/>
          <w:sz w:val="21"/>
        </w:rPr>
        <w:t>אגרות משה, אורח חיים</w:t>
      </w:r>
      <w:r>
        <w:rPr>
          <w:rFonts w:ascii="Georgia" w:hAnsi="Georgia" w:cs="SBL Hebrew" w:eastAsia="Georgia"/>
          <w:b w:val="0"/>
          <w:i w:val="0"/>
          <w:color w:val="1A1A1A"/>
          <w:sz w:val="21"/>
        </w:rPr>
        <w:t xml:space="preserve"> — on conduct when the local tzibbur does not say ברוך ה' לעולם.</w:t>
      </w:r>
      <w:r>
        <w:rPr>
          <w:rFonts w:ascii="Georgia" w:hAnsi="Georgia" w:cs="SBL Hebrew" w:eastAsia="Georgia"/>
          <w:b w:val="0"/>
          <w:i w:val="0"/>
          <w:color w:val="1A1A1A"/>
          <w:sz w:val="21"/>
        </w:rPr>
        <w:t>— ר' משה פיינשטיין (1895–1986) addressed the question of a בן חוץ לארץ who finds himself in a tzibbur (typically in Eretz Yisrael) that does not say ברוך ה' לעולם / יראו עינינו. The psak: do not introduce it on your own. The reasoning is that the entire sugya is about the structural integrity of the communal מעריב, and inserting your private מנהג into a tzibbur that has consciously omitted the unit on halachic grounds violates the very sensitivity the unit's defenders themselves take seriously.</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שיעור referenced an Igros Moshe תשובה on this question without specifying chelek and siman. Verify the exact citation before relying on the precise wording of the psak.</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color w:val="1A1A1A"/>
          <w:sz w:val="21"/>
        </w:rPr>
        <w:t>רב נטרונאי גאון</w:t>
      </w:r>
      <w:r>
        <w:rPr>
          <w:rFonts w:ascii="Georgia" w:hAnsi="Georgia" w:cs="SBL Hebrew" w:eastAsia="Georgia"/>
          <w:b w:val="0"/>
          <w:i w:val="0"/>
          <w:color w:val="1A1A1A"/>
          <w:sz w:val="21"/>
        </w:rPr>
        <w:t xml:space="preserve"> (Rosh Yeshiva of Surah, mid-9th century).</w:t>
      </w:r>
      <w:r>
        <w:rPr>
          <w:rFonts w:ascii="Georgia" w:hAnsi="Georgia" w:cs="SBL Hebrew" w:eastAsia="Georgia"/>
          <w:b w:val="0"/>
          <w:i w:val="0"/>
          <w:color w:val="1A1A1A"/>
          <w:sz w:val="21"/>
        </w:rPr>
        <w:t xml:space="preserve">— One of the major Geonim before Rav Amram Gaon. His responsa were a foundational source for the early ראשונים and are cited repeatedly in the Tur. The framework that מעריב was originally </w:t>
      </w:r>
      <w:r>
        <w:rPr>
          <w:rFonts w:ascii="SBL Hebrew" w:hAnsi="SBL Hebrew" w:cs="SBL Hebrew" w:eastAsia="SBL Hebrew"/>
          <w:b w:val="0"/>
          <w:i w:val="0"/>
          <w:color w:val="1A1A1A"/>
          <w:sz w:val="21"/>
        </w:rPr>
        <w:t>רשות</w:t>
      </w:r>
      <w:r>
        <w:rPr>
          <w:rFonts w:ascii="Georgia" w:hAnsi="Georgia" w:cs="SBL Hebrew" w:eastAsia="Georgia"/>
          <w:b w:val="0"/>
          <w:i w:val="0"/>
          <w:color w:val="1A1A1A"/>
          <w:sz w:val="21"/>
        </w:rPr>
        <w:t xml:space="preserve"> and that </w:t>
      </w:r>
      <w:r>
        <w:rPr>
          <w:rFonts w:ascii="SBL Hebrew" w:hAnsi="SBL Hebrew" w:cs="SBL Hebrew" w:eastAsia="SBL Hebrew"/>
          <w:b w:val="0"/>
          <w:i w:val="0"/>
          <w:color w:val="1A1A1A"/>
          <w:sz w:val="21"/>
        </w:rPr>
        <w:t>ברוך ה' לעולם</w:t>
      </w:r>
      <w:r>
        <w:rPr>
          <w:rFonts w:ascii="Georgia" w:hAnsi="Georgia" w:cs="SBL Hebrew" w:eastAsia="Georgia"/>
          <w:b w:val="0"/>
          <w:i w:val="0"/>
          <w:color w:val="1A1A1A"/>
          <w:sz w:val="21"/>
        </w:rPr>
        <w:t xml:space="preserve"> with its eighteen פסוקים functioned as a compressed mini-עמידה is the central explanatory contribution attributed to him for the institution of the unit. His responsa survive partly in the various compilations of גאוני תשובות (Sha'arei Tzedek, Teshuvos HaGeonim, etc.) and are cited by name throughout the early ראשונים' literature on תפילה.</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color w:val="1A1A1A"/>
          <w:sz w:val="21"/>
        </w:rPr>
        <w:t>ברכות כ״ז ע״ב</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תפילת ערבית רשות או חובה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classical sugya in ברכות on the original halachic status of מעריב. The dispute itself, between Rabban Gamliel and Rabbi Yehoshua, plays out in the famous story of the deposition of Rabban Gamliel from the נשיאות. The practical outcome — that כלל ישראל accepted מעריב as obligatory in practice, while a number of structural </w:t>
      </w:r>
      <w:r>
        <w:rPr>
          <w:rFonts w:ascii="SBL Hebrew" w:hAnsi="SBL Hebrew" w:cs="SBL Hebrew" w:eastAsia="SBL Hebrew"/>
          <w:b w:val="0"/>
          <w:i w:val="0"/>
          <w:color w:val="1A1A1A"/>
          <w:sz w:val="21"/>
        </w:rPr>
        <w:t>נפקא מינות</w:t>
      </w:r>
      <w:r>
        <w:rPr>
          <w:rFonts w:ascii="Georgia" w:hAnsi="Georgia" w:cs="SBL Hebrew" w:eastAsia="Georgia"/>
          <w:b w:val="0"/>
          <w:i w:val="0"/>
          <w:color w:val="1A1A1A"/>
          <w:sz w:val="21"/>
        </w:rPr>
        <w:t xml:space="preserve"> from its origin as רשות persist — is the conceptual ground for the entire Gaonic explanation of ברוך ה' לעולם as a mini-עמידה for those who would not stay for the full שמונה עשרה.</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רא״ש</w:t>
      </w:r>
      <w:r>
        <w:rPr>
          <w:rFonts w:ascii="Georgia" w:hAnsi="Georgia" w:cs="SBL Hebrew" w:eastAsia="Georgia"/>
          <w:b w:val="0"/>
          <w:i w:val="0"/>
          <w:color w:val="1A1A1A"/>
          <w:sz w:val="21"/>
        </w:rPr>
        <w:t xml:space="preserve"> (ר' אשר בן יחיאל, c. 1250–1327) — principle of </w:t>
      </w:r>
      <w:r>
        <w:rPr>
          <w:rFonts w:ascii="Georgia" w:hAnsi="Georgia" w:cs="SBL Hebrew" w:eastAsia="Georgia"/>
          <w:b w:val="0"/>
          <w:i/>
          <w:color w:val="1A1A1A"/>
          <w:sz w:val="21"/>
        </w:rPr>
        <w:t>תקנה במקומה עומדת</w:t>
      </w:r>
      <w:r>
        <w:rPr>
          <w:rFonts w:ascii="Georgia" w:hAnsi="Georgia" w:cs="SBL Hebrew" w:eastAsia="Georgia"/>
          <w:b w:val="0"/>
          <w:i w:val="0"/>
          <w:color w:val="1A1A1A"/>
          <w:sz w:val="21"/>
        </w:rPr>
        <w:t>.</w:t>
      </w:r>
      <w:r>
        <w:rPr>
          <w:rFonts w:ascii="Georgia" w:hAnsi="Georgia" w:cs="SBL Hebrew" w:eastAsia="Georgia"/>
          <w:b w:val="0"/>
          <w:i w:val="0"/>
          <w:color w:val="1A1A1A"/>
          <w:sz w:val="21"/>
        </w:rPr>
        <w:t>— The Rosh explains the survival of ברוך ה' לעולם in the siddur on the general halachic principle that a properly enacted communal תקנה remains in force even when the original conditions or reasons no longer obtain. The principle has wide applicability across the halachic literature and is one of the standard responses to the question of why we continue to say liturgical material whose original purpose has lapsed. The exact location in the Rosh's writings on this question was not specified in the שיעור.</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color w:val="1A1A1A"/>
          <w:sz w:val="21"/>
        </w:rPr>
        <w:t>ברכות כ״ט ע״א</w:t>
      </w:r>
      <w:r>
        <w:rPr>
          <w:rFonts w:ascii="Georgia" w:hAnsi="Georgia" w:cs="SBL Hebrew" w:eastAsia="Georgia"/>
          <w:b w:val="0"/>
          <w:i w:val="0"/>
          <w:color w:val="1A1A1A"/>
          <w:sz w:val="21"/>
        </w:rPr>
        <w:t xml:space="preserve"> — תקנת </w:t>
      </w:r>
      <w:r>
        <w:rPr>
          <w:rFonts w:ascii="Georgia" w:hAnsi="Georgia" w:cs="SBL Hebrew" w:eastAsia="Georgia"/>
          <w:b w:val="0"/>
          <w:i/>
          <w:color w:val="1A1A1A"/>
          <w:sz w:val="21"/>
        </w:rPr>
        <w:t>הביננו</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Gemara's institution of הביננו as a shortened, condensed form of שמונה עשרה for someone who cannot daven the full עמידה (specifically because of </w:t>
      </w:r>
      <w:r>
        <w:rPr>
          <w:rFonts w:ascii="SBL Hebrew" w:hAnsi="SBL Hebrew" w:cs="SBL Hebrew" w:eastAsia="SBL Hebrew"/>
          <w:b w:val="0"/>
          <w:i w:val="0"/>
          <w:color w:val="1A1A1A"/>
          <w:sz w:val="21"/>
        </w:rPr>
        <w:t>אונס</w:t>
      </w:r>
      <w:r>
        <w:rPr>
          <w:rFonts w:ascii="Georgia" w:hAnsi="Georgia" w:cs="SBL Hebrew" w:eastAsia="Georgia"/>
          <w:b w:val="0"/>
          <w:i w:val="0"/>
          <w:color w:val="1A1A1A"/>
          <w:sz w:val="21"/>
        </w:rPr>
        <w:t xml:space="preserve"> or comparable circumstances). The text combines the themes of the middle thirteen ברכות into a single ברכה. The שיעור drew a sharp structural distinction: הביננו presupposes a full חיוב to daven שמונה עשרה and provides relief; ברוך ה' לעולם, on the Gaonic framework, reflects an original status in which מעריב itself was </w:t>
      </w:r>
      <w:r>
        <w:rPr>
          <w:rFonts w:ascii="SBL Hebrew" w:hAnsi="SBL Hebrew" w:cs="SBL Hebrew" w:eastAsia="SBL Hebrew"/>
          <w:b w:val="0"/>
          <w:i w:val="0"/>
          <w:color w:val="1A1A1A"/>
          <w:sz w:val="21"/>
        </w:rPr>
        <w:t>רשות</w:t>
      </w:r>
      <w:r>
        <w:rPr>
          <w:rFonts w:ascii="Georgia" w:hAnsi="Georgia" w:cs="SBL Hebrew" w:eastAsia="Georgia"/>
          <w:b w:val="0"/>
          <w:i w:val="0"/>
          <w:color w:val="1A1A1A"/>
          <w:sz w:val="21"/>
        </w:rPr>
        <w:t xml:space="preserve"> and the unit was an alternative communal framework. The two shortening strategies belong to fundamentally different logics.</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רשב״א</w:t>
      </w:r>
      <w:r>
        <w:rPr>
          <w:rFonts w:ascii="Georgia" w:hAnsi="Georgia" w:cs="SBL Hebrew" w:eastAsia="Georgia"/>
          <w:b w:val="0"/>
          <w:i w:val="0"/>
          <w:color w:val="1A1A1A"/>
          <w:sz w:val="21"/>
        </w:rPr>
        <w:t xml:space="preserve"> — on completing שמונה עשרה at home after a shortened מעריב in shul.</w:t>
      </w:r>
      <w:r>
        <w:rPr>
          <w:rFonts w:ascii="Georgia" w:hAnsi="Georgia" w:cs="SBL Hebrew" w:eastAsia="Georgia"/>
          <w:b w:val="0"/>
          <w:i w:val="0"/>
          <w:color w:val="1A1A1A"/>
          <w:sz w:val="21"/>
        </w:rPr>
        <w:t>— ר' שלמה בן אדרת (c. 1235–1310, Barcelona) writes that if the kehillah used the shortened version of מעריב in shul — saying ברוך ה' לעולם and קדיש and going home — one must not forget to say the full שמונה עשרה upon arriving home. The shortening was a concession to the danger of walking home at night, not a halachic dispensation from the עמידה itself. The Rashba's warning is one of the structural anchors that preserves the older reality of two-layer מעריב practice in the written record. Exact siman not specified in the שיעור.</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color w:val="1A1A1A"/>
          <w:sz w:val="21"/>
        </w:rPr>
        <w:t>אבודרהם</w:t>
      </w:r>
      <w:r>
        <w:rPr>
          <w:rFonts w:ascii="Georgia" w:hAnsi="Georgia" w:cs="SBL Hebrew" w:eastAsia="Georgia"/>
          <w:b w:val="0"/>
          <w:i w:val="0"/>
          <w:color w:val="1A1A1A"/>
          <w:sz w:val="21"/>
        </w:rPr>
        <w:t xml:space="preserve"> — ר' דוד אבודרהם (14th century Sevilla).</w:t>
      </w:r>
      <w:r>
        <w:rPr>
          <w:rFonts w:ascii="Georgia" w:hAnsi="Georgia" w:cs="SBL Hebrew" w:eastAsia="Georgia"/>
          <w:b w:val="0"/>
          <w:i w:val="0"/>
          <w:color w:val="1A1A1A"/>
          <w:sz w:val="21"/>
        </w:rPr>
        <w:t xml:space="preserve">— Major early commentator on תפילה. His </w:t>
      </w:r>
      <w:r>
        <w:rPr>
          <w:rFonts w:ascii="Georgia" w:hAnsi="Georgia" w:cs="SBL Hebrew" w:eastAsia="Georgia"/>
          <w:b w:val="0"/>
          <w:i/>
          <w:color w:val="1A1A1A"/>
          <w:sz w:val="21"/>
        </w:rPr>
        <w:t>ספר אבודרהם</w:t>
      </w:r>
      <w:r>
        <w:rPr>
          <w:rFonts w:ascii="Georgia" w:hAnsi="Georgia" w:cs="SBL Hebrew" w:eastAsia="Georgia"/>
          <w:b w:val="0"/>
          <w:i w:val="0"/>
          <w:color w:val="1A1A1A"/>
          <w:sz w:val="21"/>
        </w:rPr>
        <w:t xml:space="preserve"> is one of the foundational comprehensive treatments of the structure and meaning of the daily, Shabbos, and Yom Tov ברכות and prayers. Cited at length by the Tur and the Bais Yosef. The שיעור brought him for two distinct contributions: </w:t>
      </w:r>
      <w:r>
        <w:rPr>
          <w:rFonts w:ascii="Georgia" w:hAnsi="Georgia" w:cs="SBL Hebrew" w:eastAsia="Georgia"/>
          <w:b w:val="0"/>
          <w:i/>
          <w:color w:val="1A1A1A"/>
          <w:sz w:val="21"/>
        </w:rPr>
        <w:t>(a)</w:t>
      </w:r>
      <w:r>
        <w:rPr>
          <w:rFonts w:ascii="Georgia" w:hAnsi="Georgia" w:cs="SBL Hebrew" w:eastAsia="Georgia"/>
          <w:b w:val="0"/>
          <w:i w:val="0"/>
          <w:color w:val="1A1A1A"/>
          <w:sz w:val="21"/>
        </w:rPr>
        <w:t xml:space="preserve"> the name etymology (</w:t>
      </w:r>
      <w:r>
        <w:rPr>
          <w:rFonts w:ascii="Georgia" w:hAnsi="Georgia" w:cs="SBL Hebrew" w:eastAsia="Georgia"/>
          <w:b w:val="0"/>
          <w:i/>
          <w:color w:val="1A1A1A"/>
          <w:sz w:val="21"/>
        </w:rPr>
        <w:t>Abu Dirham</w:t>
      </w:r>
      <w:r>
        <w:rPr>
          <w:rFonts w:ascii="Georgia" w:hAnsi="Georgia" w:cs="SBL Hebrew" w:eastAsia="Georgia"/>
          <w:b w:val="0"/>
          <w:i w:val="0"/>
          <w:color w:val="1A1A1A"/>
          <w:sz w:val="21"/>
        </w:rPr>
        <w:t xml:space="preserve"> from the family trade of money-changing, with the secondary play on </w:t>
      </w:r>
      <w:r>
        <w:rPr>
          <w:rFonts w:ascii="SBL Hebrew" w:hAnsi="SBL Hebrew" w:cs="SBL Hebrew" w:eastAsia="SBL Hebrew"/>
          <w:b w:val="0"/>
          <w:i w:val="0"/>
          <w:color w:val="1A1A1A"/>
          <w:sz w:val="21"/>
        </w:rPr>
        <w:t>מטבע שטבעו חכמים</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w:t>
      </w:r>
      <w:r>
        <w:rPr>
          <w:rFonts w:ascii="Georgia" w:hAnsi="Georgia" w:cs="SBL Hebrew" w:eastAsia="Georgia"/>
          <w:b w:val="0"/>
          <w:i w:val="0"/>
          <w:color w:val="1A1A1A"/>
          <w:sz w:val="21"/>
        </w:rPr>
        <w:t xml:space="preserve"> the tradition of a non-Jewish </w:t>
      </w:r>
      <w:r>
        <w:rPr>
          <w:rFonts w:ascii="SBL Hebrew" w:hAnsi="SBL Hebrew" w:cs="SBL Hebrew" w:eastAsia="SBL Hebrew"/>
          <w:b w:val="0"/>
          <w:i w:val="0"/>
          <w:color w:val="1A1A1A"/>
          <w:sz w:val="21"/>
        </w:rPr>
        <w:t>גזירה</w:t>
      </w:r>
      <w:r>
        <w:rPr>
          <w:rFonts w:ascii="Georgia" w:hAnsi="Georgia" w:cs="SBL Hebrew" w:eastAsia="Georgia"/>
          <w:b w:val="0"/>
          <w:i w:val="0"/>
          <w:color w:val="1A1A1A"/>
          <w:sz w:val="21"/>
        </w:rPr>
        <w:t xml:space="preserve"> against מעריב, with the substitute structure of פסוקים eventually becoming embedded in the siddur. The exact siman in the אבודרהם for the gezeira tradition was not provided in the 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historical specifics of the גזירה described by the אבודרהם — which non-Jewish government, what period, what region — are not securely identified in the modern scholarly literature. Rabbi Ephrati explicitly invited the kehillah to bring further sources to his attention. The tradition stands on the authority of the אבודרהם himself; the historical setting remains an open </w:t>
            </w:r>
            <w:r>
              <w:rPr>
                <w:rFonts w:ascii="SBL Hebrew" w:hAnsi="SBL Hebrew" w:cs="SBL Hebrew" w:eastAsia="SBL Hebrew"/>
                <w:b w:val="0"/>
                <w:i w:val="0"/>
                <w:color w:val="3B3B3B"/>
                <w:sz w:val="20"/>
              </w:rPr>
              <w:t>בירור</w:t>
            </w:r>
            <w:r>
              <w:rPr>
                <w:rFonts w:ascii="Georgia" w:hAnsi="Georgia" w:cs="SBL Hebrew" w:eastAsia="Georgia"/>
                <w:b w:val="0"/>
                <w:i w:val="0"/>
                <w:color w:val="3B3B3B"/>
                <w:sz w:val="20"/>
              </w:rPr>
              <w:t>.</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color w:val="1A1A1A"/>
          <w:sz w:val="21"/>
        </w:rPr>
        <w:t>רש״י על ברכות ל״א</w:t>
      </w:r>
      <w:r>
        <w:rPr>
          <w:rFonts w:ascii="Georgia" w:hAnsi="Georgia" w:cs="SBL Hebrew" w:eastAsia="Georgia"/>
          <w:b w:val="0"/>
          <w:i w:val="0"/>
          <w:color w:val="1A1A1A"/>
          <w:sz w:val="21"/>
        </w:rPr>
        <w:t xml:space="preserve"> — on entering תפילה </w:t>
      </w:r>
      <w:r>
        <w:rPr>
          <w:rFonts w:ascii="SBL Hebrew" w:hAnsi="SBL Hebrew" w:cs="SBL Hebrew" w:eastAsia="SBL Hebrew"/>
          <w:b w:val="0"/>
          <w:i w:val="0"/>
          <w:color w:val="1A1A1A"/>
          <w:sz w:val="21"/>
        </w:rPr>
        <w:t>מתוך שמחה</w:t>
      </w:r>
      <w:r>
        <w:rPr>
          <w:rFonts w:ascii="Georgia" w:hAnsi="Georgia" w:cs="SBL Hebrew" w:eastAsia="Georgia"/>
          <w:b w:val="0"/>
          <w:i w:val="0"/>
          <w:color w:val="1A1A1A"/>
          <w:sz w:val="21"/>
        </w:rPr>
        <w:t xml:space="preserve"> with </w:t>
      </w:r>
      <w:r>
        <w:rPr>
          <w:rFonts w:ascii="SBL Hebrew" w:hAnsi="SBL Hebrew" w:cs="SBL Hebrew" w:eastAsia="SBL Hebrew"/>
          <w:b w:val="0"/>
          <w:i w:val="0"/>
          <w:color w:val="1A1A1A"/>
          <w:sz w:val="21"/>
        </w:rPr>
        <w:t>גירוש מחשבות</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Rashi explains the inner-avodah reason for the recitation of praiseful פסוקים before the עמידה: a person must daven שמונה עשרה </w:t>
      </w:r>
      <w:r>
        <w:rPr>
          <w:rFonts w:ascii="SBL Hebrew" w:hAnsi="SBL Hebrew" w:cs="SBL Hebrew" w:eastAsia="SBL Hebrew"/>
          <w:b w:val="0"/>
          <w:i w:val="0"/>
          <w:color w:val="1A1A1A"/>
          <w:sz w:val="21"/>
        </w:rPr>
        <w:t>מתוך שמחה</w:t>
      </w:r>
      <w:r>
        <w:rPr>
          <w:rFonts w:ascii="Georgia" w:hAnsi="Georgia" w:cs="SBL Hebrew" w:eastAsia="Georgia"/>
          <w:b w:val="0"/>
          <w:i w:val="0"/>
          <w:color w:val="1A1A1A"/>
          <w:sz w:val="21"/>
        </w:rPr>
        <w:t xml:space="preserve">, and the structured recitation of פסוקים expressing </w:t>
      </w:r>
      <w:r>
        <w:rPr>
          <w:rFonts w:ascii="SBL Hebrew" w:hAnsi="SBL Hebrew" w:cs="SBL Hebrew" w:eastAsia="SBL Hebrew"/>
          <w:b w:val="0"/>
          <w:i w:val="0"/>
          <w:color w:val="1A1A1A"/>
          <w:sz w:val="21"/>
        </w:rPr>
        <w:t>ביטחון</w:t>
      </w:r>
      <w:r>
        <w:rPr>
          <w:rFonts w:ascii="Georgia" w:hAnsi="Georgia" w:cs="SBL Hebrew" w:eastAsia="Georgia"/>
          <w:b w:val="0"/>
          <w:i w:val="0"/>
          <w:color w:val="1A1A1A"/>
          <w:sz w:val="21"/>
        </w:rPr>
        <w:t xml:space="preserve"> in הקדוש ברוך הוא is a means of cultivating that שמחה. Even though Rashi himself does not say ברוך ה' לעולם (he holds it constitutes a הפסק), his explanation of the practice is one of the standard defenses for those who do. The reference is to ברכות ל״א; exact ע״א/ע״ב not specified in the שיעור.</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רמב״ם</w:t>
      </w:r>
      <w:r>
        <w:rPr>
          <w:rFonts w:ascii="Georgia" w:hAnsi="Georgia" w:cs="SBL Hebrew" w:eastAsia="Georgia"/>
          <w:b w:val="0"/>
          <w:i w:val="0"/>
          <w:color w:val="1A1A1A"/>
          <w:sz w:val="21"/>
        </w:rPr>
        <w:t xml:space="preserve"> — קדיש as </w:t>
      </w:r>
      <w:r>
        <w:rPr>
          <w:rFonts w:ascii="SBL Hebrew" w:hAnsi="SBL Hebrew" w:cs="SBL Hebrew" w:eastAsia="SBL Hebrew"/>
          <w:b w:val="0"/>
          <w:i w:val="0"/>
          <w:color w:val="1A1A1A"/>
          <w:sz w:val="21"/>
        </w:rPr>
        <w:t>הכנה</w:t>
      </w:r>
      <w:r>
        <w:rPr>
          <w:rFonts w:ascii="Georgia" w:hAnsi="Georgia" w:cs="SBL Hebrew" w:eastAsia="Georgia"/>
          <w:b w:val="0"/>
          <w:i w:val="0"/>
          <w:color w:val="1A1A1A"/>
          <w:sz w:val="21"/>
        </w:rPr>
        <w:t xml:space="preserve"> to שמונה עשרה, saturated with longing for גאולה.</w:t>
      </w:r>
      <w:r>
        <w:rPr>
          <w:rFonts w:ascii="Georgia" w:hAnsi="Georgia" w:cs="SBL Hebrew" w:eastAsia="Georgia"/>
          <w:b w:val="0"/>
          <w:i w:val="0"/>
          <w:color w:val="1A1A1A"/>
          <w:sz w:val="21"/>
        </w:rPr>
        <w:t xml:space="preserve">— The Rambam reads קדיש before שמונה עשרה (and the corresponding קדיש after יִשתבח before ברכות קריאת שמע at שחרית) as an introduction to the עמידה. The structural principle: </w:t>
      </w:r>
      <w:r>
        <w:rPr>
          <w:rFonts w:ascii="Georgia" w:hAnsi="Georgia" w:cs="SBL Hebrew" w:eastAsia="Georgia"/>
          <w:b w:val="0"/>
          <w:i/>
          <w:color w:val="1A1A1A"/>
          <w:sz w:val="21"/>
        </w:rPr>
        <w:t>before any major standing tefillah, the kehillah says קדיש</w:t>
      </w:r>
      <w:r>
        <w:rPr>
          <w:rFonts w:ascii="Georgia" w:hAnsi="Georgia" w:cs="SBL Hebrew" w:eastAsia="Georgia"/>
          <w:b w:val="0"/>
          <w:i w:val="0"/>
          <w:color w:val="1A1A1A"/>
          <w:sz w:val="21"/>
        </w:rPr>
        <w:t xml:space="preserve"> — except where the principle would create a הפסק at the seam between גאולה and תפילה (i.e., at שחרית), in which case the קדיש is moved earlier to after ישתבח. At מעריב, the קדיש sits in place because השכיבנו is גאולה אריכתא and קדיש itself is saturated with the language of גאולה — the two together extend the theme rather than break it. The exact citation in the Rambam (Hilchos Tefillah) was not specified in the שיעור.</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ראב״ד</w:t>
      </w:r>
      <w:r>
        <w:rPr>
          <w:rFonts w:ascii="Georgia" w:hAnsi="Georgia" w:cs="SBL Hebrew" w:eastAsia="Georgia"/>
          <w:b w:val="0"/>
          <w:i w:val="0"/>
          <w:color w:val="1A1A1A"/>
          <w:sz w:val="21"/>
        </w:rPr>
        <w:t xml:space="preserve"> — קדיש as </w:t>
      </w:r>
      <w:r>
        <w:rPr>
          <w:rFonts w:ascii="SBL Hebrew" w:hAnsi="SBL Hebrew" w:cs="SBL Hebrew" w:eastAsia="SBL Hebrew"/>
          <w:b w:val="0"/>
          <w:i w:val="0"/>
          <w:color w:val="1A1A1A"/>
          <w:sz w:val="21"/>
        </w:rPr>
        <w:t>סיום</w:t>
      </w:r>
      <w:r>
        <w:rPr>
          <w:rFonts w:ascii="Georgia" w:hAnsi="Georgia" w:cs="SBL Hebrew" w:eastAsia="Georgia"/>
          <w:b w:val="0"/>
          <w:i w:val="0"/>
          <w:color w:val="1A1A1A"/>
          <w:sz w:val="21"/>
        </w:rPr>
        <w:t xml:space="preserve"> to an older core unit.</w:t>
      </w:r>
      <w:r>
        <w:rPr>
          <w:rFonts w:ascii="Georgia" w:hAnsi="Georgia" w:cs="SBL Hebrew" w:eastAsia="Georgia"/>
          <w:b w:val="0"/>
          <w:i w:val="0"/>
          <w:color w:val="1A1A1A"/>
          <w:sz w:val="21"/>
        </w:rPr>
        <w:t xml:space="preserve">— ר' אברהם בן דוד of Posquières (c. 1125–1198), the standard halachic counterpoint to the Rambam in the Mishneh Torah's text. On קדיש at מעריב the Raavad reads the structural placement historically rather than thematically: מעריב originally functioned around קריאת שמע and its ברכות, with שמונה עשרה being </w:t>
      </w:r>
      <w:r>
        <w:rPr>
          <w:rFonts w:ascii="SBL Hebrew" w:hAnsi="SBL Hebrew" w:cs="SBL Hebrew" w:eastAsia="SBL Hebrew"/>
          <w:b w:val="0"/>
          <w:i w:val="0"/>
          <w:color w:val="1A1A1A"/>
          <w:sz w:val="21"/>
        </w:rPr>
        <w:t>רשות</w:t>
      </w:r>
      <w:r>
        <w:rPr>
          <w:rFonts w:ascii="Georgia" w:hAnsi="Georgia" w:cs="SBL Hebrew" w:eastAsia="Georgia"/>
          <w:b w:val="0"/>
          <w:i w:val="0"/>
          <w:color w:val="1A1A1A"/>
          <w:sz w:val="21"/>
        </w:rPr>
        <w:t>. After completing the core unit through השכיבנו, the kehillah said קדיש as a סיום before dispersing. When שמונה עשרה later became standard at מעריב as well, the קדיש remained where it was — at the end of the older core, with the עמידה now appended afterward. The visible position of קדיש "between גאולה and תפילה" today is, on the Raavad's read, an artifact of the older structural placement rather than a deliberate insertion. The exact citation was not specified in the שיעור.</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color w:val="1A1A1A"/>
          <w:sz w:val="21"/>
        </w:rPr>
        <w:t>שולחן ערוך אורח חיים</w:t>
      </w:r>
      <w:r>
        <w:rPr>
          <w:rFonts w:ascii="Georgia" w:hAnsi="Georgia" w:cs="SBL Hebrew" w:eastAsia="Georgia"/>
          <w:b w:val="0"/>
          <w:i w:val="0"/>
          <w:color w:val="1A1A1A"/>
          <w:sz w:val="21"/>
        </w:rPr>
        <w:t xml:space="preserve"> — on the gabbai's announcement of </w:t>
      </w:r>
      <w:r>
        <w:rPr>
          <w:rFonts w:ascii="SBL Hebrew" w:hAnsi="SBL Hebrew" w:cs="SBL Hebrew" w:eastAsia="SBL Hebrew"/>
          <w:b w:val="0"/>
          <w:i w:val="0"/>
          <w:color w:val="1A1A1A"/>
          <w:sz w:val="21"/>
        </w:rPr>
        <w:t>יעלה ויבוא</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על הניסים</w:t>
      </w:r>
      <w:r>
        <w:rPr>
          <w:rFonts w:ascii="Georgia" w:hAnsi="Georgia" w:cs="SBL Hebrew" w:eastAsia="Georgia"/>
          <w:b w:val="0"/>
          <w:i w:val="0"/>
          <w:color w:val="1A1A1A"/>
          <w:sz w:val="21"/>
        </w:rPr>
        <w:t>, ותן טל ומטר.</w:t>
      </w:r>
      <w:r>
        <w:rPr>
          <w:rFonts w:ascii="Georgia" w:hAnsi="Georgia" w:cs="SBL Hebrew" w:eastAsia="Georgia"/>
          <w:b w:val="0"/>
          <w:i w:val="0"/>
          <w:color w:val="1A1A1A"/>
          <w:sz w:val="21"/>
        </w:rPr>
        <w:t xml:space="preserve">— The Shulchan Aruch is explicit that the שליח ציבור (or the gabbai, in practice) may verbalize the relevant reminder at the appropriate point, because the announcement qualifies as </w:t>
      </w:r>
      <w:r>
        <w:rPr>
          <w:rFonts w:ascii="Georgia" w:hAnsi="Georgia" w:cs="SBL Hebrew" w:eastAsia="Georgia"/>
          <w:b w:val="0"/>
          <w:i/>
          <w:color w:val="1A1A1A"/>
          <w:sz w:val="21"/>
        </w:rPr>
        <w:t>צורך התפילה</w:t>
      </w:r>
      <w:r>
        <w:rPr>
          <w:rFonts w:ascii="Georgia" w:hAnsi="Georgia" w:cs="SBL Hebrew" w:eastAsia="Georgia"/>
          <w:b w:val="0"/>
          <w:i w:val="0"/>
          <w:color w:val="1A1A1A"/>
          <w:sz w:val="21"/>
        </w:rPr>
        <w:t xml:space="preserve"> — it enables the tzibbur to daven the correct nusach. It is not classified as "speech" in the sense that creates a halachic problem. The corresponding תשובה of the Rashba addresses the same question directly. Exact siman not specified in the שיעור (the standard discussions are in סימן ק״י and the surrounding ספרים on מעריב and on the structure of שמונה עשרה in different occasions).</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שיעור referenced the Shulchan Aruch's allowance and the Rashba's תשובה without providing exact simanim. Verify against the standard simanim on הפסק, on the announcement of Ya'aleh V'Yavo, and on the structure of שמונה עשרה before relying on a specific formulation.</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color w:val="1A1A1A"/>
          <w:sz w:val="21"/>
        </w:rPr>
        <w:t>שמות פרק ל״א פסוקים ט״ז–י״ז</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וְשָׁמְרוּ בְנֵי יִשְׂרָאֵל אֶת הַשַּׁבָּת לַעֲשׂוֹת אֶת הַשַּׁבָּת לְדֹרֹתָם בְּרִית עוֹלָם. בֵּינִי וּבֵין בְּנֵי יִשְׂרָאֵל אוֹת הִיא לְעֹלָם כִּי שֵׁשֶׁת יָמִים עָשָׂה ה' אֶת הַשָּׁמַיִם וְאֶת הָאָרֶץ וּבַיּוֹם הַשְּׁבִיעִי שָׁבַת וַיִּנָּפַשׁ.</w:t>
      </w:r>
      <w:r>
        <w:rPr>
          <w:rFonts w:ascii="Georgia" w:hAnsi="Georgia" w:cs="SBL Hebrew" w:eastAsia="Georgia"/>
          <w:b w:val="0"/>
          <w:i w:val="0"/>
          <w:color w:val="1A1A1A"/>
          <w:sz w:val="21"/>
        </w:rPr>
        <w:t xml:space="preserve"> The two פסוקים as recited in the siddur after השכיבנו at Friday-night מעריב in most Ashkenazic and Sefardic נוסחאות. The recitation is omitted in Chabad and in certain other communities aligned with the Alter Rebbe's psak that it constitutes a הפסק.</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טור</w:t>
      </w:r>
      <w:r>
        <w:rPr>
          <w:rFonts w:ascii="Georgia" w:hAnsi="Georgia" w:cs="SBL Hebrew" w:eastAsia="Georgia"/>
          <w:b w:val="0"/>
          <w:i w:val="0"/>
          <w:color w:val="1A1A1A"/>
          <w:sz w:val="21"/>
        </w:rPr>
        <w:t xml:space="preserve"> — explanation of the Friday-night changes in השכיבנו and the rationale for ושמרו.</w:t>
      </w:r>
      <w:r>
        <w:rPr>
          <w:rFonts w:ascii="Georgia" w:hAnsi="Georgia" w:cs="SBL Hebrew" w:eastAsia="Georgia"/>
          <w:b w:val="0"/>
          <w:i w:val="0"/>
          <w:color w:val="1A1A1A"/>
          <w:sz w:val="21"/>
        </w:rPr>
        <w:t xml:space="preserve">— ר' יעקב בן אשר (c. 1269–c. 1343, son of the Rosh, author of the Tur) explains that the change in </w:t>
      </w:r>
      <w:r>
        <w:rPr>
          <w:rFonts w:ascii="SBL Hebrew" w:hAnsi="SBL Hebrew" w:cs="SBL Hebrew" w:eastAsia="SBL Hebrew"/>
          <w:b w:val="0"/>
          <w:i w:val="0"/>
          <w:color w:val="1A1A1A"/>
          <w:sz w:val="21"/>
        </w:rPr>
        <w:t>חתימה</w:t>
      </w:r>
      <w:r>
        <w:rPr>
          <w:rFonts w:ascii="Georgia" w:hAnsi="Georgia" w:cs="SBL Hebrew" w:eastAsia="Georgia"/>
          <w:b w:val="0"/>
          <w:i w:val="0"/>
          <w:color w:val="1A1A1A"/>
          <w:sz w:val="21"/>
        </w:rPr>
        <w:t xml:space="preserve"> from </w:t>
      </w:r>
      <w:r>
        <w:rPr>
          <w:rFonts w:ascii="SBL Hebrew" w:hAnsi="SBL Hebrew" w:cs="SBL Hebrew" w:eastAsia="SBL Hebrew"/>
          <w:b w:val="0"/>
          <w:i w:val="0"/>
          <w:color w:val="1A1A1A"/>
          <w:sz w:val="21"/>
        </w:rPr>
        <w:t>שומר עמו ישראל לעד</w:t>
      </w:r>
      <w:r>
        <w:rPr>
          <w:rFonts w:ascii="Georgia" w:hAnsi="Georgia" w:cs="SBL Hebrew" w:eastAsia="Georgia"/>
          <w:b w:val="0"/>
          <w:i w:val="0"/>
          <w:color w:val="1A1A1A"/>
          <w:sz w:val="21"/>
        </w:rPr>
        <w:t xml:space="preserve"> on weekdays to </w:t>
      </w:r>
      <w:r>
        <w:rPr>
          <w:rFonts w:ascii="SBL Hebrew" w:hAnsi="SBL Hebrew" w:cs="SBL Hebrew" w:eastAsia="SBL Hebrew"/>
          <w:b w:val="0"/>
          <w:i w:val="0"/>
          <w:color w:val="1A1A1A"/>
          <w:sz w:val="21"/>
        </w:rPr>
        <w:t>פורש סוכת שלום עלינו</w:t>
      </w:r>
      <w:r>
        <w:rPr>
          <w:rFonts w:ascii="Georgia" w:hAnsi="Georgia" w:cs="SBL Hebrew" w:eastAsia="Georgia"/>
          <w:b w:val="0"/>
          <w:i w:val="0"/>
          <w:color w:val="1A1A1A"/>
          <w:sz w:val="21"/>
        </w:rPr>
        <w:t xml:space="preserve"> on Shabbos reflects that </w:t>
      </w:r>
      <w:r>
        <w:rPr>
          <w:rFonts w:ascii="Georgia" w:hAnsi="Georgia" w:cs="SBL Hebrew" w:eastAsia="Georgia"/>
          <w:b w:val="0"/>
          <w:i/>
          <w:color w:val="1A1A1A"/>
          <w:sz w:val="21"/>
        </w:rPr>
        <w:t>שבת itself is the שמירה</w:t>
      </w:r>
      <w:r>
        <w:rPr>
          <w:rFonts w:ascii="Georgia" w:hAnsi="Georgia" w:cs="SBL Hebrew" w:eastAsia="Georgia"/>
          <w:b w:val="0"/>
          <w:i w:val="0"/>
          <w:color w:val="1A1A1A"/>
          <w:sz w:val="21"/>
        </w:rPr>
        <w:t xml:space="preserve">. The recitation of </w:t>
      </w:r>
      <w:r>
        <w:rPr>
          <w:rFonts w:ascii="SBL Hebrew" w:hAnsi="SBL Hebrew" w:cs="SBL Hebrew" w:eastAsia="SBL Hebrew"/>
          <w:b w:val="0"/>
          <w:i w:val="0"/>
          <w:color w:val="1A1A1A"/>
          <w:sz w:val="21"/>
        </w:rPr>
        <w:t>ושמרו</w:t>
      </w:r>
      <w:r>
        <w:rPr>
          <w:rFonts w:ascii="Georgia" w:hAnsi="Georgia" w:cs="SBL Hebrew" w:eastAsia="Georgia"/>
          <w:b w:val="0"/>
          <w:i w:val="0"/>
          <w:color w:val="1A1A1A"/>
          <w:sz w:val="21"/>
        </w:rPr>
        <w:t xml:space="preserve"> immediately after follows naturally: we do not need to ask for שמירה in the same petitionary mode because Shabbos already </w:t>
      </w:r>
      <w:r>
        <w:rPr>
          <w:rFonts w:ascii="Georgia" w:hAnsi="Georgia" w:cs="SBL Hebrew" w:eastAsia="Georgia"/>
          <w:b w:val="0"/>
          <w:i/>
          <w:color w:val="1A1A1A"/>
          <w:sz w:val="21"/>
        </w:rPr>
        <w:t>is</w:t>
      </w:r>
      <w:r>
        <w:rPr>
          <w:rFonts w:ascii="Georgia" w:hAnsi="Georgia" w:cs="SBL Hebrew" w:eastAsia="Georgia"/>
          <w:b w:val="0"/>
          <w:i w:val="0"/>
          <w:color w:val="1A1A1A"/>
          <w:sz w:val="21"/>
        </w:rPr>
        <w:t xml:space="preserve"> the שמירה — and the recitation makes the structural fact explicit. The Tur's framing was extensively discussed in last week's שיעור (2026-05-17) as well; this week's treatment built on that foundation. Exact siman not specified in the שיעור.</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b w:val="0"/>
          <w:i/>
          <w:color w:val="1A1A1A"/>
          <w:sz w:val="21"/>
        </w:rPr>
        <w:t>ויקרא פרק כ״ג פסוק מ״ד</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וַיְדַבֵּר מֹשֶׁה אֶת מֹעֲדֵי ה' אֶל בְּנֵי יִשְׂרָאֵל.</w:t>
      </w:r>
      <w:r>
        <w:rPr>
          <w:rFonts w:ascii="Georgia" w:hAnsi="Georgia" w:cs="SBL Hebrew" w:eastAsia="Georgia"/>
          <w:b w:val="0"/>
          <w:i w:val="0"/>
          <w:color w:val="1A1A1A"/>
          <w:sz w:val="21"/>
        </w:rPr>
        <w:t xml:space="preserve"> The closing pasuk of the parsha of the מועדים in ויקרא. Recited at Friday-night מעריב on יום טוב (when יום טוב falls on a weekday) in many Ashkenazic and Sefardic נוסחאות as the parallel mode-shifting insert to </w:t>
      </w:r>
      <w:r>
        <w:rPr>
          <w:rFonts w:ascii="SBL Hebrew" w:hAnsi="SBL Hebrew" w:cs="SBL Hebrew" w:eastAsia="SBL Hebrew"/>
          <w:b w:val="0"/>
          <w:i w:val="0"/>
          <w:color w:val="1A1A1A"/>
          <w:sz w:val="21"/>
        </w:rPr>
        <w:t>ושמרו</w:t>
      </w:r>
      <w:r>
        <w:rPr>
          <w:rFonts w:ascii="Georgia" w:hAnsi="Georgia" w:cs="SBL Hebrew" w:eastAsia="Georgia"/>
          <w:b w:val="0"/>
          <w:i w:val="0"/>
          <w:color w:val="1A1A1A"/>
          <w:sz w:val="21"/>
        </w:rPr>
        <w:t xml:space="preserve"> on Shabbos.</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b w:val="0"/>
          <w:i/>
          <w:color w:val="1A1A1A"/>
          <w:sz w:val="21"/>
        </w:rPr>
        <w:t>תהלים פרק פ״א פסוק ד'</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תִּקְעוּ בַחֹדֶשׁ שׁוֹפָר בַּכֵּסֶה לְיוֹם חַגֵּנוּ.</w:t>
      </w:r>
      <w:r>
        <w:rPr>
          <w:rFonts w:ascii="Georgia" w:hAnsi="Georgia" w:cs="SBL Hebrew" w:eastAsia="Georgia"/>
          <w:b w:val="0"/>
          <w:i w:val="0"/>
          <w:color w:val="1A1A1A"/>
          <w:sz w:val="21"/>
        </w:rPr>
        <w:t xml:space="preserve"> Recited at מעריב on ראש השנה in many נוסחאות. The pasuk's reference to the שופר sounded "at the new moon" (or, on a different reading, "at the concealment") is the source for the </w:t>
      </w:r>
      <w:r>
        <w:rPr>
          <w:rFonts w:ascii="SBL Hebrew" w:hAnsi="SBL Hebrew" w:cs="SBL Hebrew" w:eastAsia="SBL Hebrew"/>
          <w:b w:val="0"/>
          <w:i w:val="0"/>
          <w:color w:val="1A1A1A"/>
          <w:sz w:val="21"/>
        </w:rPr>
        <w:t>דרשה</w:t>
      </w:r>
      <w:r>
        <w:rPr>
          <w:rFonts w:ascii="Georgia" w:hAnsi="Georgia" w:cs="SBL Hebrew" w:eastAsia="Georgia"/>
          <w:b w:val="0"/>
          <w:i w:val="0"/>
          <w:color w:val="1A1A1A"/>
          <w:sz w:val="21"/>
        </w:rPr>
        <w:t xml:space="preserve"> that ראש השנה is the only Yom Tov on which the moon is hidden at its inception — and the only one with the central mitzvah of שופר.</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לבוש</w:t>
      </w:r>
      <w:r>
        <w:rPr>
          <w:rFonts w:ascii="Georgia" w:hAnsi="Georgia" w:cs="SBL Hebrew" w:eastAsia="Georgia"/>
          <w:b w:val="0"/>
          <w:i w:val="0"/>
          <w:color w:val="1A1A1A"/>
          <w:sz w:val="21"/>
        </w:rPr>
        <w:t xml:space="preserve"> — framing the Yom Tov inserts as זכר ליציאת מצרים within גאולה אריכתא.</w:t>
      </w:r>
      <w:r>
        <w:rPr>
          <w:rFonts w:ascii="Georgia" w:hAnsi="Georgia" w:cs="SBL Hebrew" w:eastAsia="Georgia"/>
          <w:b w:val="0"/>
          <w:i w:val="0"/>
          <w:color w:val="1A1A1A"/>
          <w:sz w:val="21"/>
        </w:rPr>
        <w:t>— ר' מרדכי יפה (c. 1530–1612), author of the ten-volume Levushim and an important post-Tur halachic codifier. On the Yom Tov inserts at מעריב (</w:t>
      </w:r>
      <w:r>
        <w:rPr>
          <w:rFonts w:ascii="SBL Hebrew" w:hAnsi="SBL Hebrew" w:cs="SBL Hebrew" w:eastAsia="SBL Hebrew"/>
          <w:b w:val="0"/>
          <w:i w:val="0"/>
          <w:color w:val="1A1A1A"/>
          <w:sz w:val="21"/>
        </w:rPr>
        <w:t>דבר משה</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תקעו בחודש שופר</w:t>
      </w:r>
      <w:r>
        <w:rPr>
          <w:rFonts w:ascii="Georgia" w:hAnsi="Georgia" w:cs="SBL Hebrew" w:eastAsia="Georgia"/>
          <w:b w:val="0"/>
          <w:i w:val="0"/>
          <w:color w:val="1A1A1A"/>
          <w:sz w:val="21"/>
        </w:rPr>
        <w:t xml:space="preserve">), the לבוש offers the conceptual frame that all </w:t>
      </w:r>
      <w:r>
        <w:rPr>
          <w:rFonts w:ascii="SBL Hebrew" w:hAnsi="SBL Hebrew" w:cs="SBL Hebrew" w:eastAsia="SBL Hebrew"/>
          <w:b w:val="0"/>
          <w:i w:val="0"/>
          <w:color w:val="1A1A1A"/>
          <w:sz w:val="21"/>
        </w:rPr>
        <w:t>ימים טובים</w:t>
      </w:r>
      <w:r>
        <w:rPr>
          <w:rFonts w:ascii="Georgia" w:hAnsi="Georgia" w:cs="SBL Hebrew" w:eastAsia="Georgia"/>
          <w:b w:val="0"/>
          <w:i w:val="0"/>
          <w:color w:val="1A1A1A"/>
          <w:sz w:val="21"/>
        </w:rPr>
        <w:t xml:space="preserve"> are </w:t>
      </w:r>
      <w:r>
        <w:rPr>
          <w:rFonts w:ascii="SBL Hebrew" w:hAnsi="SBL Hebrew" w:cs="SBL Hebrew" w:eastAsia="SBL Hebrew"/>
          <w:b w:val="0"/>
          <w:i w:val="0"/>
          <w:color w:val="1A1A1A"/>
          <w:sz w:val="21"/>
        </w:rPr>
        <w:t>זכר ליציאת מצרים</w:t>
      </w:r>
      <w:r>
        <w:rPr>
          <w:rFonts w:ascii="Georgia" w:hAnsi="Georgia" w:cs="SBL Hebrew" w:eastAsia="Georgia"/>
          <w:b w:val="0"/>
          <w:i w:val="0"/>
          <w:color w:val="1A1A1A"/>
          <w:sz w:val="21"/>
        </w:rPr>
        <w:t xml:space="preserve"> — and on that reading the inserted פסוקים function as continuations of the redemption theme, parallel to השכיבנו's status as </w:t>
      </w:r>
      <w:r>
        <w:rPr>
          <w:rFonts w:ascii="SBL Hebrew" w:hAnsi="SBL Hebrew" w:cs="SBL Hebrew" w:eastAsia="SBL Hebrew"/>
          <w:b w:val="0"/>
          <w:i w:val="0"/>
          <w:color w:val="1A1A1A"/>
          <w:sz w:val="21"/>
        </w:rPr>
        <w:t>גאולה אריכתא</w:t>
      </w:r>
      <w:r>
        <w:rPr>
          <w:rFonts w:ascii="Georgia" w:hAnsi="Georgia" w:cs="SBL Hebrew" w:eastAsia="Georgia"/>
          <w:b w:val="0"/>
          <w:i w:val="0"/>
          <w:color w:val="1A1A1A"/>
          <w:sz w:val="21"/>
        </w:rPr>
        <w:t>. The framing dissolves the apparent הפסק problem by classifying the inserts as thematic extensions rather than as breaks. Exact siman not specified in the שיעור.</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b w:val="0"/>
          <w:i/>
          <w:color w:val="1A1A1A"/>
          <w:sz w:val="21"/>
        </w:rPr>
        <w:t>סידור ר' שלמה מוורמייזא</w:t>
      </w:r>
      <w:r>
        <w:rPr>
          <w:rFonts w:ascii="Georgia" w:hAnsi="Georgia" w:cs="SBL Hebrew" w:eastAsia="Georgia"/>
          <w:b w:val="0"/>
          <w:i w:val="0"/>
          <w:color w:val="1A1A1A"/>
          <w:sz w:val="21"/>
        </w:rPr>
        <w:t xml:space="preserve"> — chiddush that ושמרו itself was the kehillah's </w:t>
      </w:r>
      <w:r>
        <w:rPr>
          <w:rFonts w:ascii="SBL Hebrew" w:hAnsi="SBL Hebrew" w:cs="SBL Hebrew" w:eastAsia="SBL Hebrew"/>
          <w:b w:val="0"/>
          <w:i w:val="0"/>
          <w:color w:val="1A1A1A"/>
          <w:sz w:val="21"/>
        </w:rPr>
        <w:t>קבלת שבת</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Rabbi Shlomo of Worms — a major contemporary of רש״י, trained with him under </w:t>
      </w:r>
      <w:r>
        <w:rPr>
          <w:rFonts w:ascii="SBL Hebrew" w:hAnsi="SBL Hebrew" w:cs="SBL Hebrew" w:eastAsia="SBL Hebrew"/>
          <w:b w:val="0"/>
          <w:i w:val="0"/>
          <w:color w:val="1A1A1A"/>
          <w:sz w:val="21"/>
        </w:rPr>
        <w:t>רבינו יעקב בר יקר</w:t>
      </w:r>
      <w:r>
        <w:rPr>
          <w:rFonts w:ascii="Georgia" w:hAnsi="Georgia" w:cs="SBL Hebrew" w:eastAsia="Georgia"/>
          <w:b w:val="0"/>
          <w:i w:val="0"/>
          <w:color w:val="1A1A1A"/>
          <w:sz w:val="21"/>
        </w:rPr>
        <w:t xml:space="preserve"> of Mainz, civilly recognized as </w:t>
      </w:r>
      <w:r>
        <w:rPr>
          <w:rFonts w:ascii="Georgia" w:hAnsi="Georgia" w:cs="SBL Hebrew" w:eastAsia="Georgia"/>
          <w:b w:val="0"/>
          <w:i/>
          <w:color w:val="1A1A1A"/>
          <w:sz w:val="21"/>
        </w:rPr>
        <w:t>Episcopus Judaeorum</w:t>
      </w:r>
      <w:r>
        <w:rPr>
          <w:rFonts w:ascii="Georgia" w:hAnsi="Georgia" w:cs="SBL Hebrew" w:eastAsia="Georgia"/>
          <w:b w:val="0"/>
          <w:i w:val="0"/>
          <w:color w:val="1A1A1A"/>
          <w:sz w:val="21"/>
        </w:rPr>
        <w:t xml:space="preserve"> by the imperial authorities and serving as chief Rav of Worms — authored a siddur preserved partly in citation by later ראשונים. The chiddush brought in the שיעור: in the era before the formal structure of Kabbalas Shabbos (which crystallizes only in 16th-century Tzfas under the מקובלים), the recitation of </w:t>
      </w:r>
      <w:r>
        <w:rPr>
          <w:rFonts w:ascii="SBL Hebrew" w:hAnsi="SBL Hebrew" w:cs="SBL Hebrew" w:eastAsia="SBL Hebrew"/>
          <w:b w:val="0"/>
          <w:i w:val="0"/>
          <w:color w:val="1A1A1A"/>
          <w:sz w:val="21"/>
        </w:rPr>
        <w:t>ושמרו</w:t>
      </w:r>
      <w:r>
        <w:rPr>
          <w:rFonts w:ascii="Georgia" w:hAnsi="Georgia" w:cs="SBL Hebrew" w:eastAsia="Georgia"/>
          <w:b w:val="0"/>
          <w:i w:val="0"/>
          <w:color w:val="1A1A1A"/>
          <w:sz w:val="21"/>
        </w:rPr>
        <w:t xml:space="preserve"> by the tzibbur at Friday-night מעריב </w:t>
      </w:r>
      <w:r>
        <w:rPr>
          <w:rFonts w:ascii="Georgia" w:hAnsi="Georgia" w:cs="SBL Hebrew" w:eastAsia="Georgia"/>
          <w:b w:val="0"/>
          <w:i/>
          <w:color w:val="1A1A1A"/>
          <w:sz w:val="21"/>
        </w:rPr>
        <w:t>was itself</w:t>
      </w:r>
      <w:r>
        <w:rPr>
          <w:rFonts w:ascii="Georgia" w:hAnsi="Georgia" w:cs="SBL Hebrew" w:eastAsia="Georgia"/>
          <w:b w:val="0"/>
          <w:i w:val="0"/>
          <w:color w:val="1A1A1A"/>
          <w:sz w:val="21"/>
        </w:rPr>
        <w:t xml:space="preserve"> the kehillah's act of </w:t>
      </w:r>
      <w:r>
        <w:rPr>
          <w:rFonts w:ascii="SBL Hebrew" w:hAnsi="SBL Hebrew" w:cs="SBL Hebrew" w:eastAsia="SBL Hebrew"/>
          <w:b w:val="0"/>
          <w:i w:val="0"/>
          <w:color w:val="1A1A1A"/>
          <w:sz w:val="21"/>
        </w:rPr>
        <w:t>קבלת שבת</w:t>
      </w:r>
      <w:r>
        <w:rPr>
          <w:rFonts w:ascii="Georgia" w:hAnsi="Georgia" w:cs="SBL Hebrew" w:eastAsia="Georgia"/>
          <w:b w:val="0"/>
          <w:i w:val="0"/>
          <w:color w:val="1A1A1A"/>
          <w:sz w:val="21"/>
        </w:rPr>
        <w:t>. The communal recitation made it Shabbos in the synagogue; the kehillah then entered the Shabbos שמונה עשרה. Later Kabbalas Shabbos liturgy was built on top of this older core.</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exact identity of "Rabbi Shlomo of Worms" in the medieval Ashkenazic record is somewhat contested — the most widely cited candidate is R' Shlomo b. Shimshon of Mainz/Worms, killed in the First Crusade massacres of 1096. Last week's שיעור (2026-05-17) discussed his identity at length in connection with the expanded Shabbos נוסח of אשכיבנו (סוכת שלום), and the same identification holds here. The שיעור referenced his siddur for the קבלת שבת chiddush; verify the exact siddur citation against published editions before quoting in a formal context.</w:t>
            </w:r>
          </w:p>
        </w:tc>
      </w:tr>
    </w:tbl>
    <w:p>
      <w:pPr>
        <w:spacing w:before="0" w:after="80"/>
      </w:pP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Reworked from the original שיעור delivered Sunday morning, 24 May 2026 · ז׳ סיון תשפ״ו.</w:t>
      </w:r>
      <w:r>
        <w:br/>
      </w:r>
      <w:r>
        <w:rPr>
          <w:rFonts w:ascii="Georgia" w:hAnsi="Georgia" w:cs="SBL Hebrew" w:eastAsia="Georgia"/>
          <w:b w:val="0"/>
          <w:i/>
          <w:color w:val="5A4B1A"/>
          <w:sz w:val="20"/>
        </w:rPr>
        <w:br/>
        <w:t xml:space="preserve">  Mareh Mekomos prepared with dual-layer citations; uncertain attributions flagged for verification.</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