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6" w:space="1" w:color="B8860B"/>
        </w:pBdr>
      </w:pPr>
    </w:p>
    <w:p>
      <w:pPr>
        <w:jc w:val="center"/>
      </w:pPr>
      <w:r>
        <w:rPr>
          <w:rFonts w:ascii="David" w:hAnsi="David"/>
          <w:color w:val="B8860B"/>
          <w:sz w:val="18"/>
        </w:rPr>
        <w:t>הרב אפרתי · שיעור יום ראשון בבוקר על תפילה</w:t>
      </w:r>
    </w:p>
    <w:p>
      <w:pPr>
        <w:jc w:val="center"/>
      </w:pPr>
      <w:r>
        <w:rPr>
          <w:rFonts w:ascii="David" w:hAnsi="David"/>
          <w:b/>
          <w:color w:val="1E3A8A"/>
          <w:sz w:val="36"/>
        </w:rPr>
        <w:t>הַמִּנְחָה הָאַחֲרוֹנָה, אֲחוֹת קְטַנָּה, וּשְׁבוּעַת הַנְּשָׁמָה שֶׁל הֶחָפֵץ חַיִּים</w:t>
      </w:r>
    </w:p>
    <w:p>
      <w:pPr>
        <w:jc w:val="center"/>
      </w:pPr>
      <w:r>
        <w:rPr>
          <w:rFonts w:ascii="David" w:hAnsi="David"/>
          <w:i/>
          <w:color w:val="2C5282"/>
          <w:sz w:val="22"/>
        </w:rPr>
        <w:t>שיעור לכ״ד אלול — ערב ראש השנה כרגע המכריע ביותר של השנה, וזרמי הפתיחה של המחזור</w:t>
      </w:r>
    </w:p>
    <w:p>
      <w:pPr>
        <w:jc w:val="center"/>
      </w:pPr>
      <w:r>
        <w:rPr>
          <w:rFonts w:ascii="David" w:hAnsi="David"/>
          <w:color w:val="5A4B1A"/>
          <w:sz w:val="18"/>
        </w:rPr>
        <w:t>כ״ד אלול תשפ״ו (6 בספטמבר 2026) · יום היאָרְצייט של החפץ חיים · השני משלושה שיעורים על המחזור</w:t>
      </w:r>
    </w:p>
    <w:p>
      <w:pPr>
        <w:pBdr>
          <w:bottom w:val="single" w:sz="6" w:space="1" w:color="B8860B"/>
        </w:pBdr>
      </w:pPr>
    </w:p>
    <w:p>
      <w:r>
        <w:rPr>
          <w:rFonts w:ascii="David" w:hAnsi="David"/>
          <w:i/>
          <w:color w:val="3B3B3B"/>
        </w:rPr>
        <w:br/>
        <w:t xml:space="preserve">  שישה ימים לפני ראש השנה, ביום היאָרְצייט של החפץ חיים, פותח הרב את המחזור ממקום בלתי־שגרתי — </w:t>
      </w:r>
      <w:r>
        <w:rPr>
          <w:rFonts w:ascii="David" w:hAnsi="David"/>
          <w:i/>
          <w:color w:val="3B3B3B"/>
        </w:rPr>
        <w:t>לא</w:t>
      </w:r>
      <w:r>
        <w:rPr>
          <w:rFonts w:ascii="David" w:hAnsi="David"/>
          <w:i/>
          <w:color w:val="3B3B3B"/>
        </w:rPr>
        <w:t xml:space="preserve"> ממעריב הראשון של ראש השנה, אלא מן המנחה החותמת את השנה שעברה. משם עובר השיעור דרך אֲחוֹת קְטַנָּה (פיוט המעבר של הספרדים, שחיבר בן דורו של הרמב״ן), הסגולה של האריז״ל בלְדָוִד מִזְמוֹר והשם חת״ך, חידושו של החפץ חיים ש</w:t>
      </w:r>
      <w:r>
        <w:rPr>
          <w:rFonts w:ascii="David" w:hAnsi="David"/>
          <w:i/>
          <w:color w:val="3B3B3B"/>
        </w:rPr>
        <w:t>וְלֹא נִשְׁבַּע לְמִרְמָה</w:t>
      </w:r>
      <w:r>
        <w:rPr>
          <w:rFonts w:ascii="David" w:hAnsi="David"/>
          <w:i/>
          <w:color w:val="3B3B3B"/>
        </w:rPr>
        <w:t xml:space="preserve"> מכוון לשבועה הקדומה שהנשמה נשבעת במעי אמה, המתח ההלכתי סביב שיר המעלות מִמַּעֲמַקִּים בין יִשְׁתַּבַּח ליוֹצֵר אור, הגנת הדגל מרבבה מעדות הרמב״ם על מנהג ספרד הקדומה, הדקדוק החמור בין </w:t>
      </w:r>
      <w:r>
        <w:rPr>
          <w:rFonts w:ascii="David" w:hAnsi="David"/>
          <w:i/>
          <w:color w:val="3B3B3B"/>
        </w:rPr>
        <w:t>לְחַיִּים / לַחַיִּים</w:t>
      </w:r>
      <w:r>
        <w:rPr>
          <w:rFonts w:ascii="David" w:hAnsi="David"/>
          <w:i/>
          <w:color w:val="3B3B3B"/>
        </w:rPr>
        <w:t xml:space="preserve"> בזָכְרֵנוּ, וחותם במקורו של אָבִינוּ מַלְכֵּנוּ אצל רבי עקיבא בעצירת הגשמים (וגימטריית הראשונים: </w:t>
      </w:r>
      <w:r>
        <w:rPr>
          <w:rFonts w:ascii="David" w:hAnsi="David"/>
          <w:i/>
          <w:color w:val="3B3B3B"/>
        </w:rPr>
        <w:t>רַבִּי עֲקִיבָא יְסָדוֹ</w:t>
      </w:r>
      <w:r>
        <w:rPr>
          <w:rFonts w:ascii="David" w:hAnsi="David"/>
          <w:i/>
          <w:color w:val="3B3B3B"/>
        </w:rPr>
        <w:t>). פתיחה רבודה של הקשת.</w:t>
        <w:br/>
      </w:r>
    </w:p>
    <w:p>
      <w:r>
        <w:rPr>
          <w:rFonts w:ascii="David" w:hAnsi="David"/>
          <w:b/>
          <w:color w:val="1E3A8A"/>
          <w:sz w:val="26"/>
        </w:rPr>
        <w:t>א. פתיחה — כ״ד אלול, יאָרְצייט של החפץ חיים</w:t>
      </w:r>
    </w:p>
    <w:p>
      <w:pPr>
        <w:pBdr>
          <w:bottom w:val="single" w:sz="6" w:space="1" w:color="B8860B"/>
        </w:pBdr>
      </w:pPr>
    </w:p>
    <w:p>
      <w:r>
        <w:rPr>
          <w:rFonts w:ascii="David" w:hAnsi="David"/>
        </w:rPr>
        <w:br/>
        <w:t xml:space="preserve">  השיעור נפתח בעובדה המצמררת של התאריך. היום כ״ד אלול — יום היאָרְצייט של </w:t>
      </w:r>
      <w:r>
        <w:rPr>
          <w:rFonts w:ascii="David" w:hAnsi="David"/>
          <w:b/>
        </w:rPr>
        <w:t>החפץ חיים</w:t>
      </w:r>
      <w:r>
        <w:rPr>
          <w:rFonts w:ascii="David" w:hAnsi="David"/>
        </w:rPr>
        <w:t xml:space="preserve">, רב ישראל מאיר הכהן מראדין (תקצ״ט–תרצ״ג). </w:t>
      </w:r>
      <w:r>
        <w:rPr>
          <w:rFonts w:ascii="David" w:hAnsi="David"/>
          <w:i/>
        </w:rPr>
        <w:t>״מה היינו עושים בלי המשנה ברורה? מה היינו עושים בלי כל הספרים הקדושים שלו?״</w:t>
      </w:r>
      <w:r>
        <w:rPr>
          <w:rFonts w:ascii="David" w:hAnsi="David"/>
        </w:rPr>
        <w:t xml:space="preserve"> ראוי הוא, מעיר הרב, לפתוח את דיון היום בקאפיטל תהילים ש</w:t>
      </w:r>
      <w:r>
        <w:rPr>
          <w:rFonts w:ascii="David" w:hAnsi="David"/>
          <w:i/>
        </w:rPr>
        <w:t>הדגיש</w:t>
      </w:r>
      <w:r>
        <w:rPr>
          <w:rFonts w:ascii="David" w:hAnsi="David"/>
        </w:rPr>
        <w:t xml:space="preserve"> החפץ חיים — קאפיטל שהתחבט בפשוטו, ופתח את מובנו בחידוש הפותח את כל הפרק.</w:t>
        <w:br/>
      </w:r>
    </w:p>
    <w:p>
      <w:r>
        <w:rPr>
          <w:rFonts w:ascii="David" w:hAnsi="David"/>
        </w:rPr>
        <w:br/>
        <w:t xml:space="preserve">  אבל עוד קודם לחידוש הזה — מכלול של הקדמות. שכן המחזור אינו מתחיל במעריב. הוא מתחיל במנחה החותמת את השנה.</w:t>
        <w:br/>
      </w:r>
    </w:p>
    <w:p>
      <w:r>
        <w:rPr>
          <w:rFonts w:ascii="David" w:hAnsi="David"/>
          <w:b/>
          <w:color w:val="1E3A8A"/>
          <w:sz w:val="26"/>
        </w:rPr>
        <w:t>ב. המנחה האחרונה של השנה —הַכֹּל הוֹלֵךְ אַחַר הַחִתּוּם</w:t>
      </w:r>
    </w:p>
    <w:p>
      <w:pPr>
        <w:pBdr>
          <w:bottom w:val="single" w:sz="6" w:space="1" w:color="B8860B"/>
        </w:pBdr>
      </w:pPr>
    </w:p>
    <w:p>
      <w:r>
        <w:rPr>
          <w:rFonts w:ascii="David" w:hAnsi="David"/>
        </w:rPr>
        <w:br/>
        <w:t xml:space="preserve">  מנחת ערב ראש השנה נראית בלתי־בולטת: </w:t>
      </w:r>
      <w:r>
        <w:rPr>
          <w:rFonts w:ascii="David" w:hAnsi="David"/>
        </w:rPr>
        <w:t>אַשְׁרֵי</w:t>
      </w:r>
      <w:r>
        <w:t xml:space="preserve">, </w:t>
      </w:r>
      <w:r>
        <w:rPr>
          <w:rFonts w:ascii="David" w:hAnsi="David"/>
        </w:rPr>
        <w:t>שְׁמוֹנֶה עֶשְׂרֵה</w:t>
      </w:r>
      <w:r>
        <w:rPr>
          <w:rFonts w:ascii="David" w:hAnsi="David"/>
        </w:rPr>
        <w:t xml:space="preserve">, נגמר. אבל היא </w:t>
      </w:r>
      <w:r>
        <w:rPr>
          <w:rFonts w:ascii="David" w:hAnsi="David"/>
          <w:i/>
        </w:rPr>
        <w:t>המנחה האחרונה של תשפ״ו</w:t>
      </w:r>
      <w:r>
        <w:rPr>
          <w:rFonts w:ascii="David" w:hAnsi="David"/>
        </w:rPr>
        <w:t xml:space="preserve"> — הרגע האחרון שיש לשנה לחתום את עצמה. והכלל ידוע:</w:t>
      </w:r>
      <w:r>
        <w:rPr>
          <w:color w:val="B8860B"/>
          <w:sz w:val="16"/>
          <w:vertAlign w:val="superscript"/>
        </w:rPr>
        <w:t>[1]</w:t>
      </w:r>
      <w:r>
        <w:t xml:space="preserve"> </w:t>
      </w:r>
      <w:r>
        <w:rPr>
          <w:rFonts w:ascii="David" w:hAnsi="David"/>
        </w:rPr>
        <w:t>הַכֹּל הוֹלֵךְ אַחַר הַחִתּוּם</w:t>
      </w:r>
      <w:r>
        <w:rPr>
          <w:rFonts w:ascii="David" w:hAnsi="David"/>
        </w:rPr>
        <w:t xml:space="preserve"> — הכל הולך אחר החתימה. הקדוש ברוך הוא דן דבר על פי סופו.</w:t>
        <w:br/>
      </w:r>
    </w:p>
    <w:p>
      <w:r>
        <w:rPr>
          <w:rFonts w:ascii="David" w:hAnsi="David"/>
          <w:b/>
          <w:color w:val="B8860B"/>
          <w:sz w:val="18"/>
        </w:rPr>
        <w:t>מעשה — ר׳ יואל גראס ממיאמי והרבי מסקווירא</w:t>
      </w:r>
    </w:p>
    <w:p>
      <w:pPr>
        <w:ind w:left="288"/>
      </w:pPr>
      <w:r>
        <w:rPr>
          <w:rFonts w:ascii="David" w:hAnsi="David"/>
        </w:rPr>
        <w:br/>
        <w:t xml:space="preserve">    הרב מספר מעשה שקיבל מידיד יקר, </w:t>
      </w:r>
      <w:r>
        <w:rPr>
          <w:rFonts w:ascii="David" w:hAnsi="David"/>
          <w:b/>
        </w:rPr>
        <w:t>ר׳ יואל גראס ז״ל ממיאמי</w:t>
      </w:r>
      <w:r>
        <w:rPr>
          <w:rFonts w:ascii="David" w:hAnsi="David"/>
        </w:rPr>
        <w:t xml:space="preserve">, האייניקל הבכור של ר׳ ישעיה׳לה מקערעסטיר, יהודי שחי ונשם את רוח זקנו. מדי ערב ראש השנה היה ר׳ יואל </w:t>
      </w:r>
      <w:r>
        <w:rPr>
          <w:rFonts w:ascii="David" w:hAnsi="David"/>
          <w:i/>
        </w:rPr>
        <w:t>עובר לפני התיבה</w:t>
      </w:r>
      <w:r>
        <w:rPr>
          <w:rFonts w:ascii="David" w:hAnsi="David"/>
        </w:rPr>
        <w:t xml:space="preserve"> במנחה של בית הכנסת. וכל שנה, באותו מקום — </w:t>
      </w:r>
      <w:r>
        <w:rPr>
          <w:rFonts w:ascii="David" w:hAnsi="David"/>
        </w:rPr>
        <w:t>בָּרֵךְ עָלֵינוּ הַשָּׁנָה הַזֹּאת</w:t>
      </w:r>
      <w:r>
        <w:rPr>
          <w:rFonts w:ascii="David" w:hAnsi="David"/>
        </w:rPr>
        <w:t xml:space="preserve"> — היה פורץ בבכי עצום.</w:t>
      </w:r>
      <w:r>
        <w:rPr>
          <w:color w:val="B8860B"/>
          <w:sz w:val="16"/>
          <w:vertAlign w:val="superscript"/>
        </w:rPr>
        <w:t>[2]</w:t>
      </w:r>
      <w:r>
        <w:br/>
      </w:r>
    </w:p>
    <w:p>
      <w:pPr>
        <w:ind w:left="288"/>
      </w:pPr>
      <w:r>
        <w:br/>
      </w:r>
      <w:r>
        <w:rPr>
          <w:rFonts w:ascii="David" w:hAnsi="David"/>
          <w:i/>
        </w:rPr>
        <w:t>״למה לבכות כל כך״</w:t>
      </w:r>
      <w:r>
        <w:rPr>
          <w:rFonts w:ascii="David" w:hAnsi="David"/>
        </w:rPr>
        <w:t xml:space="preserve">, שאלו הרב, </w:t>
      </w:r>
      <w:r>
        <w:rPr>
          <w:rFonts w:ascii="David" w:hAnsi="David"/>
          <w:i/>
        </w:rPr>
        <w:t>״על ׳ברך עלינו את השנה הזאת׳ — כשנותרו לשנה זו רק דקות?״</w:t>
      </w:r>
      <w:r>
        <w:rPr>
          <w:rFonts w:ascii="David" w:hAnsi="David"/>
        </w:rPr>
        <w:t xml:space="preserve"> הסביר ר׳ יואל: בהיותו בחור התפלל אצל הרבי הקודם מסקווירא, רב יעקב יוסף טווערסקי זצ״ל, שהיה בוכה באותו מקום באותו האופן.</w:t>
      </w:r>
      <w:r>
        <w:rPr>
          <w:color w:val="B8860B"/>
          <w:sz w:val="16"/>
          <w:vertAlign w:val="superscript"/>
        </w:rPr>
        <w:t>[3]</w:t>
      </w:r>
      <w:r>
        <w:rPr>
          <w:rFonts w:ascii="David" w:hAnsi="David"/>
        </w:rPr>
        <w:t xml:space="preserve"> לימד הרבי מסקווירא: </w:t>
      </w:r>
      <w:r>
        <w:rPr>
          <w:rFonts w:ascii="David" w:hAnsi="David"/>
          <w:i/>
        </w:rPr>
        <w:t>במנחה האחרונה, כשיהודי מתחנן בדמעות ״בָּרֵךְ עָלֵינוּ הַשָּׁנָה הַזֹּאת״ — הוא יכול לְרַחֵץ את כל השנה למפרע.</w:t>
      </w:r>
      <w:r>
        <w:rPr>
          <w:rFonts w:ascii="David" w:hAnsi="David"/>
        </w:rPr>
        <w:t xml:space="preserve"> השנה נחתמת; החתימה עתה. רגע אחד של כוונה נכונה, של דמעה על ״השנה שהיתה״ — יכול להעלות עמו את כל השנה.</w:t>
        <w:br/>
        <w:t xml:space="preserve">  </w:t>
      </w:r>
    </w:p>
    <w:p>
      <w:r>
        <w:rPr>
          <w:rFonts w:ascii="David" w:hAnsi="David"/>
        </w:rPr>
        <w:br/>
        <w:t xml:space="preserve">  זהו כוחה של המנחה האחרונה. בבהילות ערב ראש השנה — מקוה, הכנות של הרגע האחרון, הכנות גשמיות — עלול יהודי להסיח דעתו ש</w:t>
      </w:r>
      <w:r>
        <w:rPr>
          <w:rFonts w:ascii="David" w:hAnsi="David"/>
          <w:i/>
        </w:rPr>
        <w:t>זהו</w:t>
      </w:r>
      <w:r>
        <w:rPr>
          <w:rFonts w:ascii="David" w:hAnsi="David"/>
        </w:rPr>
        <w:t xml:space="preserve"> הרגע. יתכן והמנחה הזו של תשפ״ו היא התפילה המכרעת ביותר של השנה.</w:t>
        <w:br/>
      </w:r>
    </w:p>
    <w:p>
      <w:r>
        <w:rPr>
          <w:rFonts w:ascii="David" w:hAnsi="David"/>
          <w:b/>
          <w:color w:val="1E3A8A"/>
          <w:sz w:val="26"/>
        </w:rPr>
        <w:t>ג. אֲחוֹת קְטַנָּה — פיוט המעבר הספרדי</w:t>
      </w:r>
    </w:p>
    <w:p>
      <w:pPr>
        <w:pBdr>
          <w:bottom w:val="single" w:sz="6" w:space="1" w:color="B8860B"/>
        </w:pBdr>
      </w:pPr>
    </w:p>
    <w:p>
      <w:r>
        <w:rPr>
          <w:rFonts w:ascii="David" w:hAnsi="David"/>
        </w:rPr>
        <w:br/>
        <w:t xml:space="preserve">  בין מנחת השנה הישנה למעריב של השנה החדשה, יש פיוט שהרב היה רוצה להנהיג בבית הכנסת. הרבה קהילות — ובפרט ספרדים — אומרים </w:t>
      </w:r>
      <w:r>
        <w:rPr>
          <w:rFonts w:ascii="David" w:hAnsi="David"/>
          <w:b/>
        </w:rPr>
        <w:t>אֲחוֹת קְטַנָּה</w:t>
      </w:r>
      <w:r>
        <w:rPr>
          <w:rFonts w:ascii="David" w:hAnsi="David"/>
        </w:rPr>
        <w:t xml:space="preserve"> אחרי מנחה, סמוך לתפילת ערבית של ראש השנה. הוא תופס את המעבר בצורה מדויקת.</w:t>
        <w:br/>
      </w:r>
    </w:p>
    <w:p>
      <w:r>
        <w:rPr>
          <w:rFonts w:ascii="David" w:hAnsi="David"/>
        </w:rPr>
        <w:br/>
        <w:t xml:space="preserve">  את הפיוט חיבר </w:t>
      </w:r>
      <w:r>
        <w:rPr>
          <w:rFonts w:ascii="David" w:hAnsi="David"/>
          <w:b/>
        </w:rPr>
        <w:t>רב אברהם חזן</w:t>
      </w:r>
      <w:r>
        <w:rPr>
          <w:rFonts w:ascii="David" w:hAnsi="David"/>
        </w:rPr>
        <w:t>, בן דורו של הרמב״ן — הרמב״ן אף הספיד אותו.</w:t>
      </w:r>
      <w:r>
        <w:rPr>
          <w:color w:val="B8860B"/>
          <w:sz w:val="16"/>
          <w:vertAlign w:val="superscript"/>
        </w:rPr>
        <w:t>[4]</w:t>
      </w:r>
      <w:r>
        <w:rPr>
          <w:rFonts w:ascii="David" w:hAnsi="David"/>
        </w:rPr>
        <w:t xml:space="preserve"> שמו — </w:t>
      </w:r>
      <w:r>
        <w:rPr>
          <w:rFonts w:ascii="David" w:hAnsi="David"/>
        </w:rPr>
        <w:t>אַבְרָהָם חָזָן חָזָק</w:t>
      </w:r>
      <w:r>
        <w:rPr>
          <w:rFonts w:ascii="David" w:hAnsi="David"/>
        </w:rPr>
        <w:t xml:space="preserve"> — חתום כאקרוסטיכון לאורך הבתים.</w:t>
        <w:br/>
      </w:r>
    </w:p>
    <w:p>
      <w:r>
        <w:rPr>
          <w:rFonts w:ascii="David" w:hAnsi="David"/>
        </w:rPr>
        <w:br/>
        <w:t xml:space="preserve">  הנושא רוכב על הגמרא</w:t>
      </w:r>
      <w:r>
        <w:rPr>
          <w:color w:val="B8860B"/>
          <w:sz w:val="16"/>
          <w:vertAlign w:val="superscript"/>
        </w:rPr>
        <w:t>[5]</w:t>
      </w:r>
      <w:r>
        <w:rPr>
          <w:rFonts w:ascii="David" w:hAnsi="David"/>
        </w:rPr>
        <w:t xml:space="preserve"> המבארת למה קוראים את הקללות של כי תבא לפני ראש השנה: </w:t>
      </w:r>
      <w:r>
        <w:rPr>
          <w:rFonts w:ascii="David" w:hAnsi="David"/>
        </w:rPr>
        <w:t>תִּכְלֶה שָׁנָה וְקִלְלוֹתֶיהָ</w:t>
      </w:r>
      <w:r>
        <w:rPr>
          <w:rFonts w:ascii="David" w:hAnsi="David"/>
        </w:rPr>
        <w:t>. כל בית של אֲחוֹת קְטַנָּה, המונה את צרותיהם של כלל ישראל בגלות, חותם בפזמון זה. הבית האחרון מפנה אל השנה החדשה:</w:t>
        <w:br/>
      </w:r>
    </w:p>
    <w:p>
      <w:pPr>
        <w:ind w:left="432"/>
      </w:pPr>
      <w:r>
        <w:rPr>
          <w:i/>
        </w:rPr>
        <w:br/>
      </w:r>
      <w:r>
        <w:rPr>
          <w:rFonts w:ascii="David" w:hAnsi="David"/>
          <w:i/>
        </w:rPr>
        <w:t>תָּחֵל שָׁנָה וּבִרְכוֹתֶיהָ</w:t>
      </w:r>
      <w:r>
        <w:rPr>
          <w:i/>
        </w:rPr>
        <w:t xml:space="preserve"> — </w:t>
      </w:r>
      <w:r>
        <w:rPr>
          <w:rFonts w:ascii="David" w:hAnsi="David"/>
          <w:i/>
        </w:rPr>
        <w:t>תחל שנה וברכותיה.</w:t>
      </w:r>
      <w:r>
        <w:rPr>
          <w:i/>
        </w:rPr>
        <w:br/>
      </w:r>
    </w:p>
    <w:p>
      <w:r>
        <w:rPr>
          <w:rFonts w:ascii="David" w:hAnsi="David"/>
        </w:rPr>
        <w:br/>
        <w:t xml:space="preserve">  שתי דקות של פיוט, הממסגרות בעוצמה את התפר. וה״קללות״ שהפיוט מתפלל לסיים אינן רק חומריות — לחץ פרנסה, בריאות, שלום בית — אלא גם רוחניות: הָאָרוּר של עברה, הקללות שהתורה מייחדת לעברות מסוימות. אֲחוֹת קְטַנָּה סוללת דרך לשנה של ברכה — </w:t>
      </w:r>
      <w:r>
        <w:rPr>
          <w:rFonts w:ascii="David" w:hAnsi="David"/>
          <w:i/>
        </w:rPr>
        <w:t>גם</w:t>
      </w:r>
      <w:r>
        <w:rPr>
          <w:rFonts w:ascii="David" w:hAnsi="David"/>
        </w:rPr>
        <w:t xml:space="preserve"> גשמית וגם רוחנית.</w:t>
        <w:br/>
      </w:r>
    </w:p>
    <w:p>
      <w:r>
        <w:rPr>
          <w:rFonts w:ascii="David" w:hAnsi="David"/>
          <w:b/>
          <w:color w:val="1E3A8A"/>
          <w:sz w:val="26"/>
        </w:rPr>
        <w:t>ד. לְדָוִד מִזְמוֹר — סגולת האריז״ל לפרנסה</w:t>
      </w:r>
    </w:p>
    <w:p>
      <w:pPr>
        <w:pBdr>
          <w:bottom w:val="single" w:sz="6" w:space="1" w:color="B8860B"/>
        </w:pBdr>
      </w:pPr>
    </w:p>
    <w:p>
      <w:r>
        <w:rPr>
          <w:rFonts w:ascii="David" w:hAnsi="David"/>
          <w:i/>
          <w:color w:val="B8860B"/>
          <w:sz w:val="24"/>
        </w:rPr>
        <w:t>הסגולה, וה״לְדָוִד מִזְמוֹר טיש״ של בעלז</w:t>
      </w:r>
    </w:p>
    <w:p>
      <w:r>
        <w:rPr>
          <w:rFonts w:ascii="David" w:hAnsi="David"/>
        </w:rPr>
        <w:br/>
        <w:t xml:space="preserve">  סגולה מפורסמת, ישירה מן </w:t>
      </w:r>
      <w:r>
        <w:rPr>
          <w:rFonts w:ascii="David" w:hAnsi="David"/>
          <w:b/>
        </w:rPr>
        <w:t>האריז״ל</w:t>
      </w:r>
      <w:r>
        <w:rPr>
          <w:rFonts w:ascii="David" w:hAnsi="David"/>
        </w:rPr>
        <w:t xml:space="preserve">: אמירת </w:t>
      </w:r>
      <w:r>
        <w:rPr>
          <w:rFonts w:ascii="David" w:hAnsi="David"/>
          <w:b/>
        </w:rPr>
        <w:t>לְדָוִד מִזְמוֹר</w:t>
      </w:r>
      <w:r>
        <w:rPr>
          <w:rFonts w:ascii="David" w:hAnsi="David"/>
        </w:rPr>
        <w:t xml:space="preserve"> (תהילים כ״ד) בכוונה אחרי מעריב של ליל הראשון והשני של ראש השנה — ושוב ביום כיפור — היא כלי להמשכת פרנסה לכל השנה.</w:t>
      </w:r>
      <w:r>
        <w:rPr>
          <w:color w:val="B8860B"/>
          <w:sz w:val="16"/>
          <w:vertAlign w:val="superscript"/>
        </w:rPr>
        <w:t>[6]</w:t>
      </w:r>
      <w:r>
        <w:br/>
      </w:r>
    </w:p>
    <w:p>
      <w:r>
        <w:rPr>
          <w:rFonts w:ascii="David" w:hAnsi="David"/>
        </w:rPr>
        <w:br/>
        <w:t xml:space="preserve">  אומרים את הקאפיטל הזה תדיר; בלילות אלו הוא נושא כוח בלתי־רגיל. בכמה חוגים חסידיים לוקחים את המנהג ברצינות רבה — </w:t>
      </w:r>
      <w:r>
        <w:rPr>
          <w:rFonts w:ascii="David" w:hAnsi="David"/>
          <w:b/>
        </w:rPr>
        <w:t>בעלז</w:t>
      </w:r>
      <w:r>
        <w:rPr>
          <w:rFonts w:ascii="David" w:hAnsi="David"/>
        </w:rPr>
        <w:t>, לדוגמה, עורכים טיש מיוחד בליל שני של ראש השנה, ה״לְדָוִד מִזְמוֹר טיש״, שם אלפי חסידים אומרים את המזמור יחד, פסוק בפסוק.</w:t>
        <w:br/>
      </w:r>
    </w:p>
    <w:p>
      <w:r>
        <w:rPr>
          <w:rFonts w:ascii="David" w:hAnsi="David"/>
          <w:i/>
          <w:color w:val="B8860B"/>
          <w:sz w:val="24"/>
        </w:rPr>
        <w:t>השורש הקבלי — השםחת״ך</w:t>
      </w:r>
    </w:p>
    <w:p>
      <w:r>
        <w:rPr>
          <w:rFonts w:ascii="David" w:hAnsi="David"/>
        </w:rPr>
        <w:br/>
        <w:t xml:space="preserve">  המקובלים מקשרים קאפיטל זה לשם הקדוש של פרנסה, </w:t>
      </w:r>
      <w:r>
        <w:rPr>
          <w:rFonts w:ascii="David" w:hAnsi="David"/>
          <w:b/>
        </w:rPr>
        <w:t>חת״ך</w:t>
      </w:r>
      <w:r>
        <w:rPr>
          <w:rFonts w:ascii="David" w:hAnsi="David"/>
        </w:rPr>
        <w:t>. שני שרשים בתהילה:</w:t>
        <w:br/>
      </w:r>
    </w:p>
    <w:p>
      <w:r>
        <w:rPr>
          <w:rFonts w:ascii="David" w:hAnsi="David"/>
        </w:rPr>
        <w:br/>
        <w:t xml:space="preserve">  אמירת לְדָוִד מִזְמוֹר בראש השנה, בכוונה, מחברת יהודי לצינור השפעדיקן של חת״ך. וזה בא באחריות: הקדוש ברוך הוא </w:t>
      </w:r>
      <w:r>
        <w:rPr>
          <w:rFonts w:ascii="David" w:hAnsi="David"/>
        </w:rPr>
        <w:t>פּוֹתֵחַ יָדֶךָ</w:t>
      </w:r>
      <w:r>
        <w:rPr>
          <w:rFonts w:ascii="David" w:hAnsi="David"/>
        </w:rPr>
        <w:t xml:space="preserve"> אלינו — ואנו, בתורנו, צריכים לפתוח ידינו להיות </w:t>
      </w:r>
      <w:r>
        <w:rPr>
          <w:rFonts w:ascii="David" w:hAnsi="David"/>
        </w:rPr>
        <w:t>מַשְׂבִּיעַ לְכָל חַי רָצוֹן</w:t>
      </w:r>
      <w:r>
        <w:t>.</w:t>
        <w:br/>
      </w:r>
    </w:p>
    <w:p>
      <w:r>
        <w:rPr>
          <w:rFonts w:ascii="David" w:hAnsi="David"/>
          <w:b/>
          <w:color w:val="1E3A8A"/>
          <w:sz w:val="26"/>
        </w:rPr>
        <w:t>ה. חידושו של החפץ חיים על לְדָוִד מִזְמוֹר</w:t>
      </w:r>
    </w:p>
    <w:p>
      <w:pPr>
        <w:pBdr>
          <w:bottom w:val="single" w:sz="6" w:space="1" w:color="B8860B"/>
        </w:pBdr>
      </w:pPr>
    </w:p>
    <w:p>
      <w:r>
        <w:rPr>
          <w:rFonts w:ascii="David" w:hAnsi="David"/>
        </w:rPr>
        <w:br/>
        <w:t xml:space="preserve">  החפץ חיים הוקשה לו בפשט הפסוק האמצעי:</w:t>
        <w:br/>
      </w:r>
    </w:p>
    <w:p>
      <w:pPr>
        <w:ind w:left="432"/>
      </w:pPr>
      <w:r>
        <w:rPr>
          <w:i/>
        </w:rPr>
        <w:br/>
      </w:r>
      <w:r>
        <w:rPr>
          <w:rFonts w:ascii="David" w:hAnsi="David"/>
          <w:i/>
        </w:rPr>
        <w:t>מִי־יַעֲלֶה בְהַר־ה׳ וּמִי־יָקוּם בִּמְקוֹם קָדְשׁוֹ׃ נְקִי כַפַּיִם וּבַר־לֵבָב, אֲשֶׁר לֹא־נָשָׂא לַשָּׁוְא נַפְשִׁי וְלֹא נִשְׁבַּע לְמִרְמָה׃</w:t>
      </w:r>
      <w:r>
        <w:rPr>
          <w:i/>
        </w:rPr>
        <w:br/>
      </w:r>
    </w:p>
    <w:p>
      <w:r>
        <w:rPr>
          <w:rFonts w:ascii="David" w:hAnsi="David"/>
        </w:rPr>
        <w:br/>
        <w:t xml:space="preserve">  מי יעלה בהר ה׳? בעל </w:t>
      </w:r>
      <w:r>
        <w:rPr>
          <w:rFonts w:ascii="David" w:hAnsi="David"/>
          <w:b/>
        </w:rPr>
        <w:t>נקיי כפים ובר לבב</w:t>
      </w:r>
      <w:r>
        <w:rPr>
          <w:rFonts w:ascii="David" w:hAnsi="David"/>
        </w:rPr>
        <w:t>, שלא נשבע לשוא בנפשי ולא נשבע למרמה.</w:t>
      </w:r>
      <w:r>
        <w:rPr>
          <w:color w:val="B8860B"/>
          <w:sz w:val="16"/>
          <w:vertAlign w:val="superscript"/>
        </w:rPr>
        <w:t>[8]</w:t>
      </w:r>
      <w:r>
        <w:br/>
      </w:r>
    </w:p>
    <w:p>
      <w:r>
        <w:rPr>
          <w:rFonts w:ascii="David" w:hAnsi="David"/>
          <w:i/>
          <w:color w:val="B8860B"/>
          <w:sz w:val="24"/>
        </w:rPr>
        <w:t>נְקִי כַפַּיִם— יושר בממון</w:t>
      </w:r>
    </w:p>
    <w:p>
      <w:r>
        <w:rPr>
          <w:rFonts w:ascii="David" w:hAnsi="David"/>
        </w:rPr>
        <w:br/>
        <w:t xml:space="preserve">  ״נקיי כפים״ הוא מטבע הלשון של יושר בממון. דבר יפה הוא, אומר הרב, כשיהודים מתקשרים בשאלה: </w:t>
      </w:r>
      <w:r>
        <w:rPr>
          <w:rFonts w:ascii="David" w:hAnsi="David"/>
          <w:i/>
        </w:rPr>
        <w:t>״האם אני חייב להחזיר לפלוני?״</w:t>
      </w:r>
      <w:r>
        <w:rPr>
          <w:rFonts w:ascii="David" w:hAnsi="David"/>
        </w:rPr>
        <w:t xml:space="preserve"> — עצם השאילה היא כבר בגדר הנקיי כפים. פירושה שאתה יכול לעמוד לפני הקדוש ברוך הוא, לפתוח את כפיך, ולומר: </w:t>
      </w:r>
      <w:r>
        <w:rPr>
          <w:rFonts w:ascii="David" w:hAnsi="David"/>
          <w:i/>
        </w:rPr>
        <w:t>אני נקי. לא לקחתי מה שאינו שלי.</w:t>
      </w:r>
      <w:r>
        <w:br/>
      </w:r>
    </w:p>
    <w:p>
      <w:r>
        <w:rPr>
          <w:rFonts w:ascii="David" w:hAnsi="David"/>
          <w:i/>
          <w:color w:val="B8860B"/>
          <w:sz w:val="24"/>
        </w:rPr>
        <w:t>וְלֹא נִשְׁבַּע לְמִרְמָה— השבועה הקדומה</w:t>
      </w:r>
    </w:p>
    <w:p>
      <w:r>
        <w:rPr>
          <w:rFonts w:ascii="David" w:hAnsi="David"/>
        </w:rPr>
        <w:br/>
        <w:t xml:space="preserve">  אבל </w:t>
      </w:r>
      <w:r>
        <w:rPr>
          <w:rFonts w:ascii="David" w:hAnsi="David"/>
        </w:rPr>
        <w:t>וְלֹא נִשְׁבַּע לְמִרְמָה</w:t>
      </w:r>
      <w:r>
        <w:rPr>
          <w:rFonts w:ascii="David" w:hAnsi="David"/>
        </w:rPr>
        <w:t xml:space="preserve">? מתי נשבע מי מאתנו לשקר? רוב היהודים אינם עושים שבועות פורמליות כלל — בזמן הגמרא נדרים ושבועות היו הרבה יותר חלק מן החיים היום־יומיים. אם כן, מה פירוש הפסוק </w:t>
      </w:r>
      <w:r>
        <w:rPr>
          <w:rFonts w:ascii="David" w:hAnsi="David"/>
          <w:i/>
        </w:rPr>
        <w:t>עבורנו</w:t>
      </w:r>
      <w:r>
        <w:t>?</w:t>
        <w:br/>
      </w:r>
    </w:p>
    <w:p>
      <w:r>
        <w:rPr>
          <w:rFonts w:ascii="David" w:hAnsi="David"/>
        </w:rPr>
        <w:br/>
        <w:t xml:space="preserve">  כאן מביא החפץ חיים את דברו הנפלא. הגמרא ב</w:t>
      </w:r>
      <w:r>
        <w:rPr>
          <w:rFonts w:ascii="David" w:hAnsi="David"/>
        </w:rPr>
        <w:t>נִדָּה</w:t>
      </w:r>
      <w:r>
        <w:rPr>
          <w:color w:val="B8860B"/>
          <w:sz w:val="16"/>
          <w:vertAlign w:val="superscript"/>
        </w:rPr>
        <w:t>[9]</w:t>
      </w:r>
      <w:r>
        <w:rPr>
          <w:rFonts w:ascii="David" w:hAnsi="David"/>
        </w:rPr>
        <w:t xml:space="preserve"> מלמדת: בטרם היוולד הילד, מלאך מלמד את הנשמה את כל התורה כולה. הנשמה — טהורה, רוחנית, בביתה בעולם הרוחני — </w:t>
      </w:r>
      <w:r>
        <w:rPr>
          <w:rFonts w:ascii="David" w:hAnsi="David"/>
          <w:i/>
        </w:rPr>
        <w:t>אינה</w:t>
      </w:r>
      <w:r>
        <w:rPr>
          <w:rFonts w:ascii="David" w:hAnsi="David"/>
        </w:rPr>
        <w:t xml:space="preserve"> רוצה לרדת לעולם הזה. היא רוצה להישאר סמוך לכסא הכבוד. אבל הקדוש ברוך הוא הכין עבורה גוף הממתין לה, וחייבת היא להיכנס. חבלי הלידה — צירי הלידה — הם ההד הגשמי של מאבק הנשמה הרוחני נגד ההשתלשלות למטה.</w:t>
        <w:br/>
      </w:r>
    </w:p>
    <w:p>
      <w:r>
        <w:rPr>
          <w:rFonts w:ascii="David" w:hAnsi="David"/>
        </w:rPr>
        <w:br/>
        <w:t xml:space="preserve">  ברגע ההשתלשלות, המלאך משביע אותה: </w:t>
      </w:r>
      <w:r>
        <w:rPr>
          <w:rFonts w:ascii="David" w:hAnsi="David"/>
        </w:rPr>
        <w:t>מַשְׁבִּיעִין אוֹתוֹ — תְּהִי צַדִּיק וְאַל תְּהִי רָשָׁע</w:t>
      </w:r>
      <w:r>
        <w:t>.</w:t>
      </w:r>
      <w:r>
        <w:rPr>
          <w:color w:val="B8860B"/>
          <w:sz w:val="16"/>
          <w:vertAlign w:val="superscript"/>
        </w:rPr>
        <w:t>[10]</w:t>
      </w:r>
      <w:r>
        <w:t xml:space="preserve"> </w:t>
      </w:r>
      <w:r>
        <w:rPr>
          <w:rFonts w:ascii="David" w:hAnsi="David"/>
          <w:i/>
        </w:rPr>
        <w:t>הוי צדיק ואל תהי רשע.</w:t>
      </w:r>
      <w:r>
        <w:rPr>
          <w:rFonts w:ascii="David" w:hAnsi="David"/>
        </w:rPr>
        <w:t xml:space="preserve"> הנשמה, היודעת היטב עד כמה קשה הצדקות בעולם הזה — לוקחת על עצמה את השבועה.</w:t>
        <w:br/>
      </w:r>
    </w:p>
    <w:p>
      <w:r>
        <w:rPr>
          <w:rFonts w:ascii="David" w:hAnsi="David"/>
          <w:b/>
          <w:color w:val="B8860B"/>
          <w:sz w:val="18"/>
        </w:rPr>
        <w:t>החידוש</w:t>
      </w:r>
    </w:p>
    <w:p>
      <w:pPr>
        <w:ind w:left="288"/>
      </w:pPr>
      <w:r>
        <w:br/>
      </w:r>
      <w:r>
        <w:rPr>
          <w:rFonts w:ascii="David" w:hAnsi="David"/>
        </w:rPr>
        <w:t>וְלֹא נִשְׁבַּע לְמִרְמָה</w:t>
      </w:r>
      <w:r>
        <w:rPr>
          <w:rFonts w:ascii="David" w:hAnsi="David"/>
        </w:rPr>
        <w:t xml:space="preserve"> — זו </w:t>
      </w:r>
      <w:r>
        <w:rPr>
          <w:rFonts w:ascii="David" w:hAnsi="David"/>
          <w:i/>
        </w:rPr>
        <w:t>אותה</w:t>
      </w:r>
      <w:r>
        <w:rPr>
          <w:rFonts w:ascii="David" w:hAnsi="David"/>
        </w:rPr>
        <w:t xml:space="preserve"> שבועה. כל אדם ואדם נשבע אותה. לעלות בהר ה׳, חייב לשמור אותה — חייב לחיות את חיי הצדיק שהתחייב עליהם קודם לידתו. ואם יהודי, חלילה, כשל בשבועתו עד עתה — רגע אמירת לְדָוִד מִזְמוֹר בראש השנה הוא רגע להיות </w:t>
      </w:r>
      <w:r>
        <w:rPr>
          <w:rFonts w:ascii="David" w:hAnsi="David"/>
        </w:rPr>
        <w:t>מְקַבֵּל עַל עַצְמוֹ</w:t>
      </w:r>
      <w:r>
        <w:rPr>
          <w:rFonts w:ascii="David" w:hAnsi="David"/>
        </w:rPr>
        <w:t xml:space="preserve"> לכבד אותה מכאן ואילך.</w:t>
        <w:br/>
        <w:t xml:space="preserve">  </w:t>
      </w:r>
    </w:p>
    <w:p>
      <w:r>
        <w:rPr>
          <w:rFonts w:ascii="David" w:hAnsi="David"/>
          <w:b/>
          <w:color w:val="1E3A8A"/>
          <w:sz w:val="26"/>
        </w:rPr>
        <w:t>ו. שִׁיר הַמַּעֲלוֹת מִמַּעֲמַקִּים — שאלת ההֶפְסֵק</w:t>
      </w:r>
    </w:p>
    <w:p>
      <w:pPr>
        <w:pBdr>
          <w:bottom w:val="single" w:sz="6" w:space="1" w:color="B8860B"/>
        </w:pBdr>
      </w:pPr>
    </w:p>
    <w:p>
      <w:r>
        <w:rPr>
          <w:rFonts w:ascii="David" w:hAnsi="David"/>
        </w:rPr>
        <w:br/>
        <w:t xml:space="preserve">  מנהג רווח בעשרת ימי תשובה הוא לומר </w:t>
      </w:r>
      <w:r>
        <w:rPr>
          <w:rFonts w:ascii="David" w:hAnsi="David"/>
          <w:b/>
        </w:rPr>
        <w:t>שִׁיר הַמַּעֲלוֹת מִמַּעֲמַקִּים</w:t>
      </w:r>
      <w:r>
        <w:rPr>
          <w:rFonts w:ascii="David" w:hAnsi="David"/>
        </w:rPr>
        <w:t xml:space="preserve"> (תהילים ק״ל) בין </w:t>
      </w:r>
      <w:r>
        <w:rPr>
          <w:rFonts w:ascii="David" w:hAnsi="David"/>
        </w:rPr>
        <w:t>יִשְׁתַּבַּח</w:t>
      </w:r>
      <w:r>
        <w:rPr>
          <w:rFonts w:ascii="David" w:hAnsi="David"/>
        </w:rPr>
        <w:t xml:space="preserve"> ל</w:t>
      </w:r>
      <w:r>
        <w:rPr>
          <w:rFonts w:ascii="David" w:hAnsi="David"/>
        </w:rPr>
        <w:t>יוֹצֵר אוֹר</w:t>
      </w:r>
      <w:r>
        <w:rPr>
          <w:rFonts w:ascii="David" w:hAnsi="David"/>
        </w:rPr>
        <w:t>. אבל זה מתנגש עם הלכה חמורה: הגמרא</w:t>
      </w:r>
      <w:r>
        <w:rPr>
          <w:color w:val="B8860B"/>
          <w:sz w:val="16"/>
          <w:vertAlign w:val="superscript"/>
        </w:rPr>
        <w:t>[11]</w:t>
      </w:r>
      <w:r>
        <w:rPr>
          <w:rFonts w:ascii="David" w:hAnsi="David"/>
        </w:rPr>
        <w:t xml:space="preserve"> מחמירה עד מאוד שלא להפסיק בין יִשְׁתַּבַּח ליוֹצֵר אור. נוסח אשכנז, בעקבות הגר״א, לפיכך אינו אומרו.</w:t>
        <w:br/>
      </w:r>
    </w:p>
    <w:p>
      <w:r>
        <w:rPr>
          <w:rFonts w:ascii="David" w:hAnsi="David"/>
        </w:rPr>
        <w:br/>
        <w:t xml:space="preserve">  משל הגמרא לחומרתו של הדבר: היא מדמה את המפסיק כאן לחייל המשולח מן הקרב הביתה. התורה מתארת</w:t>
      </w:r>
      <w:r>
        <w:rPr>
          <w:color w:val="B8860B"/>
          <w:sz w:val="16"/>
          <w:vertAlign w:val="superscript"/>
        </w:rPr>
        <w:t>[12]</w:t>
      </w:r>
      <w:r>
        <w:rPr>
          <w:rFonts w:ascii="David" w:hAnsi="David"/>
        </w:rPr>
        <w:t xml:space="preserve"> איך הכהן מדבר אל הצבא: </w:t>
      </w:r>
      <w:r>
        <w:rPr>
          <w:rFonts w:ascii="David" w:hAnsi="David"/>
        </w:rPr>
        <w:t>מִי־הָאִישׁ הַיָּרֵא וְרַךְ הַלֵּבָב</w:t>
      </w:r>
      <w:r>
        <w:rPr>
          <w:rFonts w:ascii="David" w:hAnsi="David"/>
        </w:rPr>
        <w:t xml:space="preserve"> — ״מי האיש הירא ורך הלבב?״ שואלת הגמרא: ירא ממה? </w:t>
      </w:r>
      <w:r>
        <w:rPr>
          <w:rFonts w:ascii="David" w:hAnsi="David"/>
        </w:rPr>
        <w:t>מֵעֲבֵרוֹת שֶׁבְּיָדוֹ</w:t>
      </w:r>
      <w:r>
        <w:rPr>
          <w:rFonts w:ascii="David" w:hAnsi="David"/>
        </w:rPr>
        <w:t xml:space="preserve"> — מן העברות שבידו. יהודי עם עברות אינו יכול להלחם. זו רמת החומרה המיוחסת להֶפְסֵק כאן.</w:t>
        <w:br/>
      </w:r>
    </w:p>
    <w:p>
      <w:r>
        <w:rPr>
          <w:rFonts w:ascii="David" w:hAnsi="David"/>
          <w:b/>
          <w:color w:val="B8860B"/>
          <w:sz w:val="18"/>
        </w:rPr>
        <w:t>מעשה — הצגת המשכילים בפראג</w:t>
      </w:r>
    </w:p>
    <w:p>
      <w:pPr>
        <w:ind w:left="288"/>
      </w:pPr>
      <w:r>
        <w:rPr>
          <w:rFonts w:ascii="David" w:hAnsi="David"/>
        </w:rPr>
        <w:br/>
        <w:t xml:space="preserve">    בסוף המאה התשע־עשרה, המשכילים בפראג העלו הצגה המלגלגת על החרדים. בהצגה, מוכרזת מלחמה; כת אחר כת של חיילים יוצאים מן השדה מן הטעמים שהתורה מונה (בנה בית, נטע כרם, אירס אשה). לבסוף קורא המפקד: </w:t>
      </w:r>
      <w:r>
        <w:rPr>
          <w:rFonts w:ascii="David" w:hAnsi="David"/>
          <w:i/>
        </w:rPr>
        <w:t>״מי שיש בידו עברה?״</w:t>
      </w:r>
      <w:r>
        <w:rPr>
          <w:rFonts w:ascii="David" w:hAnsi="David"/>
        </w:rPr>
        <w:t xml:space="preserve"> — והכל עוזבים את המערכה, מלבד שני גדולי הדור, </w:t>
      </w:r>
      <w:r>
        <w:rPr>
          <w:rFonts w:ascii="David" w:hAnsi="David"/>
          <w:b/>
        </w:rPr>
        <w:t>החפץ חיים</w:t>
      </w:r>
      <w:r>
        <w:rPr>
          <w:rFonts w:ascii="David" w:hAnsi="David"/>
        </w:rPr>
        <w:t xml:space="preserve"> ו</w:t>
      </w:r>
      <w:r>
        <w:rPr>
          <w:rFonts w:ascii="David" w:hAnsi="David"/>
          <w:b/>
        </w:rPr>
        <w:t>הרב חיים בריסקר</w:t>
      </w:r>
      <w:r>
        <w:t>.</w:t>
        <w:br/>
        <w:t xml:space="preserve">  </w:t>
      </w:r>
    </w:p>
    <w:p>
      <w:pPr>
        <w:ind w:left="288"/>
      </w:pPr>
      <w:r>
        <w:rPr>
          <w:rFonts w:ascii="David" w:hAnsi="David"/>
        </w:rPr>
        <w:br/>
        <w:t xml:space="preserve">    כמה בחורים סיפרו את ההצגה לחפץ חיים ולרב חיים. תשובתם: </w:t>
      </w:r>
      <w:r>
        <w:rPr>
          <w:rFonts w:ascii="David" w:hAnsi="David"/>
          <w:i/>
        </w:rPr>
        <w:t>״הם לא סיימו את ההצגה. סופה הוא שהחפץ חיים ורב חיים ניצחו במלחמה.״</w:t>
      </w:r>
      <w:r>
        <w:br/>
      </w:r>
    </w:p>
    <w:p>
      <w:r>
        <w:rPr>
          <w:rFonts w:ascii="David" w:hAnsi="David"/>
          <w:i/>
          <w:color w:val="B8860B"/>
          <w:sz w:val="24"/>
        </w:rPr>
        <w:t>הגנת הדגל מרבבה</w:t>
      </w:r>
    </w:p>
    <w:p>
      <w:r>
        <w:rPr>
          <w:rFonts w:ascii="David" w:hAnsi="David"/>
        </w:rPr>
        <w:br/>
        <w:t xml:space="preserve">  מקור המנהג לומר שיר המעלות מִמַּעֲמַקִּים באותו מקום הוא </w:t>
      </w:r>
      <w:r>
        <w:rPr>
          <w:rFonts w:ascii="David" w:hAnsi="David"/>
        </w:rPr>
        <w:t>האריז״ל</w:t>
      </w:r>
      <w:r>
        <w:rPr>
          <w:rFonts w:ascii="David" w:hAnsi="David"/>
        </w:rPr>
        <w:t>. ה</w:t>
      </w:r>
      <w:r>
        <w:rPr>
          <w:rFonts w:ascii="David" w:hAnsi="David"/>
          <w:b/>
        </w:rPr>
        <w:t>נודע ביהודה</w:t>
      </w:r>
      <w:r>
        <w:rPr>
          <w:rFonts w:ascii="David" w:hAnsi="David"/>
        </w:rPr>
        <w:t xml:space="preserve">, בפירושו על השולחן ערוך הנקרא </w:t>
      </w:r>
      <w:r>
        <w:rPr>
          <w:rFonts w:ascii="David" w:hAnsi="David"/>
          <w:b/>
        </w:rPr>
        <w:t>דגל מרבבה</w:t>
      </w:r>
      <w:r>
        <w:t>,</w:t>
      </w:r>
      <w:r>
        <w:rPr>
          <w:color w:val="B8860B"/>
          <w:sz w:val="16"/>
          <w:vertAlign w:val="superscript"/>
        </w:rPr>
        <w:t>[13]</w:t>
      </w:r>
      <w:r>
        <w:rPr>
          <w:rFonts w:ascii="David" w:hAnsi="David"/>
        </w:rPr>
        <w:t xml:space="preserve"> מגן על המנהג. ראייתו: </w:t>
      </w:r>
      <w:r>
        <w:rPr>
          <w:rFonts w:ascii="David" w:hAnsi="David"/>
        </w:rPr>
        <w:t>הרמב״ם</w:t>
      </w:r>
      <w:r>
        <w:rPr>
          <w:rFonts w:ascii="David" w:hAnsi="David"/>
        </w:rPr>
        <w:t xml:space="preserve"> מביא שבימים קדמונים בספרד היה המנהג לומר </w:t>
      </w:r>
      <w:r>
        <w:rPr>
          <w:rFonts w:ascii="David" w:hAnsi="David"/>
          <w:b/>
        </w:rPr>
        <w:t>אָז יָשִׁיר</w:t>
      </w:r>
      <w:r>
        <w:rPr>
          <w:rFonts w:ascii="David" w:hAnsi="David"/>
        </w:rPr>
        <w:t xml:space="preserve"> אחרי יִשְׁתַּבַּח.</w:t>
      </w:r>
      <w:r>
        <w:rPr>
          <w:color w:val="B8860B"/>
          <w:sz w:val="16"/>
          <w:vertAlign w:val="superscript"/>
        </w:rPr>
        <w:t>[14]</w:t>
      </w:r>
      <w:r>
        <w:rPr>
          <w:rFonts w:ascii="David" w:hAnsi="David"/>
        </w:rPr>
        <w:t xml:space="preserve"> הרמב״ם עצמו מעיד על המנהג הזה כלגיטימי. מכאן מדייק הדגל מרבבה שהחומרא בתפר הזה היא באמת מפני </w:t>
      </w:r>
      <w:r>
        <w:rPr>
          <w:rFonts w:ascii="David" w:hAnsi="David"/>
        </w:rPr>
        <w:t>שִׂיחָה בְּטֵלָה</w:t>
      </w:r>
      <w:r>
        <w:rPr>
          <w:rFonts w:ascii="David" w:hAnsi="David"/>
        </w:rPr>
        <w:t xml:space="preserve"> — דיבור של חול. שבחים נוספים לריבונו של עולם, דוגמת שיר המעלות, שייכים לקטגוריה אחרת ומותרים. כלל ישראל כמעט כולו קיבל את המנהג.</w:t>
        <w:br/>
      </w:r>
    </w:p>
    <w:p>
      <w:r>
        <w:rPr>
          <w:rFonts w:ascii="David" w:hAnsi="David"/>
          <w:b/>
          <w:color w:val="1E3A8A"/>
          <w:sz w:val="26"/>
        </w:rPr>
        <w:t>ז. זָכְרֵנוּ לְחַיִּים ותוספות עשרת ימי תשובה</w:t>
      </w:r>
    </w:p>
    <w:p>
      <w:pPr>
        <w:pBdr>
          <w:bottom w:val="single" w:sz="6" w:space="1" w:color="B8860B"/>
        </w:pBdr>
      </w:pPr>
    </w:p>
    <w:p>
      <w:r>
        <w:rPr>
          <w:rFonts w:ascii="David" w:hAnsi="David"/>
        </w:rPr>
        <w:br/>
        <w:t xml:space="preserve">  בעשרת ימי תשובה מוסיפים מספר בקשות בשמונה עשרה: </w:t>
      </w:r>
      <w:r>
        <w:rPr>
          <w:rFonts w:ascii="David" w:hAnsi="David"/>
        </w:rPr>
        <w:t>זָכְרֵנוּ לְחַיִּים</w:t>
      </w:r>
      <w:r>
        <w:rPr>
          <w:rFonts w:ascii="David" w:hAnsi="David"/>
        </w:rPr>
        <w:t xml:space="preserve"> בברכה הראשונה, </w:t>
      </w:r>
      <w:r>
        <w:rPr>
          <w:rFonts w:ascii="David" w:hAnsi="David"/>
        </w:rPr>
        <w:t>מִי כָמוֹךָ אַב הָרַחֲמִים</w:t>
      </w:r>
      <w:r>
        <w:rPr>
          <w:rFonts w:ascii="David" w:hAnsi="David"/>
        </w:rPr>
        <w:t xml:space="preserve"> בשנייה, </w:t>
      </w:r>
      <w:r>
        <w:rPr>
          <w:rFonts w:ascii="David" w:hAnsi="David"/>
        </w:rPr>
        <w:t>וּכְתוֹב לְחַיִּים טוֹבִים</w:t>
      </w:r>
      <w:r>
        <w:rPr>
          <w:rFonts w:ascii="David" w:hAnsi="David"/>
        </w:rPr>
        <w:t xml:space="preserve"> במוֹדִים, ו</w:t>
      </w:r>
      <w:r>
        <w:rPr>
          <w:rFonts w:ascii="David" w:hAnsi="David"/>
        </w:rPr>
        <w:t>וּבְסֵפֶר חַיִּים בְּרָכָה וְשָׁלוֹם</w:t>
      </w:r>
      <w:r>
        <w:rPr>
          <w:rFonts w:ascii="David" w:hAnsi="David"/>
        </w:rPr>
        <w:t xml:space="preserve"> בשים שלום.</w:t>
        <w:br/>
      </w:r>
    </w:p>
    <w:p>
      <w:r>
        <w:rPr>
          <w:rFonts w:ascii="David" w:hAnsi="David"/>
        </w:rPr>
        <w:br/>
        <w:t xml:space="preserve">  הדבר קשה מבחינה הלכתית. הגמרא מלמדת שבשלוש הראשונות (שבח) ובשלוש האחרונות (הודאה) של שמונה עשרה, אין להכניס בקשות אישיות — אלה שייכות רק בברכות האמצעיות של בקשה.</w:t>
      </w:r>
      <w:r>
        <w:rPr>
          <w:color w:val="B8860B"/>
          <w:sz w:val="16"/>
          <w:vertAlign w:val="superscript"/>
        </w:rPr>
        <w:t>[15]</w:t>
      </w:r>
      <w:r>
        <w:rPr>
          <w:rFonts w:ascii="David" w:hAnsi="David"/>
        </w:rPr>
        <w:t xml:space="preserve"> תוספות אלו הן תקנת הגאונים; </w:t>
      </w:r>
      <w:r>
        <w:rPr>
          <w:rFonts w:ascii="David" w:hAnsi="David"/>
        </w:rPr>
        <w:t>הגר״א</w:t>
      </w:r>
      <w:r>
        <w:rPr>
          <w:rFonts w:ascii="David" w:hAnsi="David"/>
        </w:rPr>
        <w:t xml:space="preserve"> על פי המסופר </w:t>
      </w:r>
      <w:r>
        <w:rPr>
          <w:rFonts w:ascii="David" w:hAnsi="David"/>
          <w:i/>
        </w:rPr>
        <w:t>לא</w:t>
      </w:r>
      <w:r>
        <w:rPr>
          <w:rFonts w:ascii="David" w:hAnsi="David"/>
        </w:rPr>
        <w:t xml:space="preserve"> אמרן, שסבר ששינו את מבנה חז״ל.</w:t>
      </w:r>
      <w:r>
        <w:rPr>
          <w:color w:val="B8860B"/>
          <w:sz w:val="16"/>
          <w:vertAlign w:val="superscript"/>
        </w:rPr>
        <w:t>[16]</w:t>
      </w:r>
      <w:r>
        <w:br/>
      </w:r>
    </w:p>
    <w:p>
      <w:r>
        <w:rPr>
          <w:rFonts w:ascii="David" w:hAnsi="David"/>
          <w:i/>
          <w:color w:val="B8860B"/>
          <w:sz w:val="24"/>
        </w:rPr>
        <w:t>שלושה תירוצים</w:t>
      </w:r>
    </w:p>
    <w:p>
      <w:r>
        <w:rPr>
          <w:rFonts w:ascii="David" w:hAnsi="David"/>
          <w:i/>
          <w:color w:val="B8860B"/>
          <w:sz w:val="24"/>
        </w:rPr>
        <w:t>לְחַיִּים / לַחַיִּים — דקדוק הלכתי חד</w:t>
      </w:r>
    </w:p>
    <w:p>
      <w:r>
        <w:rPr>
          <w:rFonts w:ascii="David" w:hAnsi="David"/>
        </w:rPr>
        <w:br/>
        <w:t xml:space="preserve">  להלכה למעשה יש </w:t>
      </w:r>
      <w:r>
        <w:rPr>
          <w:rFonts w:ascii="David" w:hAnsi="David"/>
        </w:rPr>
        <w:t>קפידא גדולה</w:t>
      </w:r>
      <w:r>
        <w:rPr>
          <w:rFonts w:ascii="David" w:hAnsi="David"/>
        </w:rPr>
        <w:t xml:space="preserve"> בפוסקים, שנידונה באריכות במשנה ברורה,</w:t>
      </w:r>
      <w:r>
        <w:rPr>
          <w:color w:val="B8860B"/>
          <w:sz w:val="16"/>
          <w:vertAlign w:val="superscript"/>
        </w:rPr>
        <w:t>[18]</w:t>
      </w:r>
      <w:r>
        <w:rPr>
          <w:rFonts w:ascii="David" w:hAnsi="David"/>
        </w:rPr>
        <w:t xml:space="preserve"> שיש לומר </w:t>
      </w:r>
      <w:r>
        <w:rPr>
          <w:rFonts w:ascii="David" w:hAnsi="David"/>
          <w:b/>
        </w:rPr>
        <w:t>זָכְרֵנוּ לְחַיִּים</w:t>
      </w:r>
      <w:r>
        <w:rPr>
          <w:rFonts w:ascii="David" w:hAnsi="David"/>
        </w:rPr>
        <w:t xml:space="preserve"> — בשוא — ולא </w:t>
      </w:r>
      <w:r>
        <w:rPr>
          <w:rFonts w:ascii="David" w:hAnsi="David"/>
          <w:b/>
        </w:rPr>
        <w:t>לַחַיִּים</w:t>
      </w:r>
      <w:r>
        <w:rPr>
          <w:rFonts w:ascii="David" w:hAnsi="David"/>
        </w:rPr>
        <w:t xml:space="preserve"> בפתח. המקובלים מזהירים: ביום הדין, שהמקטרגים מסננים כל תיבה, </w:t>
      </w:r>
      <w:r>
        <w:rPr>
          <w:rFonts w:ascii="David" w:hAnsi="David"/>
        </w:rPr>
        <w:t>לַחַיִּים</w:t>
      </w:r>
      <w:r>
        <w:rPr>
          <w:rFonts w:ascii="David" w:hAnsi="David"/>
        </w:rPr>
        <w:t xml:space="preserve"> עלול להישמע כ</w:t>
      </w:r>
      <w:r>
        <w:rPr>
          <w:rFonts w:ascii="David" w:hAnsi="David"/>
        </w:rPr>
        <w:t>לֹא חַיִּים</w:t>
      </w:r>
      <w:r>
        <w:rPr>
          <w:rFonts w:ascii="David" w:hAnsi="David"/>
        </w:rPr>
        <w:t xml:space="preserve"> — ״לא לחיים.״ בימים אלו יהודי צריך להיות זהיר בכל תיבה היוצאת מפיו.</w:t>
        <w:br/>
      </w:r>
    </w:p>
    <w:p>
      <w:r>
        <w:rPr>
          <w:rFonts w:ascii="David" w:hAnsi="David"/>
        </w:rPr>
        <w:br/>
        <w:t xml:space="preserve">  ה</w:t>
      </w:r>
      <w:r>
        <w:rPr>
          <w:rFonts w:ascii="David" w:hAnsi="David"/>
          <w:b/>
        </w:rPr>
        <w:t>ב״ח</w:t>
      </w:r>
      <w:r>
        <w:rPr>
          <w:rFonts w:ascii="David" w:hAnsi="David"/>
        </w:rPr>
        <w:t xml:space="preserve"> (רב יואל סירקיס) מקשה קושיה:</w:t>
      </w:r>
      <w:r>
        <w:rPr>
          <w:color w:val="B8860B"/>
          <w:sz w:val="16"/>
          <w:vertAlign w:val="superscript"/>
        </w:rPr>
        <w:t>[19]</w:t>
      </w:r>
      <w:r>
        <w:rPr>
          <w:rFonts w:ascii="David" w:hAnsi="David"/>
        </w:rPr>
        <w:t xml:space="preserve"> אנו אומרים </w:t>
      </w:r>
      <w:r>
        <w:rPr>
          <w:rFonts w:ascii="David" w:hAnsi="David"/>
        </w:rPr>
        <w:t>לַחַיִּים</w:t>
      </w:r>
      <w:r>
        <w:rPr>
          <w:rFonts w:ascii="David" w:hAnsi="David"/>
        </w:rPr>
        <w:t xml:space="preserve"> בכל יום במעריב — </w:t>
      </w:r>
      <w:r>
        <w:rPr>
          <w:rFonts w:ascii="David" w:hAnsi="David"/>
          <w:i/>
        </w:rPr>
        <w:t>ובאמת</w:t>
      </w:r>
      <w:r>
        <w:rPr>
          <w:rFonts w:ascii="David" w:hAnsi="David"/>
        </w:rPr>
        <w:t xml:space="preserve"> אומרים כך. אך בנוסחנו לא כך — אנו אומרים </w:t>
      </w:r>
      <w:r>
        <w:rPr>
          <w:rFonts w:ascii="David" w:hAnsi="David"/>
        </w:rPr>
        <w:t>וְהַעֲמִידֵנוּ מַלְכֵּנוּ לְחַיִּים טוֹבִים וּלְשָׁלוֹם</w:t>
      </w:r>
      <w:r>
        <w:rPr>
          <w:rFonts w:ascii="David" w:hAnsi="David"/>
        </w:rPr>
        <w:t>, לְחַיִּים ולא לַחַיִּים. קושיית הב״ח קשה איפוא; המנהג הנתקבל נשאר כפסק הפוסקים — לְחַיִּים.</w:t>
        <w:br/>
      </w:r>
    </w:p>
    <w:p>
      <w:r>
        <w:br/>
      </w:r>
      <w:r>
        <w:rPr>
          <w:rFonts w:ascii="David" w:hAnsi="David"/>
          <w:b/>
        </w:rPr>
        <w:t>אם שכח יהודי זָכְרֵנוּ:</w:t>
      </w:r>
      <w:r>
        <w:rPr>
          <w:rFonts w:ascii="David" w:hAnsi="David"/>
        </w:rPr>
        <w:t xml:space="preserve"> כיוון שהיא תקנת הגאונים (לא מן הגמרא עצמה), אם עדיין לא אמר שם ה׳ בחתימת הברכה, חוזר; משאמר </w:t>
      </w:r>
      <w:r>
        <w:rPr>
          <w:rFonts w:ascii="David" w:hAnsi="David"/>
        </w:rPr>
        <w:t>בָּרוּךְ אַתָּה ה׳</w:t>
      </w:r>
      <w:r>
        <w:rPr>
          <w:rFonts w:ascii="David" w:hAnsi="David"/>
        </w:rPr>
        <w:t>, אינו חוזר.</w:t>
      </w:r>
      <w:r>
        <w:rPr>
          <w:color w:val="B8860B"/>
          <w:sz w:val="16"/>
          <w:vertAlign w:val="superscript"/>
        </w:rPr>
        <w:t>[20]</w:t>
      </w:r>
      <w:r>
        <w:t xml:space="preserve"> </w:t>
      </w:r>
      <w:r>
        <w:rPr>
          <w:rFonts w:ascii="David" w:hAnsi="David"/>
        </w:rPr>
        <w:t>הַמֶּלֶךְ הַקָּדוֹשׁ</w:t>
      </w:r>
      <w:r>
        <w:rPr>
          <w:rFonts w:ascii="David" w:hAnsi="David"/>
        </w:rPr>
        <w:t xml:space="preserve"> הוא ענין אחר — מופיע בגמרא עצמה — וחומרתו ההלכתית גדולה יותר (יידון בנפרד).</w:t>
        <w:br/>
      </w:r>
    </w:p>
    <w:p>
      <w:r>
        <w:rPr>
          <w:rFonts w:ascii="David" w:hAnsi="David"/>
          <w:b/>
          <w:color w:val="1E3A8A"/>
          <w:sz w:val="26"/>
        </w:rPr>
        <w:t>ח. אָבִינוּ מַלְכֵּנוּ — מקור ומבנה</w:t>
      </w:r>
    </w:p>
    <w:p>
      <w:pPr>
        <w:pBdr>
          <w:bottom w:val="single" w:sz="6" w:space="1" w:color="B8860B"/>
        </w:pBdr>
      </w:pPr>
    </w:p>
    <w:p>
      <w:r>
        <w:rPr>
          <w:rFonts w:ascii="David" w:hAnsi="David"/>
        </w:rPr>
        <w:br/>
        <w:t xml:space="preserve">  אחרי חזרת הש״ץ אומרים </w:t>
      </w:r>
      <w:r>
        <w:rPr>
          <w:rFonts w:ascii="David" w:hAnsi="David"/>
        </w:rPr>
        <w:t>אָבִינוּ מַלְכֵּנוּ</w:t>
      </w:r>
      <w:r>
        <w:rPr>
          <w:rFonts w:ascii="David" w:hAnsi="David"/>
        </w:rPr>
        <w:t>. הגמרא ב</w:t>
      </w:r>
      <w:r>
        <w:rPr>
          <w:rFonts w:ascii="David" w:hAnsi="David"/>
        </w:rPr>
        <w:t>תַּעֲנִית</w:t>
      </w:r>
      <w:r>
        <w:rPr>
          <w:color w:val="B8860B"/>
          <w:sz w:val="16"/>
          <w:vertAlign w:val="superscript"/>
        </w:rPr>
        <w:t>[21]</w:t>
      </w:r>
      <w:r>
        <w:rPr>
          <w:rFonts w:ascii="David" w:hAnsi="David"/>
        </w:rPr>
        <w:t xml:space="preserve"> רושמת את המקור:</w:t>
        <w:br/>
      </w:r>
    </w:p>
    <w:p>
      <w:pPr>
        <w:ind w:left="432"/>
      </w:pPr>
      <w:r>
        <w:rPr>
          <w:rFonts w:ascii="David" w:hAnsi="David"/>
          <w:i/>
        </w:rPr>
        <w:br/>
        <w:t xml:space="preserve">  עצירת גשמים חמורה. חכם אחר חכם עומד להתפלל; שום דבר אינו עוזר. </w:t>
      </w:r>
      <w:r>
        <w:rPr>
          <w:rFonts w:ascii="David" w:hAnsi="David"/>
          <w:b/>
          <w:i/>
        </w:rPr>
        <w:t>רבי עקיבא</w:t>
      </w:r>
      <w:r>
        <w:rPr>
          <w:rFonts w:ascii="David" w:hAnsi="David"/>
          <w:i/>
        </w:rPr>
        <w:t xml:space="preserve"> עומד וקורא: </w:t>
      </w:r>
      <w:r>
        <w:rPr>
          <w:rFonts w:ascii="David" w:hAnsi="David"/>
          <w:i/>
        </w:rPr>
        <w:t>אָבִינוּ מַלְכֵּנוּ חָטָאנוּ לְפָנֶיךָ. אָבִינוּ מַלְכֵּנוּ אֵין לָנוּ מֶלֶךְ אֶלָּא אָתָּה.</w:t>
      </w:r>
      <w:r>
        <w:rPr>
          <w:rFonts w:ascii="David" w:hAnsi="David"/>
          <w:i/>
        </w:rPr>
        <w:t xml:space="preserve"> מיד ירדו גשמים.</w:t>
        <w:br/>
      </w:r>
    </w:p>
    <w:p>
      <w:r>
        <w:rPr>
          <w:rFonts w:ascii="David" w:hAnsi="David"/>
        </w:rPr>
        <w:br/>
        <w:t xml:space="preserve">  הראשונים מציינים רמז נפלא: הגימטריא של </w:t>
      </w:r>
      <w:r>
        <w:rPr>
          <w:rFonts w:ascii="David" w:hAnsi="David"/>
        </w:rPr>
        <w:t>אָבִינוּ מַלְכֵּנוּ חָטָאנוּ לְפָנֶיךָ</w:t>
      </w:r>
      <w:r>
        <w:rPr>
          <w:rFonts w:ascii="David" w:hAnsi="David"/>
        </w:rPr>
        <w:t xml:space="preserve"> שווה ל</w:t>
      </w:r>
      <w:r>
        <w:rPr>
          <w:rFonts w:ascii="David" w:hAnsi="David"/>
        </w:rPr>
        <w:t>רַבִּי עֲקִיבָא יְסָדוֹ</w:t>
      </w:r>
      <w:r>
        <w:t>.</w:t>
      </w:r>
      <w:r>
        <w:rPr>
          <w:color w:val="B8860B"/>
          <w:sz w:val="16"/>
          <w:vertAlign w:val="superscript"/>
        </w:rPr>
        <w:t>[22]</w:t>
      </w:r>
      <w:r>
        <w:rPr>
          <w:rFonts w:ascii="David" w:hAnsi="David"/>
        </w:rPr>
        <w:t xml:space="preserve"> המנהג הקדום היה שהמחבר שיקע את שמו בַּיצירה שחיבר — חתימתו של רבי עקיבא נמצאת בגימטריא עצמה.</w:t>
        <w:br/>
      </w:r>
    </w:p>
    <w:p>
      <w:r>
        <w:rPr>
          <w:rFonts w:ascii="David" w:hAnsi="David"/>
          <w:i/>
          <w:color w:val="B8860B"/>
          <w:sz w:val="24"/>
        </w:rPr>
        <w:t>המבנה מקביל לשמונה עשרה</w:t>
      </w:r>
    </w:p>
    <w:p>
      <w:r>
        <w:rPr>
          <w:rFonts w:ascii="David" w:hAnsi="David"/>
        </w:rPr>
        <w:br/>
        <w:t xml:space="preserve">  אם קוראים את אָבִינוּ מַלְכֵּנוּ בעיון, הברכות שבו מקבילות — לא אחת לאחת, אבל בבירור — לברכות האמצעיות של שמונה עשרה. לפיכך אפילו בראש השנה, כשאיננו אומרים שמונה עשרה של חול של בקשה, אנו עדיין מבטאים את בקשות ברכת האמצע (חיים, פרנסה, סליחה) דרך אָבִינוּ מַלְכֵּנוּ. משום כך העמידה של ראש השנה מסתיימת באָבִינוּ מַלְכֵּנוּ: היום הוא </w:t>
      </w:r>
      <w:r>
        <w:rPr>
          <w:rFonts w:ascii="David" w:hAnsi="David"/>
        </w:rPr>
        <w:t>יוֹם הַדִּין</w:t>
      </w:r>
      <w:r>
        <w:rPr>
          <w:rFonts w:ascii="David" w:hAnsi="David"/>
        </w:rPr>
        <w:t>, ו</w:t>
      </w:r>
      <w:r>
        <w:rPr>
          <w:rFonts w:ascii="David" w:hAnsi="David"/>
          <w:i/>
        </w:rPr>
        <w:t>מותר</w:t>
      </w:r>
      <w:r>
        <w:rPr>
          <w:rFonts w:ascii="David" w:hAnsi="David"/>
        </w:rPr>
        <w:t xml:space="preserve"> לנו לבקש ביום הדין עצמו.</w:t>
        <w:br/>
      </w:r>
    </w:p>
    <w:p>
      <w:r>
        <w:rPr>
          <w:rFonts w:ascii="David" w:hAnsi="David"/>
        </w:rPr>
        <w:br/>
        <w:t xml:space="preserve">  ב</w:t>
      </w:r>
      <w:r>
        <w:rPr>
          <w:rFonts w:ascii="David" w:hAnsi="David"/>
          <w:b/>
        </w:rPr>
        <w:t>שבת</w:t>
      </w:r>
      <w:r>
        <w:rPr>
          <w:rFonts w:ascii="David" w:hAnsi="David"/>
        </w:rPr>
        <w:t xml:space="preserve"> אין אומרים אָבִינוּ מַלְכֵּנוּ, כי זו תפילת בקשה. כשראש השנה חל בשבת, מדלגים על אָבִינוּ מַלְכֵּנוּ (אף שהספרדים אומרים גרסה מקוצרת); בראש השנה של חול, הוא קריטי.</w:t>
        <w:br/>
      </w:r>
    </w:p>
    <w:p>
      <w:r>
        <w:rPr>
          <w:rFonts w:ascii="David" w:hAnsi="David"/>
          <w:b/>
          <w:color w:val="1E3A8A"/>
          <w:sz w:val="26"/>
        </w:rPr>
        <w:t>ט. חתימה — האריז״ל על ריקוד בתורה</w:t>
      </w:r>
    </w:p>
    <w:p>
      <w:pPr>
        <w:pBdr>
          <w:bottom w:val="single" w:sz="6" w:space="1" w:color="B8860B"/>
        </w:pBdr>
      </w:pPr>
    </w:p>
    <w:p>
      <w:r>
        <w:rPr>
          <w:rFonts w:ascii="David" w:hAnsi="David"/>
        </w:rPr>
        <w:br/>
        <w:t xml:space="preserve">  יסוד אחרון הקשור לפרנסה, מן האריז״ל:</w:t>
      </w:r>
      <w:r>
        <w:rPr>
          <w:color w:val="B8860B"/>
          <w:sz w:val="16"/>
          <w:vertAlign w:val="superscript"/>
        </w:rPr>
        <w:t>[23]</w:t>
      </w:r>
      <w:r>
        <w:rPr>
          <w:rFonts w:ascii="David" w:hAnsi="David"/>
        </w:rPr>
        <w:t xml:space="preserve"> ריקוד בשמחת תורה בשמחה בלתי־מרוסנת הוא בעצמו סגולה לפרנסה. </w:t>
      </w:r>
      <w:r>
        <w:rPr>
          <w:rFonts w:ascii="David" w:hAnsi="David"/>
        </w:rPr>
        <w:t>דוד המלך</w:t>
      </w:r>
      <w:r>
        <w:t xml:space="preserve"> </w:t>
      </w:r>
      <w:r>
        <w:rPr>
          <w:rFonts w:ascii="David" w:hAnsi="David"/>
          <w:i/>
        </w:rPr>
        <w:t>״מְכַרְכֵּר וּמְפַזֵּז בְּכָל עֹז״</w:t>
      </w:r>
      <w:r>
        <w:rPr>
          <w:color w:val="B8860B"/>
          <w:sz w:val="16"/>
          <w:vertAlign w:val="superscript"/>
        </w:rPr>
        <w:t>[24]</w:t>
      </w:r>
      <w:r>
        <w:rPr>
          <w:rFonts w:ascii="David" w:hAnsi="David"/>
        </w:rPr>
        <w:t xml:space="preserve"> — רקד בכל עוזו לפני הארון. לרקוד עם התורה כילד קטן, בלי בושה, בשמחה טהורה על המתנה שהקדוש ברוך הוא נתן לנו — הוא כלי אדיר.</w:t>
        <w:br/>
      </w:r>
    </w:p>
    <w:p>
      <w:r>
        <w:rPr>
          <w:rFonts w:ascii="David" w:hAnsi="David"/>
        </w:rPr>
        <w:br/>
        <w:t xml:space="preserve">  הרב ראה זאת אישית: אדם שהיה במצוקת פרנסה קיבל את העצה, רקד בשמחת תורה בלי מעצור, וזמן קצר אחר כך ראה את עסקו פורח.</w:t>
        <w:br/>
      </w:r>
    </w:p>
    <w:p>
      <w:pPr>
        <w:jc w:val="center"/>
      </w:pPr>
      <w:r>
        <w:rPr>
          <w:color w:val="B8860B"/>
        </w:rPr>
        <w:t>❦</w:t>
      </w:r>
    </w:p>
    <w:p>
      <w:r>
        <w:rPr>
          <w:i/>
          <w:color w:val="3B3B3B"/>
        </w:rPr>
        <w:br/>
      </w:r>
      <w:r>
        <w:rPr>
          <w:rFonts w:ascii="David" w:hAnsi="David"/>
          <w:i/>
          <w:color w:val="3B3B3B"/>
        </w:rPr>
        <w:t>מחר</w:t>
      </w:r>
      <w:r>
        <w:rPr>
          <w:rFonts w:ascii="David" w:hAnsi="David"/>
          <w:i/>
          <w:color w:val="3B3B3B"/>
        </w:rPr>
        <w:t xml:space="preserve">, אם ירצה השם, ימשיך הרב — שיעור ארוך יותר, נכנס לפיוטים ספציפיים, מחבריהם, איך נכנסו למחזור, ומשמעותם העמוקה יותר. הלוואי והקדוש ברוך הוא יתן לנו שבוע מלא </w:t>
      </w:r>
      <w:r>
        <w:rPr>
          <w:rFonts w:ascii="David" w:hAnsi="David"/>
          <w:i/>
          <w:color w:val="3B3B3B"/>
        </w:rPr>
        <w:t>סְלִיחָה וּמְחִילָה</w:t>
      </w:r>
      <w:r>
        <w:rPr>
          <w:rFonts w:ascii="David" w:hAnsi="David"/>
          <w:i/>
          <w:color w:val="3B3B3B"/>
        </w:rPr>
        <w:t xml:space="preserve"> בהכנה ליום הדין.</w:t>
        <w:br/>
      </w:r>
    </w:p>
    <w:p>
      <w:pPr>
        <w:pBdr>
          <w:bottom w:val="single" w:sz="6" w:space="1" w:color="B8860B"/>
        </w:pBdr>
      </w:pPr>
    </w:p>
    <w:p>
      <w:r>
        <w:rPr>
          <w:rFonts w:ascii="David" w:hAnsi="David"/>
          <w:b/>
          <w:color w:val="1E3A8A"/>
          <w:sz w:val="26"/>
        </w:rPr>
        <w:t>מראה מקומות</w:t>
      </w:r>
    </w:p>
    <w:p>
      <w:r>
        <w:rPr>
          <w:b/>
          <w:color w:val="1E3A8A"/>
        </w:rPr>
        <w:t xml:space="preserve">1. </w:t>
      </w:r>
      <w:r>
        <w:rPr>
          <w:rFonts w:ascii="David" w:hAnsi="David"/>
          <w:b/>
          <w:color w:val="1E3A8A"/>
        </w:rPr>
        <w:t>הַכֹּל הוֹלֵךְ אַחַר הַחִתּוּם — הכלל ההלכתי/אגדי.</w:t>
      </w:r>
      <w:r>
        <w:t xml:space="preserve"> </w:t>
      </w:r>
      <w:r>
        <w:rPr>
          <w:rFonts w:ascii="David" w:hAnsi="David"/>
        </w:rPr>
        <w:t xml:space="preserve"> המימרא נטועה במקומות רבים. בהלכה משמשת בהלכות ברכות ותפילה (למשל, טעות בחתימת ברכה פוסלת באופן שטעות באמצע הברכה אינה פוסלת). באגדה מופיעה במושג יִשְׁלַט חוֹתָם / חֲתִימָה טוֹבָה, יסודי בימים הנוראים. עיין גם ברכות י״ב ע״א על חתימת ברכות הקובעת את הנוסח.</w:t>
      </w:r>
    </w:p>
    <w:p>
      <w:r>
        <w:rPr>
          <w:b/>
          <w:color w:val="1E3A8A"/>
        </w:rPr>
        <w:t xml:space="preserve">2. </w:t>
      </w:r>
      <w:r>
        <w:rPr>
          <w:rFonts w:ascii="David" w:hAnsi="David"/>
          <w:b/>
          <w:color w:val="1E3A8A"/>
        </w:rPr>
        <w:t>ר׳ יואל גראס ממיאמי — האייניקל הבכור של ר׳ ישעיה׳לה מקערעסטיר.</w:t>
      </w:r>
      <w:r>
        <w:t xml:space="preserve"> </w:t>
      </w:r>
      <w:r>
        <w:rPr>
          <w:rFonts w:ascii="David" w:hAnsi="David"/>
        </w:rPr>
        <w:t xml:space="preserve"> מסורה שבעל־פה של הרב אפרתי, מתוך חברות/ידידות. ר׳ ישעיה׳לה שטיינער מקערעסטיר (בערך תרי״ב–תרפ״ה) היה הרבי החסידי המפורסם מהונגריה, תלמיד הדברי חיים מצאנז.</w:t>
      </w:r>
    </w:p>
    <w:p>
      <w:pPr>
        <w:ind w:left="432"/>
      </w:pPr>
      <w:r>
        <w:rPr>
          <w:b/>
          <w:color w:val="D4A017"/>
          <w:sz w:val="18"/>
        </w:rPr>
        <w:t xml:space="preserve">[Note] </w:t>
      </w:r>
      <w:r>
        <w:rPr>
          <w:rFonts w:ascii="David" w:hAnsi="David"/>
          <w:b/>
          <w:color w:val="5A4B1A"/>
          <w:sz w:val="18"/>
        </w:rPr>
        <w:t>דגל:</w:t>
      </w:r>
      <w:r>
        <w:rPr>
          <w:rFonts w:ascii="David" w:hAnsi="David"/>
          <w:color w:val="5A4B1A"/>
          <w:sz w:val="18"/>
        </w:rPr>
        <w:t xml:space="preserve"> מעשה של מסורה אישית מהרב אפרתי. אין ציפייה למקור מודפס.</w:t>
      </w:r>
    </w:p>
    <w:p>
      <w:r>
        <w:rPr>
          <w:b/>
          <w:color w:val="1E3A8A"/>
        </w:rPr>
        <w:t xml:space="preserve">3. </w:t>
      </w:r>
      <w:r>
        <w:rPr>
          <w:rFonts w:ascii="David" w:hAnsi="David"/>
          <w:b/>
          <w:color w:val="1E3A8A"/>
        </w:rPr>
        <w:t>הרבי הקודם מסקווירא — רב יעקב יוסף טווערסקי (תרנ״ט–תשכ״ח).</w:t>
      </w:r>
      <w:r>
        <w:t xml:space="preserve"> </w:t>
      </w:r>
      <w:r>
        <w:rPr>
          <w:rFonts w:ascii="David" w:hAnsi="David"/>
        </w:rPr>
        <w:t xml:space="preserve"> הרבי השני מסקווירא, מייסד ניו־סקווער, ניו יורק; המעשה של בכי עצום בבָּרֵךְ עָלֵינוּ של המנחה האחרונה בערב ראש השנה נמסר דרך מסורה סקווירית ולא ממקור מודפס מסוים.</w:t>
      </w:r>
    </w:p>
    <w:p>
      <w:pPr>
        <w:ind w:left="432"/>
      </w:pPr>
      <w:r>
        <w:rPr>
          <w:b/>
          <w:color w:val="D4A017"/>
          <w:sz w:val="18"/>
        </w:rPr>
        <w:t xml:space="preserve">[Note] </w:t>
      </w:r>
      <w:r>
        <w:rPr>
          <w:rFonts w:ascii="David" w:hAnsi="David"/>
          <w:b/>
          <w:color w:val="5A4B1A"/>
          <w:sz w:val="18"/>
        </w:rPr>
        <w:t>דגל:</w:t>
      </w:r>
      <w:r>
        <w:rPr>
          <w:rFonts w:ascii="David" w:hAnsi="David"/>
          <w:color w:val="5A4B1A"/>
          <w:sz w:val="18"/>
        </w:rPr>
        <w:t xml:space="preserve"> מסורה שבעל־פה סקווירית — אין ציפייה לתשובה מודפסת או לציון בסֵפֶר.</w:t>
      </w:r>
    </w:p>
    <w:p>
      <w:r>
        <w:rPr>
          <w:b/>
          <w:color w:val="1E3A8A"/>
        </w:rPr>
        <w:t xml:space="preserve">4. </w:t>
      </w:r>
      <w:r>
        <w:rPr>
          <w:rFonts w:ascii="David" w:hAnsi="David"/>
          <w:b/>
          <w:color w:val="1E3A8A"/>
        </w:rPr>
        <w:t>רב אברהם חזן — מחבר אֲחוֹת קְטַנָּה; בן דורו של הרמב״ן.</w:t>
      </w:r>
      <w:r>
        <w:t xml:space="preserve"> </w:t>
      </w:r>
      <w:r>
        <w:rPr>
          <w:rFonts w:ascii="David" w:hAnsi="David"/>
        </w:rPr>
        <w:t xml:space="preserve"> רב אברהם חזן מגירונה (תחילת המאה הי״ג). הפיוט אֲחוֹת קְטַנָּה חתום באקרוסטיכון </w:t>
      </w:r>
      <w:r>
        <w:rPr>
          <w:rFonts w:ascii="David" w:hAnsi="David"/>
        </w:rPr>
        <w:t>אַבְרָהָם חָזָן חָזָק</w:t>
      </w:r>
      <w:r>
        <w:rPr>
          <w:rFonts w:ascii="David" w:hAnsi="David"/>
        </w:rPr>
        <w:t>. משוקע במחזורי ספרד ובמחזורי ראש השנה הספרדיים הרגילים, נאמר אחרי מנחה של ערב ראש השנה.</w:t>
      </w:r>
    </w:p>
    <w:p>
      <w:pPr>
        <w:ind w:left="432"/>
      </w:pPr>
      <w:r>
        <w:rPr>
          <w:b/>
          <w:color w:val="D4A017"/>
          <w:sz w:val="18"/>
        </w:rPr>
        <w:t xml:space="preserve">[Note] </w:t>
      </w:r>
      <w:r>
        <w:rPr>
          <w:rFonts w:ascii="David" w:hAnsi="David"/>
          <w:b/>
          <w:color w:val="5A4B1A"/>
          <w:sz w:val="18"/>
        </w:rPr>
        <w:t>דגל:</w:t>
      </w:r>
      <w:r>
        <w:rPr>
          <w:rFonts w:ascii="David" w:hAnsi="David"/>
          <w:color w:val="5A4B1A"/>
          <w:sz w:val="18"/>
        </w:rPr>
        <w:t xml:space="preserve"> טיב הקשר הביוגרפי המדויק לרמב״ן (הספד) הוא לפי מסורת ליטורגית ספרדית; יש לאמת מול מחקריהם של פליישר / רוזנצווייג על שירת אסכולת גירונה.</w:t>
      </w:r>
    </w:p>
    <w:p>
      <w:r>
        <w:rPr>
          <w:b/>
          <w:color w:val="1E3A8A"/>
        </w:rPr>
        <w:t xml:space="preserve">5. </w:t>
      </w:r>
      <w:r>
        <w:rPr>
          <w:rFonts w:ascii="David" w:hAnsi="David"/>
          <w:b/>
          <w:color w:val="1E3A8A"/>
        </w:rPr>
        <w:t>גמרא: תִּכְלֶה שָׁנָה וְקִלְלוֹתֶיהָ — קריאת קללות לפני ר״ה.</w:t>
      </w:r>
      <w:r>
        <w:t xml:space="preserve"> </w:t>
      </w:r>
      <w:r>
        <w:t xml:space="preserve"> </w:t>
      </w:r>
      <w:r>
        <w:rPr>
          <w:rFonts w:ascii="David" w:hAnsi="David"/>
        </w:rPr>
        <w:t>מגילה ל״א ע״ב</w:t>
      </w:r>
      <w:r>
        <w:rPr>
          <w:rFonts w:ascii="David" w:hAnsi="David"/>
        </w:rPr>
        <w:t>: ״עזרא תיקן להם לישראל שיהו קורין קללות שבתורת כהנים קודם עצרת ושבמשנה תורה קודם ראש השנה. מאי טעמא? אמר אביי ואיתימא ריש לקיש: כדי שתכלה שנה וקללותיה.״ הרמב״ם והטור מקודים זאת בהלכות תפילה בסדר הקריאה של השנה.</w:t>
      </w:r>
    </w:p>
    <w:p>
      <w:r>
        <w:rPr>
          <w:b/>
          <w:color w:val="1E3A8A"/>
        </w:rPr>
        <w:t xml:space="preserve">6. </w:t>
      </w:r>
      <w:r>
        <w:rPr>
          <w:rFonts w:ascii="David" w:hAnsi="David"/>
          <w:b/>
          <w:color w:val="1E3A8A"/>
        </w:rPr>
        <w:t>האריז״ל על לְדָוִד מִזְמוֹר אחרי מעריב של ר״ה — סגולה לפרנסה.</w:t>
      </w:r>
      <w:r>
        <w:t xml:space="preserve"> </w:t>
      </w:r>
      <w:r>
        <w:rPr>
          <w:rFonts w:ascii="David" w:hAnsi="David"/>
        </w:rPr>
        <w:t xml:space="preserve"> המסורת נסובה על כתבי </w:t>
      </w:r>
      <w:r>
        <w:rPr>
          <w:rFonts w:ascii="David" w:hAnsi="David"/>
        </w:rPr>
        <w:t>רב חיים ויטאל</w:t>
      </w:r>
      <w:r>
        <w:rPr>
          <w:rFonts w:ascii="David" w:hAnsi="David"/>
        </w:rPr>
        <w:t xml:space="preserve"> בשער הכוונות ובפרי עץ חיים (שער ראש השנה); הדבר נפסק בספרים מאוחרים כמו כף החיים (או״ח תקפ״ב) וילקוט יוסף.</w:t>
      </w:r>
    </w:p>
    <w:p>
      <w:pPr>
        <w:ind w:left="432"/>
      </w:pPr>
      <w:r>
        <w:rPr>
          <w:b/>
          <w:color w:val="D4A017"/>
          <w:sz w:val="18"/>
        </w:rPr>
        <w:t xml:space="preserve">[Note] </w:t>
      </w:r>
      <w:r>
        <w:rPr>
          <w:rFonts w:ascii="David" w:hAnsi="David"/>
          <w:b/>
          <w:color w:val="5A4B1A"/>
          <w:sz w:val="18"/>
        </w:rPr>
        <w:t>דגל:</w:t>
      </w:r>
      <w:r>
        <w:rPr>
          <w:rFonts w:ascii="David" w:hAnsi="David"/>
          <w:color w:val="5A4B1A"/>
          <w:sz w:val="18"/>
        </w:rPr>
        <w:t xml:space="preserve"> יש לאמת מקום מדויק בשער הכוונות / פרי עץ חיים וציטוטו בפוסקי ספרד; הניסוח הספציפי של ״בשני הלילות הראשונים של ר״ה וביום כיפור״ הוא סטנדרטי אבל יש למקד את המקור.</w:t>
      </w:r>
    </w:p>
    <w:p>
      <w:r>
        <w:rPr>
          <w:b/>
          <w:color w:val="1E3A8A"/>
        </w:rPr>
        <w:t xml:space="preserve">7. </w:t>
      </w:r>
      <w:r>
        <w:rPr>
          <w:rFonts w:ascii="David" w:hAnsi="David"/>
          <w:b/>
          <w:color w:val="1E3A8A"/>
        </w:rPr>
        <w:t>השם הקדוש חת״ך בפותח את ידך ובתבל ויושבי בה.</w:t>
      </w:r>
      <w:r>
        <w:t xml:space="preserve"> </w:t>
      </w:r>
      <w:r>
        <w:rPr>
          <w:rFonts w:ascii="David" w:hAnsi="David"/>
        </w:rPr>
        <w:t xml:space="preserve"> מבנה הגימטריא/ראשי־תיבות מופיע לאורך הסידורים והחיבורים הקבליים על שמות הקודש. עיין </w:t>
      </w:r>
      <w:r>
        <w:rPr>
          <w:rFonts w:ascii="David" w:hAnsi="David"/>
        </w:rPr>
        <w:t>קיצור של״ה</w:t>
      </w:r>
      <w:r>
        <w:t xml:space="preserve">, </w:t>
      </w:r>
      <w:r>
        <w:rPr>
          <w:rFonts w:ascii="David" w:hAnsi="David"/>
        </w:rPr>
        <w:t>מגן אברהם</w:t>
      </w:r>
      <w:r>
        <w:rPr>
          <w:rFonts w:ascii="David" w:hAnsi="David"/>
        </w:rPr>
        <w:t xml:space="preserve"> על או״ח נ״א:ז (בענין כוונה בפותח את ידך), ואוספים מאוחרים כמו </w:t>
      </w:r>
      <w:r>
        <w:rPr>
          <w:rFonts w:ascii="David" w:hAnsi="David"/>
        </w:rPr>
        <w:t>בני יששכר</w:t>
      </w:r>
      <w:r>
        <w:t>.</w:t>
      </w:r>
    </w:p>
    <w:p>
      <w:pPr>
        <w:ind w:left="432"/>
      </w:pPr>
      <w:r>
        <w:rPr>
          <w:b/>
          <w:color w:val="D4A017"/>
          <w:sz w:val="18"/>
        </w:rPr>
        <w:t xml:space="preserve">[Note] </w:t>
      </w:r>
      <w:r>
        <w:rPr>
          <w:rFonts w:ascii="David" w:hAnsi="David"/>
          <w:b/>
          <w:color w:val="5A4B1A"/>
          <w:sz w:val="18"/>
        </w:rPr>
        <w:t>דגל:</w:t>
      </w:r>
      <w:r>
        <w:rPr>
          <w:rFonts w:ascii="David" w:hAnsi="David"/>
          <w:color w:val="5A4B1A"/>
          <w:sz w:val="18"/>
        </w:rPr>
        <w:t xml:space="preserve"> ניסוח ״ראשי תיבות של תבל ויושבי בה = חת״ך״ מוצג כידוע לרבים; הציטוט הסטנדרטי הוא </w:t>
      </w:r>
      <w:r>
        <w:rPr>
          <w:rFonts w:ascii="David" w:hAnsi="David"/>
          <w:color w:val="5A4B1A"/>
          <w:sz w:val="18"/>
        </w:rPr>
        <w:t>של״ה הקדוש</w:t>
      </w:r>
      <w:r>
        <w:rPr>
          <w:rFonts w:ascii="David" w:hAnsi="David"/>
          <w:color w:val="5A4B1A"/>
          <w:sz w:val="18"/>
        </w:rPr>
        <w:t xml:space="preserve"> או </w:t>
      </w:r>
      <w:r>
        <w:rPr>
          <w:rFonts w:ascii="David" w:hAnsi="David"/>
          <w:color w:val="5A4B1A"/>
          <w:sz w:val="18"/>
        </w:rPr>
        <w:t>כף החיים</w:t>
      </w:r>
      <w:r>
        <w:rPr>
          <w:rFonts w:ascii="David" w:hAnsi="David"/>
          <w:color w:val="5A4B1A"/>
          <w:sz w:val="18"/>
        </w:rPr>
        <w:t>, יש לאמת.</w:t>
      </w:r>
    </w:p>
    <w:p>
      <w:r>
        <w:rPr>
          <w:b/>
          <w:color w:val="1E3A8A"/>
        </w:rPr>
        <w:t xml:space="preserve">8. </w:t>
      </w:r>
      <w:r>
        <w:rPr>
          <w:rFonts w:ascii="David" w:hAnsi="David"/>
          <w:b/>
          <w:color w:val="1E3A8A"/>
        </w:rPr>
        <w:t>תהילים כ״ד:ג-ד — מִי־יַעֲלֶה בְהַר־ה׳.</w:t>
      </w:r>
      <w:r>
        <w:t xml:space="preserve"> </w:t>
      </w:r>
      <w:r>
        <w:rPr>
          <w:rFonts w:ascii="David" w:hAnsi="David"/>
        </w:rPr>
        <w:t xml:space="preserve"> ״מִי־יַעֲלֶה בְהַר־ה׳ וּמִי־יָקוּם בִּמְקוֹם קָדְשׁוֹ׃ נְקִי כַפַּיִם וּבַר־לֵבָב, אֲשֶׁר לֹא־נָשָׂא לַשָּׁוְא נַפְשִׁי וְלֹא נִשְׁבַּע לְמִרְמָה׃״ הראשונים הקלאסיים (רש״י, אב״ע, רד״ק, רבנו בחיי) מפרשים ״נשא לשוא נפשי״ ו״וְלֹא נִשְׁבַּע לְמִרְמָה״ ברגיסטרים שונים; קריאתו של החפץ חיים לשבועה הקדומה היא שכבת דרך הדרוש.</w:t>
      </w:r>
    </w:p>
    <w:p>
      <w:r>
        <w:rPr>
          <w:b/>
          <w:color w:val="1E3A8A"/>
        </w:rPr>
        <w:t xml:space="preserve">9. </w:t>
      </w:r>
      <w:r>
        <w:rPr>
          <w:rFonts w:ascii="David" w:hAnsi="David"/>
          <w:b/>
          <w:color w:val="1E3A8A"/>
        </w:rPr>
        <w:t>נדה ל׳ ע״ב — המלאך מלמד את הנשמה את כל התורה במעי אמה.</w:t>
      </w:r>
      <w:r>
        <w:t xml:space="preserve"> </w:t>
      </w:r>
      <w:r>
        <w:rPr>
          <w:rFonts w:ascii="David" w:hAnsi="David"/>
        </w:rPr>
        <w:t xml:space="preserve"> ״דרש רבי שמלאי: למה הולד דומה במעי אמו... ומלמדין אותו כל התורה כולה.״ הגמרא ממשיכה שמלאך סוטרו על פיו בצאתו וגורם לו לשכוח. השבועה (מַשְׁבִּיעִין אוֹתוֹ, תְּהִי צַדִּיק וְאַל תְּהִי רָשָׁע) באותו הדף.</w:t>
      </w:r>
    </w:p>
    <w:p>
      <w:r>
        <w:rPr>
          <w:b/>
          <w:color w:val="1E3A8A"/>
        </w:rPr>
        <w:t xml:space="preserve">10. </w:t>
      </w:r>
      <w:r>
        <w:rPr>
          <w:rFonts w:ascii="David" w:hAnsi="David"/>
          <w:b/>
          <w:color w:val="1E3A8A"/>
        </w:rPr>
        <w:t>מַשְׁבִּיעִין אוֹתוֹ — תְּהִי צַדִּיק וְאַל תְּהִי רָשָׁע.</w:t>
      </w:r>
      <w:r>
        <w:t xml:space="preserve"> </w:t>
      </w:r>
      <w:r>
        <w:t xml:space="preserve"> </w:t>
      </w:r>
      <w:r>
        <w:rPr>
          <w:rFonts w:ascii="David" w:hAnsi="David"/>
        </w:rPr>
        <w:t>נדה ל׳ ע״ב</w:t>
      </w:r>
      <w:r>
        <w:rPr>
          <w:rFonts w:ascii="David" w:hAnsi="David"/>
        </w:rPr>
        <w:t>, מיד לאחר תיאור המלאך המלמד תורה. הגמרא: ״ומשביעין אותו: תהי צדיק ואל תהי רשע. ואפילו כל העולם כולו אומרים לך צדיק אתה — היה בעיניך כרשע.״ ראוי לציין שהגמרא עצמה מצטטת תהילים כ״ד:ד (״אֲשֶׁר לֹא נָשָׂא לַשָּׁוְא נַפְשִׁי וְלֹא נִשְׁבַּע לְמִרְמָה״) כפסוק המתאר את מי ששמר על שבועה זו — כך שהחיבור בין השבועה הקדומה לְלְדָוִד מִזְמוֹר כבר בחז״ל; חידושו של החפץ חיים הוא הבלטת זאת כעבודת ראש השנה למעשה.</w:t>
      </w:r>
    </w:p>
    <w:p>
      <w:r>
        <w:rPr>
          <w:b/>
          <w:color w:val="1E3A8A"/>
        </w:rPr>
        <w:t xml:space="preserve">11. </w:t>
      </w:r>
      <w:r>
        <w:rPr>
          <w:rFonts w:ascii="David" w:hAnsi="David"/>
          <w:b/>
          <w:color w:val="1E3A8A"/>
        </w:rPr>
        <w:t>גמרא — חומרת הפסק בין יִשְׁתַּבַּח ליוֹצֵר אור.</w:t>
      </w:r>
      <w:r>
        <w:t xml:space="preserve"> </w:t>
      </w:r>
      <w:r>
        <w:rPr>
          <w:rFonts w:ascii="David" w:hAnsi="David"/>
        </w:rPr>
        <w:t xml:space="preserve"> המקורות העיקריים: </w:t>
      </w:r>
      <w:r>
        <w:rPr>
          <w:rFonts w:ascii="David" w:hAnsi="David"/>
        </w:rPr>
        <w:t>ירושלמי ברכות פרק א׳</w:t>
      </w:r>
      <w:r>
        <w:rPr>
          <w:rFonts w:ascii="David" w:hAnsi="David"/>
        </w:rPr>
        <w:t xml:space="preserve"> ודיוני הרשב״א/מרדכי השונים. השוואת החייל ו״מֵעֲבֵרוֹת שֶׁבְּיָדוֹ״ מופיעים בראשונים; עיין גם </w:t>
      </w:r>
      <w:r>
        <w:rPr>
          <w:rFonts w:ascii="David" w:hAnsi="David"/>
        </w:rPr>
        <w:t>שולחן ערוך או״ח נ״ד:ג</w:t>
      </w:r>
      <w:r>
        <w:rPr>
          <w:rFonts w:ascii="David" w:hAnsi="David"/>
        </w:rPr>
        <w:t xml:space="preserve"> ו</w:t>
      </w:r>
      <w:r>
        <w:rPr>
          <w:rFonts w:ascii="David" w:hAnsi="David"/>
        </w:rPr>
        <w:t>משנה ברורה</w:t>
      </w:r>
      <w:r>
        <w:rPr>
          <w:rFonts w:ascii="David" w:hAnsi="David"/>
        </w:rPr>
        <w:t xml:space="preserve"> שם.</w:t>
      </w:r>
    </w:p>
    <w:p>
      <w:pPr>
        <w:ind w:left="432"/>
      </w:pPr>
      <w:r>
        <w:rPr>
          <w:b/>
          <w:color w:val="D4A017"/>
          <w:sz w:val="18"/>
        </w:rPr>
        <w:t xml:space="preserve">[Note] </w:t>
      </w:r>
      <w:r>
        <w:rPr>
          <w:rFonts w:ascii="David" w:hAnsi="David"/>
          <w:b/>
          <w:color w:val="5A4B1A"/>
          <w:sz w:val="18"/>
        </w:rPr>
        <w:t>דגל:</w:t>
      </w:r>
      <w:r>
        <w:rPr>
          <w:rFonts w:ascii="David" w:hAnsi="David"/>
          <w:color w:val="5A4B1A"/>
          <w:sz w:val="18"/>
        </w:rPr>
        <w:t xml:space="preserve"> הציטוט הספציפי שהרב אפרתי מביא — יש למקם במדויק (מסתבר בבלי או ירושלמי עם השוואת החייל דרך רישון מסוים); לאמת מול שו״ע או״ח נ״ד:ג ומ״ב.</w:t>
      </w:r>
    </w:p>
    <w:p>
      <w:r>
        <w:rPr>
          <w:b/>
          <w:color w:val="1E3A8A"/>
        </w:rPr>
        <w:t xml:space="preserve">12. </w:t>
      </w:r>
      <w:r>
        <w:rPr>
          <w:rFonts w:ascii="David" w:hAnsi="David"/>
          <w:b/>
          <w:color w:val="1E3A8A"/>
        </w:rPr>
        <w:t>דברים כ׳:ח — מִי־הָאִישׁ הַיָּרֵא וְרַךְ הַלֵּבָב.</w:t>
      </w:r>
      <w:r>
        <w:t xml:space="preserve"> </w:t>
      </w:r>
      <w:r>
        <w:rPr>
          <w:rFonts w:ascii="David" w:hAnsi="David"/>
        </w:rPr>
        <w:t xml:space="preserve"> חלק מפרשת הכהן המשוח מלחמה הנואם לצבא; הגמרא סוטה (מ״ד ע״א) דנה ב״מֵעֲבֵרוֹת שֶׁבְּיָדוֹ״ כאחד הפירושים למה החייל ירא.</w:t>
      </w:r>
    </w:p>
    <w:p>
      <w:r>
        <w:rPr>
          <w:b/>
          <w:color w:val="1E3A8A"/>
        </w:rPr>
        <w:t xml:space="preserve">13. </w:t>
      </w:r>
      <w:r>
        <w:rPr>
          <w:rFonts w:ascii="David" w:hAnsi="David"/>
          <w:b/>
          <w:color w:val="1E3A8A"/>
        </w:rPr>
        <w:t>נודע ביהודה — דגל מרבבה — הגנת מנהג שיר המעלות.</w:t>
      </w:r>
      <w:r>
        <w:t xml:space="preserve"> </w:t>
      </w:r>
      <w:r>
        <w:t xml:space="preserve"> </w:t>
      </w:r>
      <w:r>
        <w:rPr>
          <w:rFonts w:ascii="David" w:hAnsi="David"/>
        </w:rPr>
        <w:t>דגל מרבבה</w:t>
      </w:r>
      <w:r>
        <w:rPr>
          <w:rFonts w:ascii="David" w:hAnsi="David"/>
        </w:rPr>
        <w:t xml:space="preserve"> הוא פירושו של רב יחזקאל לנדא על השולחן ערוך. טיפולו בתפר שבין יִשְׁתַּבַּח ליוצר אור מופיע בסימני או״ח נ״א/נ״ד. ההבחנה בין שיחה בטלה לבין שבחים לגיטימיים היא המהלך המרכזי.</w:t>
      </w:r>
    </w:p>
    <w:p>
      <w:pPr>
        <w:ind w:left="432"/>
      </w:pPr>
      <w:r>
        <w:rPr>
          <w:b/>
          <w:color w:val="D4A017"/>
          <w:sz w:val="18"/>
        </w:rPr>
        <w:t xml:space="preserve">[Note] </w:t>
      </w:r>
      <w:r>
        <w:rPr>
          <w:rFonts w:ascii="David" w:hAnsi="David"/>
          <w:b/>
          <w:color w:val="5A4B1A"/>
          <w:sz w:val="18"/>
        </w:rPr>
        <w:t>דגל:</w:t>
      </w:r>
      <w:r>
        <w:rPr>
          <w:rFonts w:ascii="David" w:hAnsi="David"/>
          <w:color w:val="5A4B1A"/>
          <w:sz w:val="18"/>
        </w:rPr>
        <w:t xml:space="preserve"> יש למקד את הסימן המדויק בדגל מרבבה שם מופיע הגנת המנהג; הטיעון ידוע אבל יש לאמת את המקום מול מהדורה מודפסת.</w:t>
      </w:r>
    </w:p>
    <w:p>
      <w:r>
        <w:rPr>
          <w:b/>
          <w:color w:val="1E3A8A"/>
        </w:rPr>
        <w:t xml:space="preserve">14. </w:t>
      </w:r>
      <w:r>
        <w:rPr>
          <w:rFonts w:ascii="David" w:hAnsi="David"/>
          <w:b/>
          <w:color w:val="1E3A8A"/>
        </w:rPr>
        <w:t>רמב״ם — מנהג ספרד הקדום לומר אָז יָשִׁיר אחרי יִשְׁתַּבַּח.</w:t>
      </w:r>
      <w:r>
        <w:t xml:space="preserve"> </w:t>
      </w:r>
      <w:r>
        <w:rPr>
          <w:rFonts w:ascii="David" w:hAnsi="David"/>
        </w:rPr>
        <w:t xml:space="preserve"> קיודו של </w:t>
      </w:r>
      <w:r>
        <w:rPr>
          <w:rFonts w:ascii="David" w:hAnsi="David"/>
        </w:rPr>
        <w:t>הרמב״ם</w:t>
      </w:r>
      <w:r>
        <w:rPr>
          <w:rFonts w:ascii="David" w:hAnsi="David"/>
        </w:rPr>
        <w:t xml:space="preserve"> לנוסח מופיע בהלכות תפילה, עם ואריאציות המצוינות במהדורות; ההפניה הספציפית למנהג ספרדי של הוספת אָז יָשִׁיר אחרי יִשְׁתַּבַּח מובאת על ידי הנודע ביהודה כראייתו העיקרית.</w:t>
      </w:r>
    </w:p>
    <w:p>
      <w:pPr>
        <w:ind w:left="432"/>
      </w:pPr>
      <w:r>
        <w:rPr>
          <w:b/>
          <w:color w:val="D4A017"/>
          <w:sz w:val="18"/>
        </w:rPr>
        <w:t xml:space="preserve">[Note] </w:t>
      </w:r>
      <w:r>
        <w:rPr>
          <w:rFonts w:ascii="David" w:hAnsi="David"/>
          <w:b/>
          <w:color w:val="5A4B1A"/>
          <w:sz w:val="18"/>
        </w:rPr>
        <w:t>דגל:</w:t>
      </w:r>
      <w:r>
        <w:rPr>
          <w:rFonts w:ascii="David" w:hAnsi="David"/>
          <w:color w:val="5A4B1A"/>
          <w:sz w:val="18"/>
        </w:rPr>
        <w:t xml:space="preserve"> מקום הרמב״ם — מסתבר </w:t>
      </w:r>
      <w:r>
        <w:rPr>
          <w:rFonts w:ascii="David" w:hAnsi="David"/>
          <w:color w:val="5A4B1A"/>
          <w:sz w:val="18"/>
        </w:rPr>
        <w:t>הלכות תפילה פרק ז׳</w:t>
      </w:r>
      <w:r>
        <w:rPr>
          <w:rFonts w:ascii="David" w:hAnsi="David"/>
          <w:color w:val="5A4B1A"/>
          <w:sz w:val="18"/>
        </w:rPr>
        <w:t xml:space="preserve"> — טעון אימות; עדות המנהג הספרדי עשויה להימצא בתשובה או במבוא נוסף.</w:t>
      </w:r>
    </w:p>
    <w:p>
      <w:r>
        <w:rPr>
          <w:b/>
          <w:color w:val="1E3A8A"/>
        </w:rPr>
        <w:t xml:space="preserve">15. </w:t>
      </w:r>
      <w:r>
        <w:rPr>
          <w:rFonts w:ascii="David" w:hAnsi="David"/>
          <w:b/>
          <w:color w:val="1E3A8A"/>
        </w:rPr>
        <w:t>גמרא — אין בקשות אישיות בשלוש ראשונות ובשלוש אחרונות של שמונה עשרה.</w:t>
      </w:r>
      <w:r>
        <w:t xml:space="preserve"> </w:t>
      </w:r>
      <w:r>
        <w:t xml:space="preserve"> </w:t>
      </w:r>
      <w:r>
        <w:rPr>
          <w:rFonts w:ascii="David" w:hAnsi="David"/>
        </w:rPr>
        <w:t>ברכות ל״ד ע״א</w:t>
      </w:r>
      <w:r>
        <w:rPr>
          <w:rFonts w:ascii="David" w:hAnsi="David"/>
        </w:rPr>
        <w:t>: ״אמר רב יהודה: לעולם אל ישאל אדם צרכיו לא בשלש ראשונות ולא בשלש אחרונות, אלא באמצעיות.״ נפסק ב</w:t>
      </w:r>
      <w:r>
        <w:rPr>
          <w:rFonts w:ascii="David" w:hAnsi="David"/>
        </w:rPr>
        <w:t>שולחן ערוך או״ח קי״ב:א</w:t>
      </w:r>
      <w:r>
        <w:t>.</w:t>
      </w:r>
    </w:p>
    <w:p>
      <w:r>
        <w:rPr>
          <w:b/>
          <w:color w:val="1E3A8A"/>
        </w:rPr>
        <w:t xml:space="preserve">16. </w:t>
      </w:r>
      <w:r>
        <w:rPr>
          <w:rFonts w:ascii="David" w:hAnsi="David"/>
          <w:b/>
          <w:color w:val="1E3A8A"/>
        </w:rPr>
        <w:t>הגר״א — על פי המסופר לא אמר את תוספות עשרת ימי תשובה.</w:t>
      </w:r>
      <w:r>
        <w:t xml:space="preserve"> </w:t>
      </w:r>
      <w:r>
        <w:rPr>
          <w:rFonts w:ascii="David" w:hAnsi="David"/>
        </w:rPr>
        <w:t xml:space="preserve"> נמסר בנוסח הגר״א שנמסר על ידי תלמידיו; עיין </w:t>
      </w:r>
      <w:r>
        <w:rPr>
          <w:rFonts w:ascii="David" w:hAnsi="David"/>
        </w:rPr>
        <w:t>מעשה רב</w:t>
      </w:r>
      <w:r>
        <w:rPr>
          <w:rFonts w:ascii="David" w:hAnsi="David"/>
        </w:rPr>
        <w:t xml:space="preserve"> להנהגות הגר״א בימים הנוראים.</w:t>
      </w:r>
    </w:p>
    <w:p>
      <w:pPr>
        <w:ind w:left="432"/>
      </w:pPr>
      <w:r>
        <w:rPr>
          <w:b/>
          <w:color w:val="D4A017"/>
          <w:sz w:val="18"/>
        </w:rPr>
        <w:t xml:space="preserve">[Note] </w:t>
      </w:r>
      <w:r>
        <w:rPr>
          <w:rFonts w:ascii="David" w:hAnsi="David"/>
          <w:b/>
          <w:color w:val="5A4B1A"/>
          <w:sz w:val="18"/>
        </w:rPr>
        <w:t>דגל:</w:t>
      </w:r>
      <w:r>
        <w:rPr>
          <w:rFonts w:ascii="David" w:hAnsi="David"/>
          <w:color w:val="5A4B1A"/>
          <w:sz w:val="18"/>
        </w:rPr>
        <w:t xml:space="preserve"> ״לא אמר״ חזק יותר ממה שהמקורות תומכים — הגר״א סבר ששינו את המבנה והתפלל אותן בהסתייגות; יש לאמת את הניסוח המדויק במעשה רב.</w:t>
      </w:r>
    </w:p>
    <w:p>
      <w:r>
        <w:rPr>
          <w:b/>
          <w:color w:val="1E3A8A"/>
        </w:rPr>
        <w:t xml:space="preserve">17. </w:t>
      </w:r>
      <w:r>
        <w:rPr>
          <w:rFonts w:ascii="David" w:hAnsi="David"/>
          <w:b/>
          <w:color w:val="1E3A8A"/>
        </w:rPr>
        <w:t>מהר״ם מרוטנבורג — הצדקה מטבע הימים.</w:t>
      </w:r>
      <w:r>
        <w:t xml:space="preserve"> </w:t>
      </w:r>
      <w:r>
        <w:rPr>
          <w:rFonts w:ascii="David" w:hAnsi="David"/>
        </w:rPr>
        <w:t xml:space="preserve"> תשובת המהר״ם על תוספות הימים הנוראים; מובא בפוסקים מאוחרים כהגנה בדרגת ראשון על תקנת הגאונים.</w:t>
      </w:r>
    </w:p>
    <w:p>
      <w:pPr>
        <w:ind w:left="432"/>
      </w:pPr>
      <w:r>
        <w:rPr>
          <w:b/>
          <w:color w:val="D4A017"/>
          <w:sz w:val="18"/>
        </w:rPr>
        <w:t xml:space="preserve">[Note] </w:t>
      </w:r>
      <w:r>
        <w:rPr>
          <w:rFonts w:ascii="David" w:hAnsi="David"/>
          <w:b/>
          <w:color w:val="5A4B1A"/>
          <w:sz w:val="18"/>
        </w:rPr>
        <w:t>דגל:</w:t>
      </w:r>
      <w:r>
        <w:rPr>
          <w:rFonts w:ascii="David" w:hAnsi="David"/>
          <w:color w:val="5A4B1A"/>
          <w:sz w:val="18"/>
        </w:rPr>
        <w:t xml:space="preserve"> סימן מדויק בשו״ת מהר״ם מרוטנבורג לא ניתן בשיעור; יש לאמת.</w:t>
      </w:r>
    </w:p>
    <w:p>
      <w:r>
        <w:rPr>
          <w:b/>
          <w:color w:val="1E3A8A"/>
        </w:rPr>
        <w:t xml:space="preserve">18. </w:t>
      </w:r>
      <w:r>
        <w:rPr>
          <w:rFonts w:ascii="David" w:hAnsi="David"/>
          <w:b/>
          <w:color w:val="1E3A8A"/>
        </w:rPr>
        <w:t>משנה ברורה — קפידת לְחַיִּים לעומת לַחַיִּים.</w:t>
      </w:r>
      <w:r>
        <w:t xml:space="preserve"> </w:t>
      </w:r>
      <w:r>
        <w:t xml:space="preserve"> </w:t>
      </w:r>
      <w:r>
        <w:rPr>
          <w:rFonts w:ascii="David" w:hAnsi="David"/>
        </w:rPr>
        <w:t>משנה ברורה תקפ״ב:ז</w:t>
      </w:r>
      <w:r>
        <w:rPr>
          <w:rFonts w:ascii="David" w:hAnsi="David"/>
        </w:rPr>
        <w:t xml:space="preserve"> דן בחילוק בין לְחַיִּים (בשוא) לבין לַחַיִּים (בפתח), ומזהיר מפני האחרון. מקורות עד </w:t>
      </w:r>
      <w:r>
        <w:rPr>
          <w:rFonts w:ascii="David" w:hAnsi="David"/>
        </w:rPr>
        <w:t>אבודרהם</w:t>
      </w:r>
      <w:r>
        <w:rPr>
          <w:rFonts w:ascii="David" w:hAnsi="David"/>
        </w:rPr>
        <w:t xml:space="preserve"> והמקובלים עוסקים בחשש הלֹא חַיִּים.</w:t>
      </w:r>
    </w:p>
    <w:p>
      <w:pPr>
        <w:ind w:left="432"/>
      </w:pPr>
      <w:r>
        <w:rPr>
          <w:b/>
          <w:color w:val="D4A017"/>
          <w:sz w:val="18"/>
        </w:rPr>
        <w:t xml:space="preserve">[Note] </w:t>
      </w:r>
      <w:r>
        <w:rPr>
          <w:rFonts w:ascii="David" w:hAnsi="David"/>
          <w:b/>
          <w:color w:val="5A4B1A"/>
          <w:sz w:val="18"/>
        </w:rPr>
        <w:t>דגל:</w:t>
      </w:r>
      <w:r>
        <w:rPr>
          <w:rFonts w:ascii="David" w:hAnsi="David"/>
          <w:color w:val="5A4B1A"/>
          <w:sz w:val="18"/>
        </w:rPr>
        <w:t xml:space="preserve"> סימן/סעיף מדויק במ״ב טעון אימות — מסתבר תקפ״ב:ז אבל יש לוודא.</w:t>
      </w:r>
    </w:p>
    <w:p>
      <w:r>
        <w:rPr>
          <w:b/>
          <w:color w:val="1E3A8A"/>
        </w:rPr>
        <w:t xml:space="preserve">19. </w:t>
      </w:r>
      <w:r>
        <w:rPr>
          <w:rFonts w:ascii="David" w:hAnsi="David"/>
          <w:b/>
          <w:color w:val="1E3A8A"/>
        </w:rPr>
        <w:t>ב״ח (רב יואל סירקיס) — קושיה על דקדוק לַחַיִּים ממעריב.</w:t>
      </w:r>
      <w:r>
        <w:t xml:space="preserve"> </w:t>
      </w:r>
      <w:r>
        <w:rPr>
          <w:rFonts w:ascii="David" w:hAnsi="David"/>
        </w:rPr>
        <w:t xml:space="preserve"> ה</w:t>
      </w:r>
      <w:r>
        <w:rPr>
          <w:rFonts w:ascii="David" w:hAnsi="David"/>
        </w:rPr>
        <w:t>ב״ח</w:t>
      </w:r>
      <w:r>
        <w:rPr>
          <w:rFonts w:ascii="David" w:hAnsi="David"/>
        </w:rPr>
        <w:t xml:space="preserve"> על או״ח (בסימן הרלוונטי על השְׁכִּיבֵנוּ או על תוספות הימים הנוראים) מקשה שאנו אומרים </w:t>
      </w:r>
      <w:r>
        <w:rPr>
          <w:rFonts w:ascii="David" w:hAnsi="David"/>
        </w:rPr>
        <w:t>וְהַעֲמִידֵנוּ מַלְכֵּנוּ לְחַיִּים טוֹבִים</w:t>
      </w:r>
      <w:r>
        <w:rPr>
          <w:rFonts w:ascii="David" w:hAnsi="David"/>
        </w:rPr>
        <w:t xml:space="preserve"> בכל יום ואיש אינו מדקדק. הקושיה נשארת קשה; המנהג הרווח נמשך אחר פסק הפוסקים של לְחַיִּים בשוא.</w:t>
      </w:r>
    </w:p>
    <w:p>
      <w:pPr>
        <w:ind w:left="432"/>
      </w:pPr>
      <w:r>
        <w:rPr>
          <w:b/>
          <w:color w:val="D4A017"/>
          <w:sz w:val="18"/>
        </w:rPr>
        <w:t xml:space="preserve">[Note] </w:t>
      </w:r>
      <w:r>
        <w:rPr>
          <w:rFonts w:ascii="David" w:hAnsi="David"/>
          <w:b/>
          <w:color w:val="5A4B1A"/>
          <w:sz w:val="18"/>
        </w:rPr>
        <w:t>דגל:</w:t>
      </w:r>
      <w:r>
        <w:rPr>
          <w:rFonts w:ascii="David" w:hAnsi="David"/>
          <w:color w:val="5A4B1A"/>
          <w:sz w:val="18"/>
        </w:rPr>
        <w:t xml:space="preserve"> הסימן המדויק בב״ח לא צוין בשיעור; הקושיה ידועה אבל יש למקד את המקור.</w:t>
      </w:r>
    </w:p>
    <w:p>
      <w:r>
        <w:rPr>
          <w:b/>
          <w:color w:val="1E3A8A"/>
        </w:rPr>
        <w:t xml:space="preserve">20. </w:t>
      </w:r>
      <w:r>
        <w:rPr>
          <w:rFonts w:ascii="David" w:hAnsi="David"/>
          <w:b/>
          <w:color w:val="1E3A8A"/>
        </w:rPr>
        <w:t>הלכה — שכח זָכְרֵנוּ: חוזר רק אם עדיין לא אמר שם.</w:t>
      </w:r>
      <w:r>
        <w:t xml:space="preserve"> </w:t>
      </w:r>
      <w:r>
        <w:t xml:space="preserve"> </w:t>
      </w:r>
      <w:r>
        <w:rPr>
          <w:rFonts w:ascii="David" w:hAnsi="David"/>
        </w:rPr>
        <w:t>שולחן ערוך או״ח תקפ״ב:ה</w:t>
      </w:r>
      <w:r>
        <w:rPr>
          <w:rFonts w:ascii="David" w:hAnsi="David"/>
        </w:rPr>
        <w:t>: כיוון שההוספה היא תקנת גאונים (לא מן הגמרא), אם עדיין לא אמר שם ומלכות בחתימה, חוזר; אם אמר, אינו חוזר. השווה ל</w:t>
      </w:r>
      <w:r>
        <w:rPr>
          <w:rFonts w:ascii="David" w:hAnsi="David"/>
        </w:rPr>
        <w:t>הַמֶּלֶךְ הַקָּדוֹשׁ</w:t>
      </w:r>
      <w:r>
        <w:rPr>
          <w:rFonts w:ascii="David" w:hAnsi="David"/>
        </w:rPr>
        <w:t xml:space="preserve"> (שו״ע או״ח תקפ״ב:א), המופיע בגמרא עצמה, ודינו חמור יותר.</w:t>
      </w:r>
    </w:p>
    <w:p>
      <w:r>
        <w:rPr>
          <w:b/>
          <w:color w:val="1E3A8A"/>
        </w:rPr>
        <w:t xml:space="preserve">21. </w:t>
      </w:r>
      <w:r>
        <w:rPr>
          <w:rFonts w:ascii="David" w:hAnsi="David"/>
          <w:b/>
          <w:color w:val="1E3A8A"/>
        </w:rPr>
        <w:t>תענית כ״ה ע״ב — רבי עקיבא ותפילת עצירת גשמים.</w:t>
      </w:r>
      <w:r>
        <w:t xml:space="preserve"> </w:t>
      </w:r>
      <w:r>
        <w:rPr>
          <w:rFonts w:ascii="David" w:hAnsi="David"/>
        </w:rPr>
        <w:t xml:space="preserve"> ״מעשה בר׳ אליעזר... ולא נענו. ירד לפניו רבי עקיבא ואמר: אבינו מלכנו חטאנו לפניך. אבינו מלכנו אין לנו מלך אלא אתה. אבינו מלכנו למענך רחם עלינו. וירדו גשמים.״ הגמרא מציינת הטעם: </w:t>
      </w:r>
      <w:r>
        <w:rPr>
          <w:rFonts w:ascii="David" w:hAnsi="David"/>
        </w:rPr>
        <w:t>מפני שהוא מעביר על מדותיו</w:t>
      </w:r>
      <w:r>
        <w:rPr>
          <w:rFonts w:ascii="David" w:hAnsi="David"/>
        </w:rPr>
        <w:t>. זה מקור אָבִינוּ מַלְכֵּנוּ.</w:t>
      </w:r>
    </w:p>
    <w:p>
      <w:r>
        <w:rPr>
          <w:b/>
          <w:color w:val="1E3A8A"/>
        </w:rPr>
        <w:t xml:space="preserve">22. </w:t>
      </w:r>
      <w:r>
        <w:rPr>
          <w:rFonts w:ascii="David" w:hAnsi="David"/>
          <w:b/>
          <w:color w:val="1E3A8A"/>
        </w:rPr>
        <w:t>רמז מן הראשונים — אבינו מלכנו חטאנו לפניך = רַבִּי עֲקִיבָא יְסָדוֹ (גימטריא).</w:t>
      </w:r>
      <w:r>
        <w:t xml:space="preserve"> </w:t>
      </w:r>
      <w:r>
        <w:rPr>
          <w:rFonts w:ascii="David" w:hAnsi="David"/>
        </w:rPr>
        <w:t xml:space="preserve"> כלל חתימת המחבר בגימטריא הוא תופעה של פיוטים (המחבר משקע את שמו); גימטריא זו מתקשרת חזרה למקור בתענית כ״ה ע״ב.</w:t>
      </w:r>
    </w:p>
    <w:p>
      <w:pPr>
        <w:ind w:left="432"/>
      </w:pPr>
      <w:r>
        <w:rPr>
          <w:b/>
          <w:color w:val="D4A017"/>
          <w:sz w:val="18"/>
        </w:rPr>
        <w:t xml:space="preserve">[Note] </w:t>
      </w:r>
      <w:r>
        <w:rPr>
          <w:rFonts w:ascii="David" w:hAnsi="David"/>
          <w:b/>
          <w:color w:val="5A4B1A"/>
          <w:sz w:val="18"/>
        </w:rPr>
        <w:t>דגל:</w:t>
      </w:r>
      <w:r>
        <w:rPr>
          <w:rFonts w:ascii="David" w:hAnsi="David"/>
          <w:color w:val="5A4B1A"/>
          <w:sz w:val="18"/>
        </w:rPr>
        <w:t xml:space="preserve"> איזה ראשון מסוים מביא גימטריא זו — הרב אפרתי אומר ״הראשונים אומרים״; מסתבר בפירוש ליטורגי קדום (אבודרהם, כל בו, מחזור ויטרי); יש לאמת.</w:t>
      </w:r>
    </w:p>
    <w:p>
      <w:r>
        <w:rPr>
          <w:b/>
          <w:color w:val="1E3A8A"/>
        </w:rPr>
        <w:t xml:space="preserve">23. </w:t>
      </w:r>
      <w:r>
        <w:rPr>
          <w:rFonts w:ascii="David" w:hAnsi="David"/>
          <w:b/>
          <w:color w:val="1E3A8A"/>
        </w:rPr>
        <w:t>אריז״ל — ריקוד בשמחת תורה בשמחה בלתי־מרוסנת כסגולה לפרנסה.</w:t>
      </w:r>
      <w:r>
        <w:t xml:space="preserve"> </w:t>
      </w:r>
      <w:r>
        <w:rPr>
          <w:rFonts w:ascii="David" w:hAnsi="David"/>
        </w:rPr>
        <w:t xml:space="preserve"> מסורה קבלית סטנדרטית; מובאת ב</w:t>
      </w:r>
      <w:r>
        <w:rPr>
          <w:rFonts w:ascii="David" w:hAnsi="David"/>
        </w:rPr>
        <w:t>של״ה הקדוש</w:t>
      </w:r>
      <w:r>
        <w:t xml:space="preserve">, </w:t>
      </w:r>
      <w:r>
        <w:rPr>
          <w:rFonts w:ascii="David" w:hAnsi="David"/>
        </w:rPr>
        <w:t>בני יששכר</w:t>
      </w:r>
      <w:r>
        <w:rPr>
          <w:rFonts w:ascii="David" w:hAnsi="David"/>
        </w:rPr>
        <w:t xml:space="preserve"> (תשרי), ובקבצי מוסר מאוחרים.</w:t>
      </w:r>
    </w:p>
    <w:p>
      <w:pPr>
        <w:ind w:left="432"/>
      </w:pPr>
      <w:r>
        <w:rPr>
          <w:b/>
          <w:color w:val="D4A017"/>
          <w:sz w:val="18"/>
        </w:rPr>
        <w:t xml:space="preserve">[Note] </w:t>
      </w:r>
      <w:r>
        <w:rPr>
          <w:rFonts w:ascii="David" w:hAnsi="David"/>
          <w:b/>
          <w:color w:val="5A4B1A"/>
          <w:sz w:val="18"/>
        </w:rPr>
        <w:t>דגל:</w:t>
      </w:r>
      <w:r>
        <w:rPr>
          <w:rFonts w:ascii="David" w:hAnsi="David"/>
          <w:color w:val="5A4B1A"/>
          <w:sz w:val="18"/>
        </w:rPr>
        <w:t xml:space="preserve"> יש למקד את מקום האריז״ל / של״ה הספציפי; מסורה חסידית שבעל־פה שהתפשטה באופן נרחב.</w:t>
      </w:r>
    </w:p>
    <w:p>
      <w:r>
        <w:rPr>
          <w:b/>
          <w:color w:val="1E3A8A"/>
        </w:rPr>
        <w:t xml:space="preserve">24. </w:t>
      </w:r>
      <w:r>
        <w:rPr>
          <w:rFonts w:ascii="David" w:hAnsi="David"/>
          <w:b/>
          <w:color w:val="1E3A8A"/>
        </w:rPr>
        <w:t>שמואל ב׳ ו׳:ט״ז — דוד רוקד לפני הארון.</w:t>
      </w:r>
      <w:r>
        <w:t xml:space="preserve"> </w:t>
      </w:r>
      <w:r>
        <w:rPr>
          <w:rFonts w:ascii="David" w:hAnsi="David"/>
        </w:rPr>
        <w:t xml:space="preserve"> ״וְדָוִד מְכַרְכֵּר בְּכָל־עֹז לִפְנֵי ה׳.״ בפסוק י״ד מְכַרְכֵּר, בפסוק ט״ז (בוז מיכל) מְפַזֵּז וּמְכַרְכֵּר; הצמדת המונחים היא במטבע לשון רווח.</w:t>
      </w:r>
    </w:p>
    <w:p>
      <w:pPr>
        <w:pBdr>
          <w:bottom w:val="single" w:sz="6" w:space="1" w:color="B8860B"/>
        </w:pBdr>
      </w:pPr>
    </w:p>
    <w:p>
      <w:pPr>
        <w:jc w:val="center"/>
      </w:pPr>
      <w:r>
        <w:rPr>
          <w:rFonts w:ascii="David" w:hAnsi="David"/>
          <w:i/>
          <w:color w:val="5A4B1A"/>
          <w:sz w:val="18"/>
        </w:rPr>
        <w:br/>
        <w:t xml:space="preserve">  הרב אפרתי · שיעור יום ראשון בבוקר על תפילה · השני משלושה שיעורים על מחזור ראש השנה · כ״ד אלול תשפ״ו · יאָרְצייט של החפץ חיים</w:t>
        <w:br/>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