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Bdr>
          <w:bottom w:val="single" w:sz="6" w:space="1" w:color="B8860B"/>
        </w:pBdr>
      </w:pPr>
    </w:p>
    <w:p>
      <w:pPr>
        <w:jc w:val="center"/>
      </w:pPr>
      <w:r>
        <w:rPr>
          <w:rFonts w:ascii="David" w:hAnsi="David"/>
          <w:color w:val="B8860B"/>
          <w:sz w:val="18"/>
        </w:rPr>
        <w:t>Rabbi Ephrati · Sunday Morning שיעור on תפילה</w:t>
      </w:r>
    </w:p>
    <w:p>
      <w:pPr>
        <w:jc w:val="center"/>
      </w:pPr>
      <w:r>
        <w:rPr>
          <w:rFonts w:ascii="David" w:hAnsi="David"/>
          <w:b/>
          <w:color w:val="1E3A8A"/>
          <w:sz w:val="36"/>
        </w:rPr>
        <w:t>The Final Mincha, אֲחוֹת קְטַנָּה, and the Chofetz Chaim's Primordial Oath</w:t>
      </w:r>
    </w:p>
    <w:p>
      <w:pPr>
        <w:jc w:val="center"/>
      </w:pPr>
      <w:r>
        <w:rPr>
          <w:i/>
          <w:color w:val="2C5282"/>
          <w:sz w:val="22"/>
        </w:rPr>
        <w:t xml:space="preserve">A 24 Elul </w:t>
      </w:r>
      <w:r>
        <w:rPr>
          <w:rFonts w:ascii="David" w:hAnsi="David"/>
          <w:i/>
          <w:color w:val="2C5282"/>
          <w:sz w:val="22"/>
        </w:rPr>
        <w:t>שיעור</w:t>
      </w:r>
      <w:r>
        <w:rPr>
          <w:rFonts w:ascii="David" w:hAnsi="David"/>
          <w:i/>
          <w:color w:val="2C5282"/>
          <w:sz w:val="22"/>
        </w:rPr>
        <w:t xml:space="preserve"> — Erev Rosh HaShanah as the year's most decisive moment, and the opening currents of the מחזור</w:t>
      </w:r>
    </w:p>
    <w:p>
      <w:pPr>
        <w:jc w:val="center"/>
      </w:pPr>
      <w:r>
        <w:rPr>
          <w:rFonts w:ascii="David" w:hAnsi="David"/>
          <w:color w:val="5A4B1A"/>
          <w:sz w:val="18"/>
        </w:rPr>
        <w:t>Recorded 6 September 2026 · 24 Elul 5786 · Yahrzeit of the חפץ חיים · Second of three shiurim on the מחזור</w:t>
      </w:r>
    </w:p>
    <w:p>
      <w:pPr>
        <w:pBdr>
          <w:bottom w:val="single" w:sz="6" w:space="1" w:color="B8860B"/>
        </w:pBdr>
      </w:pPr>
    </w:p>
    <w:p>
      <w:r>
        <w:rPr>
          <w:rFonts w:ascii="David" w:hAnsi="David"/>
          <w:i/>
          <w:color w:val="3B3B3B"/>
        </w:rPr>
        <w:br/>
        <w:t xml:space="preserve">  Six days out from ראש השנה, on the yahrzeit of the </w:t>
      </w:r>
      <w:r>
        <w:rPr>
          <w:rFonts w:ascii="David" w:hAnsi="David"/>
          <w:i/>
          <w:color w:val="3B3B3B"/>
        </w:rPr>
        <w:t>חפץ חיים</w:t>
      </w:r>
      <w:r>
        <w:rPr>
          <w:rFonts w:ascii="David" w:hAnsi="David"/>
          <w:i/>
          <w:color w:val="3B3B3B"/>
        </w:rPr>
        <w:t xml:space="preserve">, the Rav opens the מחזור from an unusual place — </w:t>
      </w:r>
      <w:r>
        <w:rPr>
          <w:i/>
          <w:color w:val="3B3B3B"/>
        </w:rPr>
        <w:t>not</w:t>
      </w:r>
      <w:r>
        <w:rPr>
          <w:rFonts w:ascii="David" w:hAnsi="David"/>
          <w:i/>
          <w:color w:val="3B3B3B"/>
        </w:rPr>
        <w:t xml:space="preserve"> the first ma'ariv of ראש השנה, but the מנחה that ends the year that just was. From there the shiur moves through אֲחוֹת קְטַנָּה (the </w:t>
      </w:r>
      <w:r>
        <w:rPr>
          <w:rFonts w:ascii="David" w:hAnsi="David"/>
          <w:i/>
          <w:color w:val="3B3B3B"/>
        </w:rPr>
        <w:t>ספרדי</w:t>
      </w:r>
      <w:r>
        <w:rPr>
          <w:rFonts w:ascii="David" w:hAnsi="David"/>
          <w:i/>
          <w:color w:val="3B3B3B"/>
        </w:rPr>
        <w:t xml:space="preserve"> transition-piyut composed by a contemporary of the רמב"ן), the אריז"ל's סגולה of לְדָוִד מִזְמוֹר and the divine name </w:t>
      </w:r>
      <w:r>
        <w:rPr>
          <w:rFonts w:ascii="David" w:hAnsi="David"/>
          <w:i/>
          <w:color w:val="3B3B3B"/>
        </w:rPr>
        <w:t>חת"ך</w:t>
      </w:r>
      <w:r>
        <w:rPr>
          <w:i/>
          <w:color w:val="3B3B3B"/>
        </w:rPr>
        <w:t xml:space="preserve">, the Chofetz Chaim's chiddush that </w:t>
      </w:r>
      <w:r>
        <w:rPr>
          <w:rFonts w:ascii="David" w:hAnsi="David"/>
          <w:i/>
          <w:color w:val="3B3B3B"/>
        </w:rPr>
        <w:t>וְלֹא נִשְׁבַּע לְמִרְמָה</w:t>
      </w:r>
      <w:r>
        <w:rPr>
          <w:rFonts w:ascii="David" w:hAnsi="David"/>
          <w:i/>
          <w:color w:val="3B3B3B"/>
        </w:rPr>
        <w:t xml:space="preserve"> refers to the primordial oath the נשמה takes in utero, the halachic tension around שיר המעלות מִמַּעֲמַקִּים between יִשְׁתַּבַּח and יוצר אור, the דגל מרבבה's defense drawn from the Rambam's testimony about early ספרד, the careful </w:t>
      </w:r>
      <w:r>
        <w:rPr>
          <w:rFonts w:ascii="David" w:hAnsi="David"/>
          <w:i/>
          <w:color w:val="3B3B3B"/>
        </w:rPr>
        <w:t>לְחַיִּים / לַחַיִּים</w:t>
      </w:r>
      <w:r>
        <w:rPr>
          <w:rFonts w:ascii="David" w:hAnsi="David"/>
          <w:i/>
          <w:color w:val="3B3B3B"/>
        </w:rPr>
        <w:t xml:space="preserve"> distinction in זָכְרֵנוּ, and closes with רבי עקיבא's origination of אָבִינוּ מַלְכֵּנוּ during the drought (with the ראשונים's gematria </w:t>
      </w:r>
      <w:r>
        <w:rPr>
          <w:rFonts w:ascii="David" w:hAnsi="David"/>
          <w:i/>
          <w:color w:val="3B3B3B"/>
        </w:rPr>
        <w:t>רַבִּי עֲקִיבָא יְסָדוֹ</w:t>
      </w:r>
      <w:r>
        <w:rPr>
          <w:i/>
          <w:color w:val="3B3B3B"/>
        </w:rPr>
        <w:t>). A layered opening to the arc.</w:t>
        <w:br/>
      </w:r>
    </w:p>
    <w:p>
      <w:r>
        <w:rPr>
          <w:rFonts w:ascii="David" w:hAnsi="David"/>
          <w:b/>
          <w:color w:val="1E3A8A"/>
          <w:sz w:val="26"/>
        </w:rPr>
        <w:t>I. OPENING — 24 ELUL, THE חפץ חיים'S YAHRZEIT</w:t>
      </w:r>
    </w:p>
    <w:p>
      <w:pPr>
        <w:pBdr>
          <w:bottom w:val="single" w:sz="6" w:space="1" w:color="B8860B"/>
        </w:pBdr>
      </w:pPr>
    </w:p>
    <w:p>
      <w:r>
        <w:br/>
        <w:t xml:space="preserve">  The shiur opens with the sobering fact of the date. Today is 24 Elul — the yahrzeit of the </w:t>
      </w:r>
      <w:r>
        <w:rPr>
          <w:rFonts w:ascii="David" w:hAnsi="David"/>
          <w:b/>
        </w:rPr>
        <w:t>חפץ חיים</w:t>
      </w:r>
      <w:r>
        <w:t xml:space="preserve">, Rav Yisrael Meir HaKohen of Radin (1839–1933). </w:t>
      </w:r>
      <w:r>
        <w:rPr>
          <w:rFonts w:ascii="David" w:hAnsi="David"/>
          <w:i/>
        </w:rPr>
        <w:t>"What would we do without the משנה ברורה? What would we do without all of his heilige seforim?"</w:t>
      </w:r>
      <w:r>
        <w:rPr>
          <w:rFonts w:ascii="David" w:hAnsi="David"/>
        </w:rPr>
        <w:t xml:space="preserve"> It is fitting, the Rav notes, to begin today's discussion with a קאפיטל תהילים that the Chofetz Chaim was </w:t>
      </w:r>
      <w:r>
        <w:rPr>
          <w:i/>
        </w:rPr>
        <w:t>madgish</w:t>
      </w:r>
      <w:r>
        <w:rPr>
          <w:rFonts w:ascii="David" w:hAnsi="David"/>
        </w:rPr>
        <w:t xml:space="preserve"> — a קאפיטל whose פשט he wrestled with, and whose meaning he unlocked with a חידוש that opens up the entire chapter.</w:t>
        <w:br/>
      </w:r>
    </w:p>
    <w:p>
      <w:r>
        <w:rPr>
          <w:rFonts w:ascii="David" w:hAnsi="David"/>
        </w:rPr>
        <w:br/>
        <w:t xml:space="preserve">  Before that chiddush, however — a whole set of preludes. Because the מחזור does not begin at ma'ariv. It begins with the מנחה that closes the year.</w:t>
        <w:br/>
      </w:r>
    </w:p>
    <w:p>
      <w:r>
        <w:rPr>
          <w:rFonts w:ascii="David" w:hAnsi="David"/>
          <w:b/>
          <w:color w:val="1E3A8A"/>
          <w:sz w:val="26"/>
        </w:rPr>
        <w:t>II. THE FINAL מנחה OF THE YEAR —הַכֹּל הוֹלֵךְ אַחַר הַחִתּוּם</w:t>
      </w:r>
    </w:p>
    <w:p>
      <w:pPr>
        <w:pBdr>
          <w:bottom w:val="single" w:sz="6" w:space="1" w:color="B8860B"/>
        </w:pBdr>
      </w:pPr>
    </w:p>
    <w:p>
      <w:r>
        <w:rPr>
          <w:rFonts w:ascii="David" w:hAnsi="David"/>
        </w:rPr>
        <w:br/>
        <w:t xml:space="preserve">  The מנחה of Erev Rosh HaShanah looks unremarkable: </w:t>
      </w:r>
      <w:r>
        <w:rPr>
          <w:rFonts w:ascii="David" w:hAnsi="David"/>
        </w:rPr>
        <w:t>אַשְׁרֵי</w:t>
      </w:r>
      <w:r>
        <w:t xml:space="preserve">, </w:t>
      </w:r>
      <w:r>
        <w:rPr>
          <w:rFonts w:ascii="David" w:hAnsi="David"/>
        </w:rPr>
        <w:t>שְׁמוֹנֶה עֶשְׂרֵה</w:t>
      </w:r>
      <w:r>
        <w:t xml:space="preserve">, done. But it is the </w:t>
      </w:r>
      <w:r>
        <w:rPr>
          <w:rFonts w:ascii="David" w:hAnsi="David"/>
          <w:i/>
        </w:rPr>
        <w:t>last מנחה of תשפ"ו</w:t>
      </w:r>
      <w:r>
        <w:rPr>
          <w:rFonts w:ascii="David" w:hAnsi="David"/>
        </w:rPr>
        <w:t xml:space="preserve"> — the last minute the year has to conclude itself. And the כלל is well-known:</w:t>
      </w:r>
      <w:r>
        <w:rPr>
          <w:color w:val="B8860B"/>
          <w:sz w:val="16"/>
          <w:vertAlign w:val="superscript"/>
        </w:rPr>
        <w:t>[1]</w:t>
      </w:r>
      <w:r>
        <w:t xml:space="preserve"> </w:t>
      </w:r>
      <w:r>
        <w:rPr>
          <w:rFonts w:ascii="David" w:hAnsi="David"/>
        </w:rPr>
        <w:t>הַכֹּל הוֹלֵךְ אַחַר הַחִתּוּם</w:t>
      </w:r>
      <w:r>
        <w:rPr>
          <w:rFonts w:ascii="David" w:hAnsi="David"/>
        </w:rPr>
        <w:t xml:space="preserve"> — everything follows the חתימה. הקדוש ברוך הוא judges a matter by how it ends.</w:t>
        <w:br/>
      </w:r>
    </w:p>
    <w:p>
      <w:r>
        <w:rPr>
          <w:b/>
          <w:color w:val="B8860B"/>
          <w:sz w:val="18"/>
        </w:rPr>
        <w:t>A STORY — REB YOEL GROSS OF MIAMI AND THE SKVERER REBBE</w:t>
      </w:r>
    </w:p>
    <w:p>
      <w:pPr>
        <w:ind w:left="288"/>
      </w:pPr>
      <w:r>
        <w:br/>
        <w:t xml:space="preserve">    The Rav shares a story from a treasured yedid, </w:t>
      </w:r>
      <w:r>
        <w:rPr>
          <w:b/>
        </w:rPr>
        <w:t xml:space="preserve">Reb Yoel Gross </w:t>
      </w:r>
      <w:r>
        <w:rPr>
          <w:rFonts w:ascii="David" w:hAnsi="David"/>
          <w:b/>
        </w:rPr>
        <w:t>ז"ל</w:t>
      </w:r>
      <w:r>
        <w:rPr>
          <w:b/>
        </w:rPr>
        <w:t xml:space="preserve"> of Miami</w:t>
      </w:r>
      <w:r>
        <w:t xml:space="preserve">, the eldest </w:t>
      </w:r>
      <w:r>
        <w:rPr>
          <w:rFonts w:ascii="David" w:hAnsi="David"/>
        </w:rPr>
        <w:t>אייניקל</w:t>
      </w:r>
      <w:r>
        <w:t xml:space="preserve"> of Reb Shaya'le Kerestirer, a Yid who lived and breathed his zeide's spirit. Every Erev Rosh HaShanah Reb Yoel would </w:t>
      </w:r>
      <w:r>
        <w:rPr>
          <w:i/>
        </w:rPr>
        <w:t>daven far'n amud</w:t>
      </w:r>
      <w:r>
        <w:rPr>
          <w:rFonts w:ascii="David" w:hAnsi="David"/>
        </w:rPr>
        <w:t xml:space="preserve"> for the shul's מנחה. And each year, in the same place — </w:t>
      </w:r>
      <w:r>
        <w:rPr>
          <w:rFonts w:ascii="David" w:hAnsi="David"/>
        </w:rPr>
        <w:t>בָּרֵךְ עָלֵינוּ הַשָּׁנָה הַזֹּאת</w:t>
      </w:r>
      <w:r>
        <w:t xml:space="preserve"> — he would break into intense weeping.</w:t>
      </w:r>
      <w:r>
        <w:rPr>
          <w:color w:val="B8860B"/>
          <w:sz w:val="16"/>
          <w:vertAlign w:val="superscript"/>
        </w:rPr>
        <w:t>[2]</w:t>
      </w:r>
      <w:r>
        <w:br/>
      </w:r>
    </w:p>
    <w:p>
      <w:pPr>
        <w:ind w:left="288"/>
      </w:pPr>
      <w:r>
        <w:br/>
      </w:r>
      <w:r>
        <w:rPr>
          <w:i/>
        </w:rPr>
        <w:t>"Why cry so hard,"</w:t>
      </w:r>
      <w:r>
        <w:t xml:space="preserve"> the Rav asked him, </w:t>
      </w:r>
      <w:r>
        <w:rPr>
          <w:i/>
        </w:rPr>
        <w:t>"over 'bless for us this year' — when there are only minutes left of this year?"</w:t>
      </w:r>
      <w:r>
        <w:t xml:space="preserve"> Reb Yoel explained: as a bochur he had davened with the previous Skverer Rebbe, Rav Yaakov Yosef Twersky </w:t>
      </w:r>
      <w:r>
        <w:rPr>
          <w:rFonts w:ascii="David" w:hAnsi="David"/>
        </w:rPr>
        <w:t>זצ"ל</w:t>
      </w:r>
      <w:r>
        <w:t>, who wept the same way in the same place.</w:t>
      </w:r>
      <w:r>
        <w:rPr>
          <w:color w:val="B8860B"/>
          <w:sz w:val="16"/>
          <w:vertAlign w:val="superscript"/>
        </w:rPr>
        <w:t>[3]</w:t>
      </w:r>
      <w:r>
        <w:t xml:space="preserve"> The Skverer Rebbe had taught: </w:t>
      </w:r>
      <w:r>
        <w:rPr>
          <w:rFonts w:ascii="David" w:hAnsi="David"/>
          <w:i/>
        </w:rPr>
        <w:t>at the final מנחה, when a Yid begs with tears "בָּרֵךְ עָלֵינוּ הַשָּׁנָה הַזֹּאת" — he can be מְרַחֵק the entire year retroactively.</w:t>
      </w:r>
      <w:r>
        <w:rPr>
          <w:rFonts w:ascii="David" w:hAnsi="David"/>
        </w:rPr>
        <w:t xml:space="preserve"> The year is closing; the חתימה is now. A single moment of proper כוונה, of a tear at "the year that just was" — can pull the whole year up with it.</w:t>
        <w:br/>
        <w:t xml:space="preserve">  </w:t>
      </w:r>
    </w:p>
    <w:p>
      <w:r>
        <w:rPr>
          <w:rFonts w:ascii="David" w:hAnsi="David"/>
        </w:rPr>
        <w:br/>
        <w:t xml:space="preserve">  This is the power of the final מנחה. In the rush of Erev Rosh HaShanah — the מקוה, last-minute preparations, physical הכנות — a Yid can lose sight that </w:t>
      </w:r>
      <w:r>
        <w:rPr>
          <w:i/>
        </w:rPr>
        <w:t>this</w:t>
      </w:r>
      <w:r>
        <w:rPr>
          <w:rFonts w:ascii="David" w:hAnsi="David"/>
        </w:rPr>
        <w:t xml:space="preserve"> is the moment. This מנחה of תשפ"ו may well be its most consequential תפילה.</w:t>
        <w:br/>
      </w:r>
    </w:p>
    <w:p>
      <w:r>
        <w:rPr>
          <w:rFonts w:ascii="David" w:hAnsi="David"/>
          <w:b/>
          <w:color w:val="1E3A8A"/>
          <w:sz w:val="26"/>
        </w:rPr>
        <w:t>III. אֲחוֹת קְטַנָּה — THE ספרדי TRANSITION</w:t>
      </w:r>
    </w:p>
    <w:p>
      <w:pPr>
        <w:pBdr>
          <w:bottom w:val="single" w:sz="6" w:space="1" w:color="B8860B"/>
        </w:pBdr>
      </w:pPr>
    </w:p>
    <w:p>
      <w:r>
        <w:rPr>
          <w:rFonts w:ascii="David" w:hAnsi="David"/>
        </w:rPr>
        <w:br/>
        <w:t xml:space="preserve">  Between the final מנחה of the old year and the ma'ariv of the new, there is a </w:t>
      </w:r>
      <w:r>
        <w:rPr>
          <w:rFonts w:ascii="David" w:hAnsi="David"/>
        </w:rPr>
        <w:t>פִּיּוּט</w:t>
      </w:r>
      <w:r>
        <w:rPr>
          <w:rFonts w:ascii="David" w:hAnsi="David"/>
        </w:rPr>
        <w:t xml:space="preserve"> the Rav would like to institute in the shul. Many קהילות — particularly ספרדים — recite </w:t>
      </w:r>
      <w:r>
        <w:rPr>
          <w:rFonts w:ascii="David" w:hAnsi="David"/>
          <w:b/>
        </w:rPr>
        <w:t>אֲחוֹת קְטַנָּה</w:t>
      </w:r>
      <w:r>
        <w:rPr>
          <w:rFonts w:ascii="David" w:hAnsi="David"/>
        </w:rPr>
        <w:t xml:space="preserve"> after מנחה, just before the evening service of Rosh HaShanah begins. It captures the transition perfectly.</w:t>
        <w:br/>
      </w:r>
    </w:p>
    <w:p>
      <w:r>
        <w:rPr>
          <w:rFonts w:ascii="David" w:hAnsi="David"/>
        </w:rPr>
        <w:br/>
        <w:t xml:space="preserve">  The פִּיּוּט was composed by </w:t>
      </w:r>
      <w:r>
        <w:rPr>
          <w:b/>
        </w:rPr>
        <w:t>Rav Avraham Chazan</w:t>
      </w:r>
      <w:r>
        <w:t xml:space="preserve">, a contemporary of the </w:t>
      </w:r>
      <w:r>
        <w:rPr>
          <w:rFonts w:ascii="David" w:hAnsi="David"/>
        </w:rPr>
        <w:t>רמב"ן</w:t>
      </w:r>
      <w:r>
        <w:rPr>
          <w:rFonts w:ascii="David" w:hAnsi="David"/>
        </w:rPr>
        <w:t xml:space="preserve"> — Rav Avraham even delivered a הספד on him.</w:t>
      </w:r>
      <w:r>
        <w:rPr>
          <w:color w:val="B8860B"/>
          <w:sz w:val="16"/>
          <w:vertAlign w:val="superscript"/>
        </w:rPr>
        <w:t>[4]</w:t>
      </w:r>
      <w:r>
        <w:t xml:space="preserve"> His name — </w:t>
      </w:r>
      <w:r>
        <w:rPr>
          <w:rFonts w:ascii="David" w:hAnsi="David"/>
        </w:rPr>
        <w:t>אַבְרָהָם חָזָן חָזָק</w:t>
      </w:r>
      <w:r>
        <w:t xml:space="preserve"> — is signed as an acrostic through the stanzas.</w:t>
        <w:br/>
      </w:r>
    </w:p>
    <w:p>
      <w:r>
        <w:rPr>
          <w:rFonts w:ascii="David" w:hAnsi="David"/>
        </w:rPr>
        <w:br/>
        <w:t xml:space="preserve">  The theme rides on the גמרא</w:t>
      </w:r>
      <w:r>
        <w:rPr>
          <w:color w:val="B8860B"/>
          <w:sz w:val="16"/>
          <w:vertAlign w:val="superscript"/>
        </w:rPr>
        <w:t>[5]</w:t>
      </w:r>
      <w:r>
        <w:rPr>
          <w:rFonts w:ascii="David" w:hAnsi="David"/>
        </w:rPr>
        <w:t xml:space="preserve"> that explains why we read the קללות of כי תבוא before ראש השנה: </w:t>
      </w:r>
      <w:r>
        <w:rPr>
          <w:rFonts w:ascii="David" w:hAnsi="David"/>
        </w:rPr>
        <w:t>תִּכְלֶה שָׁנָה וְקִלְלוֹתֶיהָ</w:t>
      </w:r>
      <w:r>
        <w:t xml:space="preserve"> — </w:t>
      </w:r>
      <w:r>
        <w:rPr>
          <w:i/>
        </w:rPr>
        <w:t>may the year and its curses end</w:t>
      </w:r>
      <w:r>
        <w:rPr>
          <w:rFonts w:ascii="David" w:hAnsi="David"/>
        </w:rPr>
        <w:t>. Each stanza of אֲחוֹת קְטַנָּה, listing כלל ישראל's צרות in גלות, ends with this refrain. The final stanza pivots to the new year:</w:t>
        <w:br/>
      </w:r>
    </w:p>
    <w:p>
      <w:pPr>
        <w:ind w:left="432"/>
      </w:pPr>
      <w:r>
        <w:rPr>
          <w:i/>
        </w:rPr>
        <w:br/>
      </w:r>
      <w:r>
        <w:rPr>
          <w:rFonts w:ascii="David" w:hAnsi="David"/>
          <w:i/>
          <w:color w:val="1E3A8A"/>
        </w:rPr>
        <w:t>תָּחֵל שָׁנָה וּבִרְכוֹתֶיהָ</w:t>
      </w:r>
      <w:r>
        <w:rPr>
          <w:i/>
        </w:rPr>
        <w:t xml:space="preserve"> — </w:t>
      </w:r>
      <w:r>
        <w:rPr>
          <w:i/>
        </w:rPr>
        <w:t>may the year and its blessings begin.</w:t>
      </w:r>
      <w:r>
        <w:rPr>
          <w:i/>
        </w:rPr>
        <w:br/>
      </w:r>
    </w:p>
    <w:p>
      <w:r>
        <w:rPr>
          <w:rFonts w:ascii="David" w:hAnsi="David"/>
        </w:rPr>
        <w:br/>
        <w:t xml:space="preserve">  Two minutes of the piyut, powerfully framing the seam. And the "curses" the piyut prays to end are not only material — financial pressure, health, שלום בית — but also spiritual: the אָרוּר of עבירה, the curses the תורה attaches to specific transgressions. אֲחוֹת קְטַנָּה clears the way for a year of ברכה — </w:t>
      </w:r>
      <w:r>
        <w:rPr>
          <w:i/>
        </w:rPr>
        <w:t>both</w:t>
      </w:r>
      <w:r>
        <w:t xml:space="preserve"> physical and spiritual.</w:t>
        <w:br/>
      </w:r>
    </w:p>
    <w:p>
      <w:r>
        <w:rPr>
          <w:rFonts w:ascii="David" w:hAnsi="David"/>
          <w:b/>
          <w:color w:val="1E3A8A"/>
          <w:sz w:val="26"/>
        </w:rPr>
        <w:t>IV. לְדָוִד מִזְמוֹר — THE אריז"ל'S סגולה FOR פרנסה</w:t>
      </w:r>
    </w:p>
    <w:p>
      <w:pPr>
        <w:pBdr>
          <w:bottom w:val="single" w:sz="6" w:space="1" w:color="B8860B"/>
        </w:pBdr>
      </w:pPr>
    </w:p>
    <w:p>
      <w:r>
        <w:rPr>
          <w:rFonts w:ascii="David" w:hAnsi="David"/>
          <w:i/>
          <w:color w:val="B8860B"/>
          <w:sz w:val="24"/>
        </w:rPr>
        <w:t>The Segulah, and Belz's "לְדָוִד מִזְמוֹר טיש"</w:t>
      </w:r>
    </w:p>
    <w:p>
      <w:r>
        <w:rPr>
          <w:rFonts w:ascii="David" w:hAnsi="David"/>
        </w:rPr>
        <w:br/>
        <w:t xml:space="preserve">  A famous סגולה, straight from the </w:t>
      </w:r>
      <w:r>
        <w:rPr>
          <w:rFonts w:ascii="David" w:hAnsi="David"/>
          <w:b/>
        </w:rPr>
        <w:t>אריז"ל</w:t>
      </w:r>
      <w:r>
        <w:t xml:space="preserve">: reciting </w:t>
      </w:r>
      <w:r>
        <w:rPr>
          <w:rFonts w:ascii="David" w:hAnsi="David"/>
          <w:b/>
        </w:rPr>
        <w:t>לְדָוִד מִזְמוֹר</w:t>
      </w:r>
      <w:r>
        <w:rPr>
          <w:rFonts w:ascii="David" w:hAnsi="David"/>
        </w:rPr>
        <w:t xml:space="preserve"> (תהילים כ"ד) with כוונה after מעריב on the first and second nights of ראש השנה — and again on יום כיפור — is a כלי that draws down פרנסה for the entire year.</w:t>
      </w:r>
      <w:r>
        <w:rPr>
          <w:color w:val="B8860B"/>
          <w:sz w:val="16"/>
          <w:vertAlign w:val="superscript"/>
        </w:rPr>
        <w:t>[6]</w:t>
      </w:r>
      <w:r>
        <w:br/>
      </w:r>
    </w:p>
    <w:p>
      <w:r>
        <w:rPr>
          <w:rFonts w:ascii="David" w:hAnsi="David"/>
        </w:rPr>
        <w:br/>
        <w:t xml:space="preserve">  We say this קאפיטל often; on these nights it carries unusual koach. In some חסידישע circles the minhag is taken very seriously — </w:t>
      </w:r>
      <w:r>
        <w:rPr>
          <w:b/>
        </w:rPr>
        <w:t>Belz</w:t>
      </w:r>
      <w:r>
        <w:t xml:space="preserve">, for instance, holds a special </w:t>
      </w:r>
      <w:r>
        <w:rPr>
          <w:i/>
        </w:rPr>
        <w:t>tish</w:t>
      </w:r>
      <w:r>
        <w:rPr>
          <w:rFonts w:ascii="David" w:hAnsi="David"/>
        </w:rPr>
        <w:t xml:space="preserve"> on the second night of ראש השנה, the "לְדָוִד מִזְמוֹר טיש," where thousands of חסידים say the mizmor together, פסוק by פסוק.</w:t>
        <w:br/>
      </w:r>
    </w:p>
    <w:p>
      <w:r>
        <w:rPr>
          <w:rFonts w:ascii="David" w:hAnsi="David"/>
          <w:i/>
          <w:color w:val="B8860B"/>
          <w:sz w:val="24"/>
        </w:rPr>
        <w:t>The Kabbalistic Root — the Nameחת"ך</w:t>
      </w:r>
    </w:p>
    <w:p>
      <w:r>
        <w:br/>
        <w:t xml:space="preserve">  The </w:t>
      </w:r>
      <w:r>
        <w:rPr>
          <w:rFonts w:ascii="David" w:hAnsi="David"/>
        </w:rPr>
        <w:t>מקובלים</w:t>
      </w:r>
      <w:r>
        <w:rPr>
          <w:rFonts w:ascii="David" w:hAnsi="David"/>
        </w:rPr>
        <w:t xml:space="preserve"> connect this קאפיטל to the divine Name of פרנסה, </w:t>
      </w:r>
      <w:r>
        <w:rPr>
          <w:rFonts w:ascii="David" w:hAnsi="David"/>
          <w:b/>
        </w:rPr>
        <w:t>חת"ך</w:t>
      </w:r>
      <w:r>
        <w:t>. Two roots in tehillah:</w:t>
        <w:br/>
      </w:r>
    </w:p>
    <w:p>
      <w:r>
        <w:rPr>
          <w:rFonts w:ascii="David" w:hAnsi="David"/>
        </w:rPr>
        <w:br/>
        <w:t xml:space="preserve">  Reciting לְדָוִד מִזְמוֹר on ראש השנה, with kavvanah, plugs a Yid into the shefa'diker channel of חת"ך. And it comes with responsibility: הקדוש ברוך הוא is </w:t>
      </w:r>
      <w:r>
        <w:rPr>
          <w:rFonts w:ascii="David" w:hAnsi="David"/>
        </w:rPr>
        <w:t>פּוֹתֵחַ יָדֶךָ</w:t>
      </w:r>
      <w:r>
        <w:t xml:space="preserve"> to us — and we, in turn, must open our hands to be </w:t>
      </w:r>
      <w:r>
        <w:rPr>
          <w:rFonts w:ascii="David" w:hAnsi="David"/>
        </w:rPr>
        <w:t>מַשְׂבִּיעַ לְכָל חַי רָצוֹן</w:t>
      </w:r>
      <w:r>
        <w:t>.</w:t>
        <w:br/>
      </w:r>
    </w:p>
    <w:p>
      <w:r>
        <w:rPr>
          <w:rFonts w:ascii="David" w:hAnsi="David"/>
          <w:b/>
          <w:color w:val="1E3A8A"/>
          <w:sz w:val="26"/>
        </w:rPr>
        <w:t>V. THE CHOFETZ CHAIM'S CHIDDUSH ON לְדָוִד מִזְמוֹר</w:t>
      </w:r>
    </w:p>
    <w:p>
      <w:pPr>
        <w:pBdr>
          <w:bottom w:val="single" w:sz="6" w:space="1" w:color="B8860B"/>
        </w:pBdr>
      </w:pPr>
    </w:p>
    <w:p>
      <w:r>
        <w:br/>
        <w:t xml:space="preserve">  The </w:t>
      </w:r>
      <w:r>
        <w:rPr>
          <w:rFonts w:ascii="David" w:hAnsi="David"/>
        </w:rPr>
        <w:t>חפץ חיים</w:t>
      </w:r>
      <w:r>
        <w:rPr>
          <w:rFonts w:ascii="David" w:hAnsi="David"/>
        </w:rPr>
        <w:t xml:space="preserve"> was troubled by the פשט of the middle pasuk:</w:t>
        <w:br/>
      </w:r>
    </w:p>
    <w:p>
      <w:pPr>
        <w:ind w:left="432"/>
      </w:pPr>
      <w:r>
        <w:rPr>
          <w:i/>
        </w:rPr>
        <w:br/>
      </w:r>
      <w:r>
        <w:rPr>
          <w:rFonts w:ascii="David" w:hAnsi="David"/>
          <w:i/>
          <w:color w:val="1E3A8A"/>
        </w:rPr>
        <w:t>מִי־יַעֲלֶה בְהַר־ה' וּמִי־יָקוּם בִּמְקוֹם קָדְשׁוֹ׃ נְקִי כַפַּיִם וּבַר־לֵבָב, אֲשֶׁר לֹא־נָשָׂא לַשָּׁוְא נַפְשִׁי וְלֹא נִשְׁבַּע לְמִרְמָה׃</w:t>
      </w:r>
      <w:r>
        <w:rPr>
          <w:i/>
        </w:rPr>
        <w:br/>
      </w:r>
    </w:p>
    <w:p>
      <w:r>
        <w:br/>
        <w:t xml:space="preserve">  Who ascends the har of Hashem? The one with </w:t>
      </w:r>
      <w:r>
        <w:rPr>
          <w:b/>
        </w:rPr>
        <w:t>clean hands and a pure heart</w:t>
      </w:r>
      <w:r>
        <w:t xml:space="preserve">, who has </w:t>
      </w:r>
      <w:r>
        <w:rPr>
          <w:i/>
        </w:rPr>
        <w:t>not sworn falsely by My soul, nor sworn deceitfully</w:t>
      </w:r>
      <w:r>
        <w:t>.</w:t>
      </w:r>
      <w:r>
        <w:rPr>
          <w:color w:val="B8860B"/>
          <w:sz w:val="16"/>
          <w:vertAlign w:val="superscript"/>
        </w:rPr>
        <w:t>[8]</w:t>
      </w:r>
      <w:r>
        <w:br/>
      </w:r>
    </w:p>
    <w:p>
      <w:r>
        <w:rPr>
          <w:rFonts w:ascii="David" w:hAnsi="David"/>
          <w:i/>
          <w:color w:val="B8860B"/>
          <w:sz w:val="24"/>
        </w:rPr>
        <w:t>נְקִי כַפַּיִם— Integrity in Money</w:t>
      </w:r>
    </w:p>
    <w:p>
      <w:r>
        <w:rPr>
          <w:rFonts w:ascii="David" w:hAnsi="David"/>
        </w:rPr>
        <w:br/>
        <w:t xml:space="preserve">  "Clean hands" is the מטבע לשון of financial integrity. It is a </w:t>
      </w:r>
      <w:r>
        <w:rPr>
          <w:i/>
        </w:rPr>
        <w:t>sheine zach</w:t>
      </w:r>
      <w:r>
        <w:t xml:space="preserve">, the Rav says, when Yidden call with a shaila: </w:t>
      </w:r>
      <w:r>
        <w:rPr>
          <w:i/>
        </w:rPr>
        <w:t>"do I have to pay this person back?"</w:t>
      </w:r>
      <w:r>
        <w:rPr>
          <w:rFonts w:ascii="David" w:hAnsi="David"/>
        </w:rPr>
        <w:t xml:space="preserve"> — the very asking is the נקי כפים. It means you can stand before הקדוש ברוך הוא, open your palms, and say: </w:t>
      </w:r>
      <w:r>
        <w:rPr>
          <w:i/>
        </w:rPr>
        <w:t>I am clean. I have not taken what does not belong to me.</w:t>
      </w:r>
      <w:r>
        <w:br/>
      </w:r>
    </w:p>
    <w:p>
      <w:r>
        <w:rPr>
          <w:rFonts w:ascii="David" w:hAnsi="David"/>
          <w:i/>
          <w:color w:val="B8860B"/>
          <w:sz w:val="24"/>
        </w:rPr>
        <w:t>וְלֹא נִשְׁבַּע לְמִרְמָה— the Primordial Oath</w:t>
      </w:r>
    </w:p>
    <w:p>
      <w:r>
        <w:br/>
        <w:t xml:space="preserve">  But </w:t>
      </w:r>
      <w:r>
        <w:rPr>
          <w:rFonts w:ascii="David" w:hAnsi="David"/>
        </w:rPr>
        <w:t>וְלֹא נִשְׁבַּע לְמִרְמָה</w:t>
      </w:r>
      <w:r>
        <w:t xml:space="preserve">? When did any of us swear falsely? Most Yidden never make formal </w:t>
      </w:r>
      <w:r>
        <w:rPr>
          <w:rFonts w:ascii="David" w:hAnsi="David"/>
        </w:rPr>
        <w:t>שבועות</w:t>
      </w:r>
      <w:r>
        <w:rPr>
          <w:rFonts w:ascii="David" w:hAnsi="David"/>
        </w:rPr>
        <w:t xml:space="preserve"> at all — in the times of the גמרא נדרים and שבועות were much more part of everyday life. So what does the pasuk mean </w:t>
      </w:r>
      <w:r>
        <w:rPr>
          <w:i/>
        </w:rPr>
        <w:t>for us</w:t>
      </w:r>
      <w:r>
        <w:t>?</w:t>
        <w:br/>
      </w:r>
    </w:p>
    <w:p>
      <w:r>
        <w:rPr>
          <w:rFonts w:ascii="David" w:hAnsi="David"/>
        </w:rPr>
        <w:br/>
        <w:t xml:space="preserve">  Here the Chofetz Chaim brings his דבר נפלא. The גמרא in </w:t>
      </w:r>
      <w:r>
        <w:rPr>
          <w:rFonts w:ascii="David" w:hAnsi="David"/>
        </w:rPr>
        <w:t>נִדָּה</w:t>
      </w:r>
      <w:r>
        <w:rPr>
          <w:color w:val="B8860B"/>
          <w:sz w:val="16"/>
          <w:vertAlign w:val="superscript"/>
        </w:rPr>
        <w:t>[9]</w:t>
      </w:r>
      <w:r>
        <w:rPr>
          <w:rFonts w:ascii="David" w:hAnsi="David"/>
        </w:rPr>
        <w:t xml:space="preserve"> teaches: before a child is born, a מלאך teaches the נשמה the entire תורה. The נשמה — pure, spiritual, at home in the עולם הרוחני — does </w:t>
      </w:r>
      <w:r>
        <w:rPr>
          <w:i/>
        </w:rPr>
        <w:t>not</w:t>
      </w:r>
      <w:r>
        <w:rPr>
          <w:rFonts w:ascii="David" w:hAnsi="David"/>
        </w:rPr>
        <w:t xml:space="preserve"> want to descend into עולם הזה. It wants to stay by the כִּסֵּא הַכָּבוֹד. But הקדוש ברוך הוא has prepared a body waiting for it, and it must enter. The </w:t>
      </w:r>
      <w:r>
        <w:rPr>
          <w:rFonts w:ascii="David" w:hAnsi="David"/>
        </w:rPr>
        <w:t>חבלי לידה</w:t>
      </w:r>
      <w:r>
        <w:rPr>
          <w:rFonts w:ascii="David" w:hAnsi="David"/>
        </w:rPr>
        <w:t xml:space="preserve"> — the pains of childbirth — are the physical echo of the נשמה's spiritual struggle against descent.</w:t>
        <w:br/>
      </w:r>
    </w:p>
    <w:p>
      <w:r>
        <w:rPr>
          <w:rFonts w:ascii="David" w:hAnsi="David"/>
        </w:rPr>
        <w:br/>
        <w:t xml:space="preserve">  At the moment of descent, the מלאך administers an oath: </w:t>
      </w:r>
      <w:r>
        <w:rPr>
          <w:rFonts w:ascii="David" w:hAnsi="David"/>
        </w:rPr>
        <w:t>מַשְׁבִּיעִין אוֹתוֹ — תְּהִי צַדִּיק וְאַל תְּהִי רָשָׁע</w:t>
      </w:r>
      <w:r>
        <w:t>.</w:t>
      </w:r>
      <w:r>
        <w:rPr>
          <w:color w:val="B8860B"/>
          <w:sz w:val="16"/>
          <w:vertAlign w:val="superscript"/>
        </w:rPr>
        <w:t>[10]</w:t>
      </w:r>
      <w:r>
        <w:t xml:space="preserve"> </w:t>
      </w:r>
      <w:r>
        <w:rPr>
          <w:i/>
        </w:rPr>
        <w:t>Be a tzaddik, do not be a rasha.</w:t>
      </w:r>
      <w:r>
        <w:rPr>
          <w:rFonts w:ascii="David" w:hAnsi="David"/>
        </w:rPr>
        <w:t xml:space="preserve"> The נשמה, knowing perfectly well how hard tzaddikus is in this world — takes the שבועה.</w:t>
        <w:br/>
      </w:r>
    </w:p>
    <w:p>
      <w:r>
        <w:rPr>
          <w:b/>
          <w:color w:val="B8860B"/>
          <w:sz w:val="18"/>
        </w:rPr>
        <w:t>THE CHIDDUSH</w:t>
      </w:r>
    </w:p>
    <w:p>
      <w:pPr>
        <w:ind w:left="288"/>
      </w:pPr>
      <w:r>
        <w:br/>
      </w:r>
      <w:r>
        <w:rPr>
          <w:rFonts w:ascii="David" w:hAnsi="David"/>
        </w:rPr>
        <w:t>וְלֹא נִשְׁבַּע לְמִרְמָה</w:t>
      </w:r>
      <w:r>
        <w:t xml:space="preserve"> — this is </w:t>
      </w:r>
      <w:r>
        <w:rPr>
          <w:i/>
        </w:rPr>
        <w:t>that</w:t>
      </w:r>
      <w:r>
        <w:rPr>
          <w:rFonts w:ascii="David" w:hAnsi="David"/>
        </w:rPr>
        <w:t xml:space="preserve"> שבועה. Every human being took it. To ascend the har of Hashem, one must keep it — must live the life of a tzaddik one committed to before birth. And if a Yid has, חלילה, failed the oath until now — the moment of saying לְדָוִד מִזְמוֹר on ראש השנה is a moment to be </w:t>
      </w:r>
      <w:r>
        <w:rPr>
          <w:rFonts w:ascii="David" w:hAnsi="David"/>
        </w:rPr>
        <w:t>מְקַבֵּל עַל עַצְמוֹ</w:t>
      </w:r>
      <w:r>
        <w:t xml:space="preserve"> to honor it going forward.</w:t>
        <w:br/>
        <w:t xml:space="preserve">  </w:t>
      </w:r>
    </w:p>
    <w:p>
      <w:r>
        <w:rPr>
          <w:rFonts w:ascii="David" w:hAnsi="David"/>
          <w:b/>
          <w:color w:val="1E3A8A"/>
          <w:sz w:val="26"/>
        </w:rPr>
        <w:t>VI. שִׁיר הַמַּעֲלוֹת מִמַּעֲמַקִּים — THE הֶפְסֵק QUESTION</w:t>
      </w:r>
    </w:p>
    <w:p>
      <w:pPr>
        <w:pBdr>
          <w:bottom w:val="single" w:sz="6" w:space="1" w:color="B8860B"/>
        </w:pBdr>
      </w:pPr>
    </w:p>
    <w:p>
      <w:r>
        <w:rPr>
          <w:rFonts w:ascii="David" w:hAnsi="David"/>
        </w:rPr>
        <w:br/>
        <w:t xml:space="preserve">  A widespread minhag in the עשרת ימי תשובה is to say </w:t>
      </w:r>
      <w:r>
        <w:rPr>
          <w:rFonts w:ascii="David" w:hAnsi="David"/>
          <w:b/>
        </w:rPr>
        <w:t>שִׁיר הַמַּעֲלוֹת מִמַּעֲמַקִּים</w:t>
      </w:r>
      <w:r>
        <w:rPr>
          <w:rFonts w:ascii="David" w:hAnsi="David"/>
        </w:rPr>
        <w:t xml:space="preserve"> (תהילים ק"ל) between </w:t>
      </w:r>
      <w:r>
        <w:rPr>
          <w:rFonts w:ascii="David" w:hAnsi="David"/>
        </w:rPr>
        <w:t>יִשְׁתַּבַּח</w:t>
      </w:r>
      <w:r>
        <w:t xml:space="preserve"> and </w:t>
      </w:r>
      <w:r>
        <w:rPr>
          <w:rFonts w:ascii="David" w:hAnsi="David"/>
        </w:rPr>
        <w:t>יוֹצֵר אוֹר</w:t>
      </w:r>
      <w:r>
        <w:rPr>
          <w:rFonts w:ascii="David" w:hAnsi="David"/>
        </w:rPr>
        <w:t>. But this clashes with a strict halacha: the גמרא</w:t>
      </w:r>
      <w:r>
        <w:rPr>
          <w:color w:val="B8860B"/>
          <w:sz w:val="16"/>
          <w:vertAlign w:val="superscript"/>
        </w:rPr>
        <w:t>[11]</w:t>
      </w:r>
      <w:r>
        <w:t xml:space="preserve"> is exceedingly firm about no </w:t>
      </w:r>
      <w:r>
        <w:rPr>
          <w:rFonts w:ascii="David" w:hAnsi="David"/>
        </w:rPr>
        <w:t>הֶפְסֵק</w:t>
      </w:r>
      <w:r>
        <w:rPr>
          <w:rFonts w:ascii="David" w:hAnsi="David"/>
        </w:rPr>
        <w:t xml:space="preserve"> between יִשְׁתַּבַּח and יוֹצֵר אור. נוסח אשכנז, following the וילנא גאון, therefore does not say it.</w:t>
        <w:br/>
      </w:r>
    </w:p>
    <w:p>
      <w:r>
        <w:rPr>
          <w:rFonts w:ascii="David" w:hAnsi="David"/>
        </w:rPr>
        <w:br/>
        <w:t xml:space="preserve">  The גמרא's example of the severity: it compares one who is מפסיק here to a soldier sent home from battle. The תורה describes</w:t>
      </w:r>
      <w:r>
        <w:rPr>
          <w:color w:val="B8860B"/>
          <w:sz w:val="16"/>
          <w:vertAlign w:val="superscript"/>
        </w:rPr>
        <w:t>[12]</w:t>
      </w:r>
      <w:r>
        <w:rPr>
          <w:rFonts w:ascii="David" w:hAnsi="David"/>
        </w:rPr>
        <w:t xml:space="preserve"> how the כהן addresses the army: </w:t>
      </w:r>
      <w:r>
        <w:rPr>
          <w:rFonts w:ascii="David" w:hAnsi="David"/>
          <w:color w:val="1E3A8A"/>
        </w:rPr>
        <w:t>מִי־הָאִישׁ הַיָּרֵא וְרַךְ הַלֵּבָב</w:t>
      </w:r>
      <w:r>
        <w:rPr>
          <w:rFonts w:ascii="David" w:hAnsi="David"/>
        </w:rPr>
        <w:t xml:space="preserve"> — "who is the man that is fearful and fainthearted?" The גמרא asks: fearful of what? </w:t>
      </w:r>
      <w:r>
        <w:rPr>
          <w:rFonts w:ascii="David" w:hAnsi="David"/>
        </w:rPr>
        <w:t>מֵעֲבֵרוֹת שֶׁבְּיָדוֹ</w:t>
      </w:r>
      <w:r>
        <w:rPr>
          <w:rFonts w:ascii="David" w:hAnsi="David"/>
        </w:rPr>
        <w:t xml:space="preserve"> — from the עבירות in his hand. A Yid with עבירות cannot fight. That is the level of severity assigned to a הֶפְסֵק here.</w:t>
        <w:br/>
      </w:r>
    </w:p>
    <w:p>
      <w:r>
        <w:rPr>
          <w:b/>
          <w:color w:val="B8860B"/>
          <w:sz w:val="18"/>
        </w:rPr>
        <w:t>A STORY — THE PRAGUE HASKALAH PLAY</w:t>
      </w:r>
    </w:p>
    <w:p>
      <w:pPr>
        <w:ind w:left="288"/>
      </w:pPr>
      <w:r>
        <w:br/>
        <w:t xml:space="preserve">    In the late 1800s, the </w:t>
      </w:r>
      <w:r>
        <w:rPr>
          <w:rFonts w:ascii="David" w:hAnsi="David"/>
        </w:rPr>
        <w:t>משכילים</w:t>
      </w:r>
      <w:r>
        <w:rPr>
          <w:rFonts w:ascii="David" w:hAnsi="David"/>
        </w:rPr>
        <w:t xml:space="preserve"> in Prague put on a play mocking the Orthodox. In the play, a war is declared; group after group of soldiers file out for the reasons the תורה lists (built a house, planted a vineyard, betrothed a wife). Finally the commander calls out, </w:t>
      </w:r>
      <w:r>
        <w:rPr>
          <w:rFonts w:ascii="David" w:hAnsi="David"/>
          <w:i/>
        </w:rPr>
        <w:t>"Who has an עבירה?"</w:t>
      </w:r>
      <w:r>
        <w:t xml:space="preserve"> — and everyone leaves the field, except two great sages, the </w:t>
      </w:r>
      <w:r>
        <w:rPr>
          <w:rFonts w:ascii="David" w:hAnsi="David"/>
          <w:b/>
        </w:rPr>
        <w:t>חפץ חיים</w:t>
      </w:r>
      <w:r>
        <w:t xml:space="preserve"> and </w:t>
      </w:r>
      <w:r>
        <w:rPr>
          <w:b/>
        </w:rPr>
        <w:t>Rav Chaim Brisker</w:t>
      </w:r>
      <w:r>
        <w:t>.</w:t>
        <w:br/>
        <w:t xml:space="preserve">  </w:t>
      </w:r>
    </w:p>
    <w:p>
      <w:pPr>
        <w:ind w:left="288"/>
      </w:pPr>
      <w:r>
        <w:br/>
        <w:t xml:space="preserve">    Some bochurim recounted the play to the Chofetz Chaim and to Reb Chaim. Their reply: </w:t>
      </w:r>
      <w:r>
        <w:rPr>
          <w:rFonts w:ascii="David" w:hAnsi="David"/>
          <w:i/>
        </w:rPr>
        <w:t>"They didn't finish the play. The end is that the חפץ חיים and Reb Chaim won the war."</w:t>
      </w:r>
      <w:r>
        <w:br/>
      </w:r>
    </w:p>
    <w:p>
      <w:r>
        <w:rPr>
          <w:rFonts w:ascii="David" w:hAnsi="David"/>
          <w:i/>
          <w:color w:val="B8860B"/>
          <w:sz w:val="24"/>
        </w:rPr>
        <w:t>The דגל מרבבה's Defense</w:t>
      </w:r>
    </w:p>
    <w:p>
      <w:r>
        <w:rPr>
          <w:rFonts w:ascii="David" w:hAnsi="David"/>
        </w:rPr>
        <w:br/>
        <w:t xml:space="preserve">  The origin of the minhag to say שיר המעלות מִמַּעֲמַקִּים at this point is the </w:t>
      </w:r>
      <w:r>
        <w:rPr>
          <w:rFonts w:ascii="David" w:hAnsi="David"/>
        </w:rPr>
        <w:t>אריז"ל</w:t>
      </w:r>
      <w:r>
        <w:t xml:space="preserve">. The </w:t>
      </w:r>
      <w:r>
        <w:rPr>
          <w:rFonts w:ascii="David" w:hAnsi="David"/>
          <w:b/>
        </w:rPr>
        <w:t>נודע ביהודה</w:t>
      </w:r>
      <w:r>
        <w:rPr>
          <w:rFonts w:ascii="David" w:hAnsi="David"/>
        </w:rPr>
        <w:t xml:space="preserve">, in his commentary on שולחן ערוך called </w:t>
      </w:r>
      <w:r>
        <w:rPr>
          <w:rFonts w:ascii="David" w:hAnsi="David"/>
          <w:b/>
        </w:rPr>
        <w:t>דגל מרבבה</w:t>
      </w:r>
      <w:r>
        <w:t>,</w:t>
      </w:r>
      <w:r>
        <w:rPr>
          <w:color w:val="B8860B"/>
          <w:sz w:val="16"/>
          <w:vertAlign w:val="superscript"/>
        </w:rPr>
        <w:t>[13]</w:t>
      </w:r>
      <w:r>
        <w:t xml:space="preserve"> defends the minhag. His raiya: the </w:t>
      </w:r>
      <w:r>
        <w:rPr>
          <w:rFonts w:ascii="David" w:hAnsi="David"/>
        </w:rPr>
        <w:t>רמב"ם</w:t>
      </w:r>
      <w:r>
        <w:t xml:space="preserve"> records that in olden days in </w:t>
      </w:r>
      <w:r>
        <w:rPr>
          <w:rFonts w:ascii="David" w:hAnsi="David"/>
        </w:rPr>
        <w:t>ספרד</w:t>
      </w:r>
      <w:r>
        <w:t xml:space="preserve">, the minhag was to say </w:t>
      </w:r>
      <w:r>
        <w:rPr>
          <w:rFonts w:ascii="David" w:hAnsi="David"/>
          <w:b/>
        </w:rPr>
        <w:t>אָז יָשִׁיר</w:t>
      </w:r>
      <w:r>
        <w:rPr>
          <w:rFonts w:ascii="David" w:hAnsi="David"/>
        </w:rPr>
        <w:t xml:space="preserve"> after יִשְׁתַּבַּח.</w:t>
      </w:r>
      <w:r>
        <w:rPr>
          <w:color w:val="B8860B"/>
          <w:sz w:val="16"/>
          <w:vertAlign w:val="superscript"/>
        </w:rPr>
        <w:t>[14]</w:t>
      </w:r>
      <w:r>
        <w:rPr>
          <w:rFonts w:ascii="David" w:hAnsi="David"/>
        </w:rPr>
        <w:t xml:space="preserve"> The Rambam himself testifies to this minhag as לגיטים. From this the דגל מרבבה deduces that the חומרא at this seam is really about </w:t>
      </w:r>
      <w:r>
        <w:rPr>
          <w:rFonts w:ascii="David" w:hAnsi="David"/>
        </w:rPr>
        <w:t>שִׂיחָה בְּטֵלָה</w:t>
      </w:r>
      <w:r>
        <w:rPr>
          <w:rFonts w:ascii="David" w:hAnsi="David"/>
        </w:rPr>
        <w:t xml:space="preserve"> — idle chatter. Additional shevachim of the ריבונו של עולם, such as שיר המעלות, are in a different category and are permissible. The klal Yisrael has largely accepted the minhag.</w:t>
        <w:br/>
      </w:r>
    </w:p>
    <w:p>
      <w:r>
        <w:rPr>
          <w:rFonts w:ascii="David" w:hAnsi="David"/>
          <w:b/>
          <w:color w:val="1E3A8A"/>
          <w:sz w:val="26"/>
        </w:rPr>
        <w:t>VII. זָכְרֵנוּ לְחַיִּים AND THE ADDITIONS OF THE עשרת ימי תשובה</w:t>
      </w:r>
    </w:p>
    <w:p>
      <w:pPr>
        <w:pBdr>
          <w:bottom w:val="single" w:sz="6" w:space="1" w:color="B8860B"/>
        </w:pBdr>
      </w:pPr>
    </w:p>
    <w:p>
      <w:r>
        <w:rPr>
          <w:rFonts w:ascii="David" w:hAnsi="David"/>
        </w:rPr>
        <w:br/>
        <w:t xml:space="preserve">  During the עשרת ימי תשובה we add several בקשות to שמונה עשרה: </w:t>
      </w:r>
      <w:r>
        <w:rPr>
          <w:rFonts w:ascii="David" w:hAnsi="David"/>
        </w:rPr>
        <w:t>זָכְרֵנוּ לְחַיִּים</w:t>
      </w:r>
      <w:r>
        <w:rPr>
          <w:rFonts w:ascii="David" w:hAnsi="David"/>
        </w:rPr>
        <w:t xml:space="preserve"> in the first ברכה, </w:t>
      </w:r>
      <w:r>
        <w:rPr>
          <w:rFonts w:ascii="David" w:hAnsi="David"/>
        </w:rPr>
        <w:t>מִי כָמוֹךָ אַב הָרַחֲמִים</w:t>
      </w:r>
      <w:r>
        <w:t xml:space="preserve"> in the second, </w:t>
      </w:r>
      <w:r>
        <w:rPr>
          <w:rFonts w:ascii="David" w:hAnsi="David"/>
        </w:rPr>
        <w:t>וּכְתוֹב לְחַיִּים טוֹבִים</w:t>
      </w:r>
      <w:r>
        <w:rPr>
          <w:rFonts w:ascii="David" w:hAnsi="David"/>
        </w:rPr>
        <w:t xml:space="preserve"> in מוֹדִים, and </w:t>
      </w:r>
      <w:r>
        <w:rPr>
          <w:rFonts w:ascii="David" w:hAnsi="David"/>
        </w:rPr>
        <w:t>וּבְסֵפֶר חַיִּים בְּרָכָה וְשָׁלוֹם</w:t>
      </w:r>
      <w:r>
        <w:rPr>
          <w:rFonts w:ascii="David" w:hAnsi="David"/>
        </w:rPr>
        <w:t xml:space="preserve"> in שים שלום.</w:t>
        <w:br/>
      </w:r>
    </w:p>
    <w:p>
      <w:r>
        <w:rPr>
          <w:rFonts w:ascii="David" w:hAnsi="David"/>
        </w:rPr>
        <w:br/>
        <w:t xml:space="preserve">  This is halachically problematic. The גמרא teaches that in the first three (שבח) and last three (הודאה) ברכות of שמונה עשרה, one is not permitted to insert personal </w:t>
      </w:r>
      <w:r>
        <w:rPr>
          <w:rFonts w:ascii="David" w:hAnsi="David"/>
        </w:rPr>
        <w:t>בקשות</w:t>
      </w:r>
      <w:r>
        <w:rPr>
          <w:rFonts w:ascii="David" w:hAnsi="David"/>
        </w:rPr>
        <w:t xml:space="preserve"> — those belong only in the middle brachos of בקשה.</w:t>
      </w:r>
      <w:r>
        <w:rPr>
          <w:color w:val="B8860B"/>
          <w:sz w:val="16"/>
          <w:vertAlign w:val="superscript"/>
        </w:rPr>
        <w:t>[15]</w:t>
      </w:r>
      <w:r>
        <w:rPr>
          <w:rFonts w:ascii="David" w:hAnsi="David"/>
        </w:rPr>
        <w:t xml:space="preserve"> These additions are a תקנה of the גאונים; the </w:t>
      </w:r>
      <w:r>
        <w:rPr>
          <w:rFonts w:ascii="David" w:hAnsi="David"/>
        </w:rPr>
        <w:t>וילנא גאון</w:t>
      </w:r>
      <w:r>
        <w:t xml:space="preserve"> reportedly did </w:t>
      </w:r>
      <w:r>
        <w:rPr>
          <w:i/>
        </w:rPr>
        <w:t>not</w:t>
      </w:r>
      <w:r>
        <w:rPr>
          <w:rFonts w:ascii="David" w:hAnsi="David"/>
        </w:rPr>
        <w:t xml:space="preserve"> say them, holding they altered the structure of חז"ל.</w:t>
      </w:r>
      <w:r>
        <w:rPr>
          <w:color w:val="B8860B"/>
          <w:sz w:val="16"/>
          <w:vertAlign w:val="superscript"/>
        </w:rPr>
        <w:t>[16]</w:t>
      </w:r>
      <w:r>
        <w:br/>
      </w:r>
    </w:p>
    <w:p>
      <w:r>
        <w:rPr>
          <w:i/>
          <w:color w:val="B8860B"/>
          <w:sz w:val="24"/>
        </w:rPr>
        <w:t>Three Justifications</w:t>
      </w:r>
    </w:p>
    <w:p>
      <w:r>
        <w:rPr>
          <w:rFonts w:ascii="David" w:hAnsi="David"/>
          <w:i/>
          <w:color w:val="B8860B"/>
          <w:sz w:val="24"/>
        </w:rPr>
        <w:t>לְחַיִּים / לַחַיִּים — a Sharp Halachic Careful</w:t>
      </w:r>
    </w:p>
    <w:p>
      <w:r>
        <w:br/>
        <w:t xml:space="preserve">  In practical halacha there is a </w:t>
      </w:r>
      <w:r>
        <w:rPr>
          <w:rFonts w:ascii="David" w:hAnsi="David"/>
        </w:rPr>
        <w:t>קפידא גדולה</w:t>
      </w:r>
      <w:r>
        <w:rPr>
          <w:rFonts w:ascii="David" w:hAnsi="David"/>
        </w:rPr>
        <w:t xml:space="preserve"> in the poskim, discussed at length in the משנה ברורה,</w:t>
      </w:r>
      <w:r>
        <w:rPr>
          <w:color w:val="B8860B"/>
          <w:sz w:val="16"/>
          <w:vertAlign w:val="superscript"/>
        </w:rPr>
        <w:t>[18]</w:t>
      </w:r>
      <w:r>
        <w:t xml:space="preserve"> that one must say </w:t>
      </w:r>
      <w:r>
        <w:rPr>
          <w:rFonts w:ascii="David" w:hAnsi="David"/>
          <w:b/>
        </w:rPr>
        <w:t>זָכְרֵנוּ לְחַיִּים</w:t>
      </w:r>
      <w:r>
        <w:t xml:space="preserve"> — with a </w:t>
      </w:r>
      <w:r>
        <w:rPr>
          <w:i/>
        </w:rPr>
        <w:t>shva</w:t>
      </w:r>
      <w:r>
        <w:t xml:space="preserve"> — and not </w:t>
      </w:r>
      <w:r>
        <w:rPr>
          <w:rFonts w:ascii="David" w:hAnsi="David"/>
          <w:b/>
        </w:rPr>
        <w:t>לַחַיִּים</w:t>
      </w:r>
      <w:r>
        <w:t xml:space="preserve"> with a </w:t>
      </w:r>
      <w:r>
        <w:rPr>
          <w:i/>
        </w:rPr>
        <w:t>patach</w:t>
      </w:r>
      <w:r>
        <w:rPr>
          <w:rFonts w:ascii="David" w:hAnsi="David"/>
        </w:rPr>
        <w:t xml:space="preserve">. The מקובלים warn: on the יום הדין, when the מקטרגים are combing every word, </w:t>
      </w:r>
      <w:r>
        <w:rPr>
          <w:rFonts w:ascii="David" w:hAnsi="David"/>
        </w:rPr>
        <w:t>לַחַיִּים</w:t>
      </w:r>
      <w:r>
        <w:t xml:space="preserve"> can be misheard as </w:t>
      </w:r>
      <w:r>
        <w:rPr>
          <w:rFonts w:ascii="David" w:hAnsi="David"/>
        </w:rPr>
        <w:t>לֹא חַיִּים</w:t>
      </w:r>
      <w:r>
        <w:t xml:space="preserve"> — "not for life." On these days a Yid has to be careful with every word he lets out of his mouth.</w:t>
        <w:br/>
      </w:r>
    </w:p>
    <w:p>
      <w:r>
        <w:br/>
        <w:t xml:space="preserve">  The </w:t>
      </w:r>
      <w:r>
        <w:rPr>
          <w:rFonts w:ascii="David" w:hAnsi="David"/>
          <w:b/>
        </w:rPr>
        <w:t>ב"ח</w:t>
      </w:r>
      <w:r>
        <w:t xml:space="preserve"> (Rav Yoel Sirkis) asks a kasha:</w:t>
      </w:r>
      <w:r>
        <w:rPr>
          <w:color w:val="B8860B"/>
          <w:sz w:val="16"/>
          <w:vertAlign w:val="superscript"/>
        </w:rPr>
        <w:t>[19]</w:t>
      </w:r>
      <w:r>
        <w:t xml:space="preserve"> we say </w:t>
      </w:r>
      <w:r>
        <w:rPr>
          <w:rFonts w:ascii="David" w:hAnsi="David"/>
        </w:rPr>
        <w:t>לַחַיִּים</w:t>
      </w:r>
      <w:r>
        <w:rPr>
          <w:rFonts w:ascii="David" w:hAnsi="David"/>
        </w:rPr>
        <w:t xml:space="preserve"> every day at מעריב — </w:t>
      </w:r>
      <w:r>
        <w:rPr>
          <w:i/>
        </w:rPr>
        <w:t>and</w:t>
      </w:r>
      <w:r>
        <w:rPr>
          <w:rFonts w:ascii="David" w:hAnsi="David"/>
        </w:rPr>
        <w:t xml:space="preserve"> we say it that way. But in our נוסח we do </w:t>
      </w:r>
      <w:r>
        <w:rPr>
          <w:i/>
        </w:rPr>
        <w:t>not</w:t>
      </w:r>
      <w:r>
        <w:t xml:space="preserve"> — we say </w:t>
      </w:r>
      <w:r>
        <w:rPr>
          <w:rFonts w:ascii="David" w:hAnsi="David"/>
        </w:rPr>
        <w:t>וְהַעֲמִידֵנוּ מַלְכֵּנוּ לְחַיִּים טוֹבִים וּלְשָׁלוֹם</w:t>
      </w:r>
      <w:r>
        <w:rPr>
          <w:rFonts w:ascii="David" w:hAnsi="David"/>
        </w:rPr>
        <w:t>, לְחַיִּים not לַחַיִּים. The Bach's kasha is thus difficult; the accepted practice remains as the poskim rule — לְחַיִּים.</w:t>
        <w:br/>
      </w:r>
    </w:p>
    <w:p>
      <w:r>
        <w:br/>
      </w:r>
      <w:r>
        <w:rPr>
          <w:rFonts w:ascii="David" w:hAnsi="David"/>
          <w:b/>
        </w:rPr>
        <w:t>If a Yid forgets זָכְרֵנוּ:</w:t>
      </w:r>
      <w:r>
        <w:rPr>
          <w:rFonts w:ascii="David" w:hAnsi="David"/>
        </w:rPr>
        <w:t xml:space="preserve"> since it is a תקנה of the גאונים (not from the גמרא itself), if he has not yet said Hashem's name at the חתימת הברכה, he goes back; once he has said </w:t>
      </w:r>
      <w:r>
        <w:rPr>
          <w:rFonts w:ascii="David" w:hAnsi="David"/>
        </w:rPr>
        <w:t>בָּרוּךְ אַתָּה ה'</w:t>
      </w:r>
      <w:r>
        <w:t>, he does not go back.</w:t>
      </w:r>
      <w:r>
        <w:rPr>
          <w:color w:val="B8860B"/>
          <w:sz w:val="16"/>
          <w:vertAlign w:val="superscript"/>
        </w:rPr>
        <w:t>[20]</w:t>
      </w:r>
      <w:r>
        <w:t xml:space="preserve"> </w:t>
      </w:r>
      <w:r>
        <w:rPr>
          <w:rFonts w:ascii="David" w:hAnsi="David"/>
        </w:rPr>
        <w:t>הַמֶּלֶךְ הַקָּדוֹשׁ</w:t>
      </w:r>
      <w:r>
        <w:rPr>
          <w:rFonts w:ascii="David" w:hAnsi="David"/>
        </w:rPr>
        <w:t xml:space="preserve"> is a different case — it appears in the גמרא itself — and is halachically stricter (to be discussed).</w:t>
        <w:br/>
      </w:r>
    </w:p>
    <w:p>
      <w:r>
        <w:rPr>
          <w:rFonts w:ascii="David" w:hAnsi="David"/>
          <w:b/>
          <w:color w:val="1E3A8A"/>
          <w:sz w:val="26"/>
        </w:rPr>
        <w:t>VIII. אָבִינוּ מַלְכֵּנוּ — ORIGIN AND STRUCTURE</w:t>
      </w:r>
    </w:p>
    <w:p>
      <w:pPr>
        <w:pBdr>
          <w:bottom w:val="single" w:sz="6" w:space="1" w:color="B8860B"/>
        </w:pBdr>
      </w:pPr>
    </w:p>
    <w:p>
      <w:r>
        <w:rPr>
          <w:rFonts w:ascii="David" w:hAnsi="David"/>
        </w:rPr>
        <w:br/>
        <w:t xml:space="preserve">  Following the חזרת הש"ץ we say </w:t>
      </w:r>
      <w:r>
        <w:rPr>
          <w:rFonts w:ascii="David" w:hAnsi="David"/>
        </w:rPr>
        <w:t>אָבִינוּ מַלְכֵּנוּ</w:t>
      </w:r>
      <w:r>
        <w:rPr>
          <w:rFonts w:ascii="David" w:hAnsi="David"/>
        </w:rPr>
        <w:t xml:space="preserve">. The גמרא in </w:t>
      </w:r>
      <w:r>
        <w:rPr>
          <w:rFonts w:ascii="David" w:hAnsi="David"/>
        </w:rPr>
        <w:t>תַּעֲנִית</w:t>
      </w:r>
      <w:r>
        <w:rPr>
          <w:color w:val="B8860B"/>
          <w:sz w:val="16"/>
          <w:vertAlign w:val="superscript"/>
        </w:rPr>
        <w:t>[21]</w:t>
      </w:r>
      <w:r>
        <w:t xml:space="preserve"> records the origin:</w:t>
        <w:br/>
      </w:r>
    </w:p>
    <w:p>
      <w:pPr>
        <w:ind w:left="432"/>
      </w:pPr>
      <w:r>
        <w:rPr>
          <w:rFonts w:ascii="David" w:hAnsi="David"/>
          <w:i/>
        </w:rPr>
        <w:br/>
        <w:t xml:space="preserve">  A severe drought. One חכם after another rises to daven; nothing works. </w:t>
      </w:r>
      <w:r>
        <w:rPr>
          <w:rFonts w:ascii="David" w:hAnsi="David"/>
          <w:b/>
          <w:i/>
        </w:rPr>
        <w:t>רבי עקיבא</w:t>
      </w:r>
      <w:r>
        <w:rPr>
          <w:i/>
        </w:rPr>
        <w:t xml:space="preserve"> stands up and calls out: </w:t>
      </w:r>
      <w:r>
        <w:rPr>
          <w:rFonts w:ascii="David" w:hAnsi="David"/>
          <w:i/>
          <w:color w:val="1E3A8A"/>
        </w:rPr>
        <w:t>אָבִינוּ מַלְכֵּנוּ חָטָאנוּ לְפָנֶיךָ. אָבִינוּ מַלְכֵּנוּ אֵין לָנוּ מֶלֶךְ אֶלָּא אָתָּה.</w:t>
      </w:r>
      <w:r>
        <w:rPr>
          <w:i/>
        </w:rPr>
        <w:t xml:space="preserve"> Immediately, the rain came.</w:t>
        <w:br/>
      </w:r>
    </w:p>
    <w:p>
      <w:r>
        <w:rPr>
          <w:rFonts w:ascii="David" w:hAnsi="David"/>
        </w:rPr>
        <w:br/>
        <w:t xml:space="preserve">  The ראשונים note a remarkable רמז: the גימטריא of </w:t>
      </w:r>
      <w:r>
        <w:rPr>
          <w:rFonts w:ascii="David" w:hAnsi="David"/>
        </w:rPr>
        <w:t>אָבִינוּ מַלְכֵּנוּ חָטָאנוּ לְפָנֶיךָ</w:t>
      </w:r>
      <w:r>
        <w:t xml:space="preserve"> equals </w:t>
      </w:r>
      <w:r>
        <w:rPr>
          <w:rFonts w:ascii="David" w:hAnsi="David"/>
        </w:rPr>
        <w:t>רַבִּי עֲקִיבָא יְסָדוֹ</w:t>
      </w:r>
      <w:r>
        <w:t>.</w:t>
      </w:r>
      <w:r>
        <w:rPr>
          <w:color w:val="B8860B"/>
          <w:sz w:val="16"/>
          <w:vertAlign w:val="superscript"/>
        </w:rPr>
        <w:t>[22]</w:t>
      </w:r>
      <w:r>
        <w:t xml:space="preserve"> The old minhag was that a mechaber embedded his name in the piece he composed — Rabbi Akiva's signature is in the gematria itself.</w:t>
        <w:br/>
      </w:r>
    </w:p>
    <w:p>
      <w:r>
        <w:rPr>
          <w:rFonts w:ascii="David" w:hAnsi="David"/>
          <w:i/>
          <w:color w:val="B8860B"/>
          <w:sz w:val="24"/>
        </w:rPr>
        <w:t>Structure Corresponds to שמונה עשרה</w:t>
      </w:r>
    </w:p>
    <w:p>
      <w:r>
        <w:rPr>
          <w:rFonts w:ascii="David" w:hAnsi="David"/>
        </w:rPr>
        <w:br/>
        <w:t xml:space="preserve">  If one reads אָבִינוּ מַלְכֵּנוּ carefully, its brachos correspond — not one-to-one, but strikingly — to the middle brachos of שמונה עשרה. So even on ראש השנה, when we do </w:t>
      </w:r>
      <w:r>
        <w:rPr>
          <w:i/>
        </w:rPr>
        <w:t>not</w:t>
      </w:r>
      <w:r>
        <w:rPr>
          <w:rFonts w:ascii="David" w:hAnsi="David"/>
        </w:rPr>
        <w:t xml:space="preserve"> say the weekday שמונה עשרה of בקשה, we still voice the essential middle-bracha בקשות (חיים, פרנסה, סליחה) through אָבִינוּ מַלְכֵּנוּ. This is why the amida on ראש השנה is followed by אָבִינוּ מַלְכֵּנוּ: the day is </w:t>
      </w:r>
      <w:r>
        <w:rPr>
          <w:rFonts w:ascii="David" w:hAnsi="David"/>
        </w:rPr>
        <w:t>יוֹם הַדִּין</w:t>
      </w:r>
      <w:r>
        <w:t xml:space="preserve">, and we </w:t>
      </w:r>
      <w:r>
        <w:rPr>
          <w:i/>
        </w:rPr>
        <w:t>are</w:t>
      </w:r>
      <w:r>
        <w:t xml:space="preserve"> permitted to ask on the day of judgment itself.</w:t>
        <w:br/>
      </w:r>
    </w:p>
    <w:p>
      <w:r>
        <w:br/>
        <w:t xml:space="preserve">  On </w:t>
      </w:r>
      <w:r>
        <w:rPr>
          <w:rFonts w:ascii="David" w:hAnsi="David"/>
          <w:b/>
        </w:rPr>
        <w:t>שבת</w:t>
      </w:r>
      <w:r>
        <w:rPr>
          <w:rFonts w:ascii="David" w:hAnsi="David"/>
        </w:rPr>
        <w:t xml:space="preserve"> we do not say אָבִינוּ מַלְכֵּנוּ, because it is a תפילה of בקשה. When ראש השנה falls on שבת, אָבִינוּ מַלְכֵּנוּ is omitted (though ספרדים say a shortened version); on a weekday ראש השנה, it is critical.</w:t>
        <w:br/>
      </w:r>
    </w:p>
    <w:p>
      <w:r>
        <w:rPr>
          <w:rFonts w:ascii="David" w:hAnsi="David"/>
          <w:b/>
          <w:color w:val="1E3A8A"/>
          <w:sz w:val="26"/>
        </w:rPr>
        <w:t>IX. CODA — THE אריז"ל ON DANCING WITH THE תורה</w:t>
      </w:r>
    </w:p>
    <w:p>
      <w:pPr>
        <w:pBdr>
          <w:bottom w:val="single" w:sz="6" w:space="1" w:color="B8860B"/>
        </w:pBdr>
      </w:pPr>
    </w:p>
    <w:p>
      <w:r>
        <w:rPr>
          <w:rFonts w:ascii="David" w:hAnsi="David"/>
        </w:rPr>
        <w:br/>
        <w:t xml:space="preserve">  A final principle related to פרנסה, from the אריז"ל:</w:t>
      </w:r>
      <w:r>
        <w:rPr>
          <w:color w:val="B8860B"/>
          <w:sz w:val="16"/>
          <w:vertAlign w:val="superscript"/>
        </w:rPr>
        <w:t>[23]</w:t>
      </w:r>
      <w:r>
        <w:rPr>
          <w:rFonts w:ascii="David" w:hAnsi="David"/>
        </w:rPr>
        <w:t xml:space="preserve"> dancing on שמחת תורה with unrestrained joy is itself a סגולה for פרנסה. </w:t>
      </w:r>
      <w:r>
        <w:rPr>
          <w:rFonts w:ascii="David" w:hAnsi="David"/>
        </w:rPr>
        <w:t>דוד המלך</w:t>
      </w:r>
      <w:r>
        <w:t xml:space="preserve"> </w:t>
      </w:r>
      <w:r>
        <w:rPr>
          <w:rFonts w:ascii="David" w:hAnsi="David"/>
          <w:i/>
        </w:rPr>
        <w:t>"מְכַרְכֵּר וּמְפַזֵּז בְּכָל עֹז"</w:t>
      </w:r>
      <w:r>
        <w:rPr>
          <w:color w:val="B8860B"/>
          <w:sz w:val="16"/>
          <w:vertAlign w:val="superscript"/>
        </w:rPr>
        <w:t>[24]</w:t>
      </w:r>
      <w:r>
        <w:rPr>
          <w:rFonts w:ascii="David" w:hAnsi="David"/>
        </w:rPr>
        <w:t xml:space="preserve"> — danced with all his might before the אָרוֹן. To dance with the תורה like a small child, without self-consciousness, in pure שמחה over the matanah הקדוש ברוך הוא has given us — is a tremendous kli.</w:t>
        <w:br/>
      </w:r>
    </w:p>
    <w:p>
      <w:r>
        <w:rPr>
          <w:rFonts w:ascii="David" w:hAnsi="David"/>
        </w:rPr>
        <w:br/>
        <w:t xml:space="preserve">  The Rav has personally seen it: a man who was struggling with פרנסה took the eitzah to heart, danced on שמחת תורה with abandon, and shortly after saw his business flourish.</w:t>
        <w:br/>
      </w:r>
    </w:p>
    <w:p>
      <w:pPr>
        <w:jc w:val="center"/>
      </w:pPr>
      <w:r>
        <w:rPr>
          <w:color w:val="B8860B"/>
        </w:rPr>
        <w:t>❦</w:t>
      </w:r>
    </w:p>
    <w:p>
      <w:r>
        <w:rPr>
          <w:i/>
          <w:color w:val="3B3B3B"/>
        </w:rPr>
        <w:br/>
      </w:r>
      <w:r>
        <w:rPr>
          <w:i/>
          <w:color w:val="3B3B3B"/>
        </w:rPr>
        <w:t>Tomorrow</w:t>
      </w:r>
      <w:r>
        <w:rPr>
          <w:rFonts w:ascii="David" w:hAnsi="David"/>
          <w:i/>
          <w:color w:val="3B3B3B"/>
        </w:rPr>
        <w:t xml:space="preserve">, im yirtzeh Hashem, the Rav will continue — a longer שיעור, going into specific פִּיּוּטִים, their מְחַבְּרִים, how they entered the מחזור, and their deeper meaning. May הקדוש ברוך הוא give us a week full of </w:t>
      </w:r>
      <w:r>
        <w:rPr>
          <w:rFonts w:ascii="David" w:hAnsi="David"/>
          <w:i/>
          <w:color w:val="3B3B3B"/>
        </w:rPr>
        <w:t>סְלִיחָה וּמְחִילָה</w:t>
      </w:r>
      <w:r>
        <w:rPr>
          <w:rFonts w:ascii="David" w:hAnsi="David"/>
          <w:i/>
          <w:color w:val="3B3B3B"/>
        </w:rPr>
        <w:t xml:space="preserve"> in preparation for יום הדין.</w:t>
        <w:br/>
      </w:r>
    </w:p>
    <w:p>
      <w:pPr>
        <w:pBdr>
          <w:bottom w:val="single" w:sz="6" w:space="1" w:color="B8860B"/>
        </w:pBdr>
      </w:pPr>
    </w:p>
    <w:p>
      <w:r>
        <w:rPr>
          <w:b/>
          <w:color w:val="1E3A8A"/>
          <w:sz w:val="26"/>
        </w:rPr>
        <w:t>MAREH MEKOMOS</w:t>
      </w:r>
    </w:p>
    <w:p>
      <w:r>
        <w:rPr>
          <w:b/>
          <w:color w:val="1E3A8A"/>
        </w:rPr>
        <w:t xml:space="preserve">1. </w:t>
      </w:r>
      <w:r>
        <w:rPr>
          <w:rFonts w:ascii="David" w:hAnsi="David"/>
          <w:b/>
          <w:color w:val="1E3A8A"/>
        </w:rPr>
        <w:t>הַכֹּל הוֹלֵךְ אַחַר הַחִתּוּם — the halachic/aggadic klal.</w:t>
      </w:r>
      <w:r>
        <w:t xml:space="preserve"> </w:t>
      </w:r>
      <w:r>
        <w:rPr>
          <w:rFonts w:ascii="David" w:hAnsi="David"/>
        </w:rPr>
        <w:t xml:space="preserve"> The maxim is embedded in numerous places. In halacha it functions in laws of ברכות and תפילה (e.g., a mistake at the חתימה of a bracha invalidates in a way a mistake mid-bracha does not). In aggadah it appears in the concept of יִשְׁלַט חוֹתָם / חֲתִימָה טוֹבָה central to הימים הנוראים. See also ברכות י"ב ע"א on חתימת ברכות determining nusach.</w:t>
      </w:r>
    </w:p>
    <w:p>
      <w:r>
        <w:rPr>
          <w:b/>
          <w:color w:val="1E3A8A"/>
        </w:rPr>
        <w:t xml:space="preserve">2. </w:t>
      </w:r>
      <w:r>
        <w:rPr>
          <w:rFonts w:ascii="David" w:hAnsi="David"/>
          <w:b/>
          <w:color w:val="1E3A8A"/>
        </w:rPr>
        <w:t>Reb Yoel Gross of Miami — Reb Shaya'le Kerestirer's eldest אייניקל.</w:t>
      </w:r>
      <w:r>
        <w:t xml:space="preserve"> </w:t>
      </w:r>
      <w:r>
        <w:t xml:space="preserve"> Oral mesorah from Rabbi Ephrati of a chavrusa/friendship. Reb Shaya'le Steiner of Kerestir (c. 1852–1925) was the famed Hungarian chassidic Rebbe, talmid of the Divrei Chaim of Sanz.</w:t>
      </w:r>
    </w:p>
    <w:p>
      <w:pPr>
        <w:ind w:left="432"/>
      </w:pPr>
      <w:r>
        <w:rPr>
          <w:b/>
          <w:color w:val="D4A017"/>
          <w:sz w:val="18"/>
        </w:rPr>
        <w:t xml:space="preserve">[Note] </w:t>
      </w:r>
      <w:r>
        <w:rPr>
          <w:b/>
          <w:color w:val="5A4B1A"/>
          <w:sz w:val="18"/>
        </w:rPr>
        <w:t>Flag:</w:t>
      </w:r>
      <w:r>
        <w:rPr>
          <w:color w:val="5A4B1A"/>
          <w:sz w:val="18"/>
        </w:rPr>
        <w:t xml:space="preserve"> personal-mesorah story from Rabbi Ephrati. No printed source expected.</w:t>
      </w:r>
    </w:p>
    <w:p>
      <w:r>
        <w:rPr>
          <w:b/>
          <w:color w:val="1E3A8A"/>
        </w:rPr>
        <w:t xml:space="preserve">3. </w:t>
      </w:r>
      <w:r>
        <w:rPr>
          <w:b/>
          <w:color w:val="1E3A8A"/>
        </w:rPr>
        <w:t>Previous Skverer Rebbe — Rav Yaakov Yosef Twersky (1899–1968).</w:t>
      </w:r>
      <w:r>
        <w:t xml:space="preserve"> </w:t>
      </w:r>
      <w:r>
        <w:rPr>
          <w:rFonts w:ascii="David" w:hAnsi="David"/>
        </w:rPr>
        <w:t xml:space="preserve"> The second Skverer Rebbe, founder of New Square, NY; the ma'aseh of intense weeping at בָּרֵךְ עָלֵינוּ of the final מנחה on Erev RH is transmitted through Skverer מסורה rather than a specific published source.</w:t>
      </w:r>
    </w:p>
    <w:p>
      <w:pPr>
        <w:ind w:left="432"/>
      </w:pPr>
      <w:r>
        <w:rPr>
          <w:b/>
          <w:color w:val="D4A017"/>
          <w:sz w:val="18"/>
        </w:rPr>
        <w:t xml:space="preserve">[Note] </w:t>
      </w:r>
      <w:r>
        <w:rPr>
          <w:b/>
          <w:color w:val="5A4B1A"/>
          <w:sz w:val="18"/>
        </w:rPr>
        <w:t>Flag:</w:t>
      </w:r>
      <w:r>
        <w:rPr>
          <w:color w:val="5A4B1A"/>
          <w:sz w:val="18"/>
        </w:rPr>
        <w:t xml:space="preserve"> Skverer oral tradition — no printed teshuvah or sefer citation expected.</w:t>
      </w:r>
    </w:p>
    <w:p>
      <w:r>
        <w:rPr>
          <w:b/>
          <w:color w:val="1E3A8A"/>
        </w:rPr>
        <w:t xml:space="preserve">4. </w:t>
      </w:r>
      <w:r>
        <w:rPr>
          <w:rFonts w:ascii="David" w:hAnsi="David"/>
          <w:b/>
          <w:color w:val="1E3A8A"/>
        </w:rPr>
        <w:t>Rav Avraham Chazan — mechaber of אֲחוֹת קְטַנָּה; contemporary of רמב"ן.</w:t>
      </w:r>
      <w:r>
        <w:t xml:space="preserve"> </w:t>
      </w:r>
      <w:r>
        <w:rPr>
          <w:rFonts w:ascii="David" w:hAnsi="David"/>
        </w:rPr>
        <w:t xml:space="preserve"> Rav Avraham Chazan of Girona (early 13th century). The פִּיּוּט אֲחוֹת קְטַנָּה is signed with the acrostic </w:t>
      </w:r>
      <w:r>
        <w:rPr>
          <w:rFonts w:ascii="David" w:hAnsi="David"/>
        </w:rPr>
        <w:t>אַבְרָהָם חָזָן חָזָק</w:t>
      </w:r>
      <w:r>
        <w:t xml:space="preserve">. It is preserved in </w:t>
      </w:r>
      <w:r>
        <w:rPr>
          <w:rFonts w:ascii="David" w:hAnsi="David"/>
        </w:rPr>
        <w:t>מַחְזוֹרֵי ספרד</w:t>
      </w:r>
      <w:r>
        <w:rPr>
          <w:rFonts w:ascii="David" w:hAnsi="David"/>
        </w:rPr>
        <w:t xml:space="preserve"> and standard ספרדי מחזורי ראש השנה, recited after מנחה of Erev RH.</w:t>
      </w:r>
    </w:p>
    <w:p>
      <w:pPr>
        <w:ind w:left="432"/>
      </w:pPr>
      <w:r>
        <w:rPr>
          <w:b/>
          <w:color w:val="D4A017"/>
          <w:sz w:val="18"/>
        </w:rPr>
        <w:t xml:space="preserve">[Note] </w:t>
      </w:r>
      <w:r>
        <w:rPr>
          <w:b/>
          <w:color w:val="5A4B1A"/>
          <w:sz w:val="18"/>
        </w:rPr>
        <w:t>Flag:</w:t>
      </w:r>
      <w:r>
        <w:rPr>
          <w:rFonts w:ascii="David" w:hAnsi="David"/>
          <w:color w:val="5A4B1A"/>
          <w:sz w:val="18"/>
        </w:rPr>
        <w:t xml:space="preserve"> The exact biographical relationship to רמב"ן (hesped) is per Sephardi liturgical tradition; verify against Fleischer's / Rosenzweig's studies of Girona-school poetry.</w:t>
      </w:r>
    </w:p>
    <w:p>
      <w:r>
        <w:rPr>
          <w:b/>
          <w:color w:val="1E3A8A"/>
        </w:rPr>
        <w:t xml:space="preserve">5. </w:t>
      </w:r>
      <w:r>
        <w:rPr>
          <w:rFonts w:ascii="David" w:hAnsi="David"/>
          <w:b/>
          <w:color w:val="1E3A8A"/>
        </w:rPr>
        <w:t>גמרא: תִּכְלֶה שָׁנָה וְקִלְלוֹתֶיהָ — reading קללות before RH.</w:t>
      </w:r>
      <w:r>
        <w:t xml:space="preserve"> </w:t>
      </w:r>
      <w:r>
        <w:t xml:space="preserve"> </w:t>
      </w:r>
      <w:r>
        <w:rPr>
          <w:rFonts w:ascii="David" w:hAnsi="David"/>
        </w:rPr>
        <w:t>מגילה ל"א ע"ב</w:t>
      </w:r>
      <w:r>
        <w:rPr>
          <w:rFonts w:ascii="David" w:hAnsi="David"/>
        </w:rPr>
        <w:t>: "עזרא תיקן להם לישראל שיהו קורין קללות שבתורת כהנים קודם עצרת ושבמשנה תורה קודם ראש השנה. מאי טעמא? אמר אביי ואיתימא ריש לקיש: כדי שתכלה שנה וקללותיה." The Rambam and Tur codify this in הלכות תפילה regarding the seder ha-kri'ah for the year.</w:t>
      </w:r>
    </w:p>
    <w:p>
      <w:r>
        <w:rPr>
          <w:b/>
          <w:color w:val="1E3A8A"/>
        </w:rPr>
        <w:t xml:space="preserve">6. </w:t>
      </w:r>
      <w:r>
        <w:rPr>
          <w:rFonts w:ascii="David" w:hAnsi="David"/>
          <w:b/>
          <w:color w:val="1E3A8A"/>
        </w:rPr>
        <w:t>אריז"ל on לְדָוִד מִזְמוֹר after מעריב of RH — סגולה for פרנסה.</w:t>
      </w:r>
      <w:r>
        <w:t xml:space="preserve"> </w:t>
      </w:r>
      <w:r>
        <w:rPr>
          <w:rFonts w:ascii="David" w:hAnsi="David"/>
        </w:rPr>
        <w:t xml:space="preserve"> The מסורת goes back to the writings of </w:t>
      </w:r>
      <w:r>
        <w:rPr>
          <w:rFonts w:ascii="David" w:hAnsi="David"/>
        </w:rPr>
        <w:t>רב חיים ויטאל</w:t>
      </w:r>
      <w:r>
        <w:rPr>
          <w:rFonts w:ascii="David" w:hAnsi="David"/>
        </w:rPr>
        <w:t xml:space="preserve"> in שער הכוונות and פרי עץ חיים (שער ראש השנה); the practice is codified in later works such as כף החיים (או"ח תקפ"ב) and ילקוט יוסף.</w:t>
      </w:r>
    </w:p>
    <w:p>
      <w:pPr>
        <w:ind w:left="432"/>
      </w:pPr>
      <w:r>
        <w:rPr>
          <w:b/>
          <w:color w:val="D4A017"/>
          <w:sz w:val="18"/>
        </w:rPr>
        <w:t xml:space="preserve">[Note] </w:t>
      </w:r>
      <w:r>
        <w:rPr>
          <w:b/>
          <w:color w:val="5A4B1A"/>
          <w:sz w:val="18"/>
        </w:rPr>
        <w:t>Flag:</w:t>
      </w:r>
      <w:r>
        <w:rPr>
          <w:rFonts w:ascii="David" w:hAnsi="David"/>
          <w:color w:val="5A4B1A"/>
          <w:sz w:val="18"/>
        </w:rPr>
        <w:t xml:space="preserve"> confirm exact locus in שער הכוונות / פרי עץ חיים and its citation in the ספרדי poskim; the specific "on the first two nights of RH and Y"K" formulation is standard but pin the source.</w:t>
      </w:r>
    </w:p>
    <w:p>
      <w:r>
        <w:rPr>
          <w:b/>
          <w:color w:val="1E3A8A"/>
        </w:rPr>
        <w:t xml:space="preserve">7. </w:t>
      </w:r>
      <w:r>
        <w:rPr>
          <w:rFonts w:ascii="David" w:hAnsi="David"/>
          <w:b/>
          <w:color w:val="1E3A8A"/>
        </w:rPr>
        <w:t>Divine Name חת"ך in פותח את ידך and תבל ויושבי בה.</w:t>
      </w:r>
      <w:r>
        <w:t xml:space="preserve"> </w:t>
      </w:r>
      <w:r>
        <w:t xml:space="preserve"> This gematria/rashei-teivot construction appears throughout the kabbalistic siddurim and works on the divine Names. See </w:t>
      </w:r>
      <w:r>
        <w:rPr>
          <w:rFonts w:ascii="David" w:hAnsi="David"/>
        </w:rPr>
        <w:t>קיצור של"ה</w:t>
      </w:r>
      <w:r>
        <w:t xml:space="preserve">, </w:t>
      </w:r>
      <w:r>
        <w:rPr>
          <w:rFonts w:ascii="David" w:hAnsi="David"/>
        </w:rPr>
        <w:t>מגן אברהם</w:t>
      </w:r>
      <w:r>
        <w:rPr>
          <w:rFonts w:ascii="David" w:hAnsi="David"/>
        </w:rPr>
        <w:t xml:space="preserve"> on או"ח נ"א:ז (regarding kavanah in פותח את ידך), and later collections such as </w:t>
      </w:r>
      <w:r>
        <w:rPr>
          <w:rFonts w:ascii="David" w:hAnsi="David"/>
        </w:rPr>
        <w:t>בני יששכר</w:t>
      </w:r>
      <w:r>
        <w:t>.</w:t>
      </w:r>
    </w:p>
    <w:p>
      <w:pPr>
        <w:ind w:left="432"/>
      </w:pPr>
      <w:r>
        <w:rPr>
          <w:b/>
          <w:color w:val="D4A017"/>
          <w:sz w:val="18"/>
        </w:rPr>
        <w:t xml:space="preserve">[Note] </w:t>
      </w:r>
      <w:r>
        <w:rPr>
          <w:b/>
          <w:color w:val="5A4B1A"/>
          <w:sz w:val="18"/>
        </w:rPr>
        <w:t>Flag:</w:t>
      </w:r>
      <w:r>
        <w:rPr>
          <w:rFonts w:ascii="David" w:hAnsi="David"/>
          <w:color w:val="5A4B1A"/>
          <w:sz w:val="18"/>
        </w:rPr>
        <w:t xml:space="preserve"> the "opening letters of תבל ויושבי בה = חת"ך" formulation is presented as widely-known; standard citation is </w:t>
      </w:r>
      <w:r>
        <w:rPr>
          <w:rFonts w:ascii="David" w:hAnsi="David"/>
          <w:color w:val="5A4B1A"/>
          <w:sz w:val="18"/>
        </w:rPr>
        <w:t>של"ה הקדוש</w:t>
      </w:r>
      <w:r>
        <w:rPr>
          <w:color w:val="5A4B1A"/>
          <w:sz w:val="18"/>
        </w:rPr>
        <w:t xml:space="preserve"> or </w:t>
      </w:r>
      <w:r>
        <w:rPr>
          <w:rFonts w:ascii="David" w:hAnsi="David"/>
          <w:color w:val="5A4B1A"/>
          <w:sz w:val="18"/>
        </w:rPr>
        <w:t>כף החיים</w:t>
      </w:r>
      <w:r>
        <w:rPr>
          <w:color w:val="5A4B1A"/>
          <w:sz w:val="18"/>
        </w:rPr>
        <w:t>, verify.</w:t>
      </w:r>
    </w:p>
    <w:p>
      <w:r>
        <w:rPr>
          <w:b/>
          <w:color w:val="1E3A8A"/>
        </w:rPr>
        <w:t xml:space="preserve">8. </w:t>
      </w:r>
      <w:r>
        <w:rPr>
          <w:rFonts w:ascii="David" w:hAnsi="David"/>
          <w:b/>
          <w:color w:val="1E3A8A"/>
        </w:rPr>
        <w:t>תהילים כ"ד:ג-ד — מִי־יַעֲלֶה בְהַר־ה'.</w:t>
      </w:r>
      <w:r>
        <w:t xml:space="preserve"> </w:t>
      </w:r>
      <w:r>
        <w:rPr>
          <w:rFonts w:ascii="David" w:hAnsi="David"/>
        </w:rPr>
        <w:t xml:space="preserve"> "מִי־יַעֲלֶה בְהַר־ה' וּמִי־יָקוּם בִּמְקוֹם קָדְשׁוֹ׃ נְקִי כַפַּיִם וּבַר־לֵבָב, אֲשֶׁר לֹא־נָשָׂא לַשָּׁוְא נַפְשִׁי וְלֹא נִשְׁבַּע לְמִרְמָה׃" The classic Rishonim (רש"י, אב"ע, רד"ק, רבנו בחיי) interpret נשא לשוא נפשי and וְלֹא נִשְׁבַּע לְמִרְמָה in various registers; the Chofetz Chaim's chiddush of the primordial-oath reading is the derech-derush layer.</w:t>
      </w:r>
    </w:p>
    <w:p>
      <w:r>
        <w:rPr>
          <w:b/>
          <w:color w:val="1E3A8A"/>
        </w:rPr>
        <w:t xml:space="preserve">9. </w:t>
      </w:r>
      <w:r>
        <w:rPr>
          <w:rFonts w:ascii="David" w:hAnsi="David"/>
          <w:b/>
          <w:color w:val="1E3A8A"/>
        </w:rPr>
        <w:t>נדה ל' ע"ב — the מלאך teaches the נשמה the entire תורה in utero.</w:t>
      </w:r>
      <w:r>
        <w:t xml:space="preserve"> </w:t>
      </w:r>
      <w:r>
        <w:rPr>
          <w:rFonts w:ascii="David" w:hAnsi="David"/>
        </w:rPr>
        <w:t xml:space="preserve"> "דרש רבי שמלאי: למה הולד דומה במעי אמו... ומלמדין אותו כל התורה כולה." The gemara continues that a מלאך strikes the child on the mouth as it emerges, causing it to forget. The oath (מַשְׁבִּיעִין אוֹתוֹ, תְּהִי צַדִּיק וְאַל תְּהִי רָשָׁע) is on the same daf.</w:t>
      </w:r>
    </w:p>
    <w:p>
      <w:r>
        <w:rPr>
          <w:b/>
          <w:color w:val="1E3A8A"/>
        </w:rPr>
        <w:t xml:space="preserve">10. </w:t>
      </w:r>
      <w:r>
        <w:rPr>
          <w:rFonts w:ascii="David" w:hAnsi="David"/>
          <w:b/>
          <w:color w:val="1E3A8A"/>
        </w:rPr>
        <w:t>מַשְׁבִּיעִין אוֹתוֹ — תְּהִי צַדִּיק וְאַל תְּהִי רָשָׁע.</w:t>
      </w:r>
      <w:r>
        <w:t xml:space="preserve"> </w:t>
      </w:r>
      <w:r>
        <w:t xml:space="preserve"> </w:t>
      </w:r>
      <w:r>
        <w:rPr>
          <w:rFonts w:ascii="David" w:hAnsi="David"/>
        </w:rPr>
        <w:t>נדה ל' ע"ב</w:t>
      </w:r>
      <w:r>
        <w:rPr>
          <w:rFonts w:ascii="David" w:hAnsi="David"/>
        </w:rPr>
        <w:t>, immediately following the description of the מלאך teaching תורה. The gemara: "ומשביעין אותו: תהי צדיק ואל תהי רשע. ואפילו כל העולם כולו אומרים לך צדיק אתה — היה בעיניך כרשע." Notably, the gemara itself quotes תהילים כ"ד:ד ("אֲשֶׁר לֹא נָשָׂא לַשָּׁוְא נַפְשִׁי וְלֹא נִשְׁבַּע לְמִרְמָה") as the pasuk that describes one who has kept this oath — so the linkage of the primordial oath to לְדָוִד מִזְמוֹר is already in חז"ל; the Chofetz Chaim's chiddush is drawing this out as the practical avodah of ראש השנה.</w:t>
      </w:r>
    </w:p>
    <w:p>
      <w:r>
        <w:rPr>
          <w:b/>
          <w:color w:val="1E3A8A"/>
        </w:rPr>
        <w:t xml:space="preserve">11. </w:t>
      </w:r>
      <w:r>
        <w:rPr>
          <w:rFonts w:ascii="David" w:hAnsi="David"/>
          <w:b/>
          <w:color w:val="1E3A8A"/>
        </w:rPr>
        <w:t>גמרא — severity of הפסק between יִשְׁתַּבַּח and יוֹצֵר אור.</w:t>
      </w:r>
      <w:r>
        <w:t xml:space="preserve"> </w:t>
      </w:r>
      <w:r>
        <w:t xml:space="preserve"> The primary sources: </w:t>
      </w:r>
      <w:r>
        <w:rPr>
          <w:rFonts w:ascii="David" w:hAnsi="David"/>
        </w:rPr>
        <w:t>ירושלמי ברכות פרק א'</w:t>
      </w:r>
      <w:r>
        <w:rPr>
          <w:rFonts w:ascii="David" w:hAnsi="David"/>
        </w:rPr>
        <w:t xml:space="preserve"> and the various רשב"א/מרדכי discussions. The soldier-comparison and מֵעֲבֵרוֹת שֶׁבְּיָדוֹ language are in the ראשונים; see also </w:t>
      </w:r>
      <w:r>
        <w:rPr>
          <w:rFonts w:ascii="David" w:hAnsi="David"/>
        </w:rPr>
        <w:t>שולחן ערוך או"ח נ"ד:ג</w:t>
      </w:r>
      <w:r>
        <w:t xml:space="preserve"> and </w:t>
      </w:r>
      <w:r>
        <w:rPr>
          <w:rFonts w:ascii="David" w:hAnsi="David"/>
        </w:rPr>
        <w:t>משנה ברורה</w:t>
      </w:r>
      <w:r>
        <w:t xml:space="preserve"> ad loc.</w:t>
      </w:r>
    </w:p>
    <w:p>
      <w:pPr>
        <w:ind w:left="432"/>
      </w:pPr>
      <w:r>
        <w:rPr>
          <w:b/>
          <w:color w:val="D4A017"/>
          <w:sz w:val="18"/>
        </w:rPr>
        <w:t xml:space="preserve">[Note] </w:t>
      </w:r>
      <w:r>
        <w:rPr>
          <w:b/>
          <w:color w:val="5A4B1A"/>
          <w:sz w:val="18"/>
        </w:rPr>
        <w:t>Flag:</w:t>
      </w:r>
      <w:r>
        <w:rPr>
          <w:rFonts w:ascii="David" w:hAnsi="David"/>
          <w:color w:val="5A4B1A"/>
          <w:sz w:val="18"/>
        </w:rPr>
        <w:t xml:space="preserve"> the specific citation Rabbi Ephrati brings — locate precisely (likely בבלי or ירושלמי with the soldier comparison via a specific rishon); verify against SA OC 54:3 and MB.</w:t>
      </w:r>
    </w:p>
    <w:p>
      <w:r>
        <w:rPr>
          <w:b/>
          <w:color w:val="1E3A8A"/>
        </w:rPr>
        <w:t xml:space="preserve">12. </w:t>
      </w:r>
      <w:r>
        <w:rPr>
          <w:rFonts w:ascii="David" w:hAnsi="David"/>
          <w:b/>
          <w:color w:val="1E3A8A"/>
        </w:rPr>
        <w:t>דברים כ':ח — מִי־הָאִישׁ הַיָּרֵא וְרַךְ הַלֵּבָב.</w:t>
      </w:r>
      <w:r>
        <w:t xml:space="preserve"> </w:t>
      </w:r>
      <w:r>
        <w:rPr>
          <w:rFonts w:ascii="David" w:hAnsi="David"/>
        </w:rPr>
        <w:t xml:space="preserve"> Part of the pericope of the כהן משוח מלחמה addressing the army; the gemara sotah (מ"ד ע"א) discusses מֵעֲבֵרוֹת שֶׁבְּיָדוֹ as one interpretation of what the soldier fears.</w:t>
      </w:r>
    </w:p>
    <w:p>
      <w:r>
        <w:rPr>
          <w:b/>
          <w:color w:val="1E3A8A"/>
        </w:rPr>
        <w:t xml:space="preserve">13. </w:t>
      </w:r>
      <w:r>
        <w:rPr>
          <w:rFonts w:ascii="David" w:hAnsi="David"/>
          <w:b/>
          <w:color w:val="1E3A8A"/>
        </w:rPr>
        <w:t>נודע ביהודה — דגל מרבבה — defense of the shir ha-ma'alos minhag.</w:t>
      </w:r>
      <w:r>
        <w:t xml:space="preserve"> </w:t>
      </w:r>
      <w:r>
        <w:t xml:space="preserve"> </w:t>
      </w:r>
      <w:r>
        <w:rPr>
          <w:rFonts w:ascii="David" w:hAnsi="David"/>
        </w:rPr>
        <w:t>דגל מרבבה</w:t>
      </w:r>
      <w:r>
        <w:rPr>
          <w:rFonts w:ascii="David" w:hAnsi="David"/>
        </w:rPr>
        <w:t xml:space="preserve"> is Rav Yechezkel Landau's commentary on the שולחן ערוך. His treatment of the seam between יִשְׁתַּבַּח and יוצר אור appears in או"ח סימן נ"א/נ"ד. The distinction between שיחה בטלה and legitimate shevachim is the key move.</w:t>
      </w:r>
    </w:p>
    <w:p>
      <w:pPr>
        <w:ind w:left="432"/>
      </w:pPr>
      <w:r>
        <w:rPr>
          <w:b/>
          <w:color w:val="D4A017"/>
          <w:sz w:val="18"/>
        </w:rPr>
        <w:t xml:space="preserve">[Note] </w:t>
      </w:r>
      <w:r>
        <w:rPr>
          <w:b/>
          <w:color w:val="5A4B1A"/>
          <w:sz w:val="18"/>
        </w:rPr>
        <w:t>Flag:</w:t>
      </w:r>
      <w:r>
        <w:rPr>
          <w:rFonts w:ascii="David" w:hAnsi="David"/>
          <w:color w:val="5A4B1A"/>
          <w:sz w:val="18"/>
        </w:rPr>
        <w:t xml:space="preserve"> pin the exact siman in דגל מרבבה where the defense appears; the argument is well-known but the locus should be verified against a printed edition.</w:t>
      </w:r>
    </w:p>
    <w:p>
      <w:r>
        <w:rPr>
          <w:b/>
          <w:color w:val="1E3A8A"/>
        </w:rPr>
        <w:t xml:space="preserve">14. </w:t>
      </w:r>
      <w:r>
        <w:rPr>
          <w:rFonts w:ascii="David" w:hAnsi="David"/>
          <w:b/>
          <w:color w:val="1E3A8A"/>
        </w:rPr>
        <w:t>רמב"ם — early ספרד custom to say אָז יָשִׁיר after יִשְׁתַּבַּח.</w:t>
      </w:r>
      <w:r>
        <w:t xml:space="preserve"> </w:t>
      </w:r>
      <w:r>
        <w:t xml:space="preserve"> The </w:t>
      </w:r>
      <w:r>
        <w:rPr>
          <w:rFonts w:ascii="David" w:hAnsi="David"/>
        </w:rPr>
        <w:t>רמב"ם</w:t>
      </w:r>
      <w:r>
        <w:rPr>
          <w:rFonts w:ascii="David" w:hAnsi="David"/>
        </w:rPr>
        <w:t>'s codification of the nusach appears in הלכות תפילה, with variations noted in the מהדורות; the specific reference to a Sephardi minhag of adding אָז יָשִׁיר after יִשְׁתַּבַּח is cited by the נודע ביהודה as his primary raiya.</w:t>
      </w:r>
    </w:p>
    <w:p>
      <w:pPr>
        <w:ind w:left="432"/>
      </w:pPr>
      <w:r>
        <w:rPr>
          <w:b/>
          <w:color w:val="D4A017"/>
          <w:sz w:val="18"/>
        </w:rPr>
        <w:t xml:space="preserve">[Note] </w:t>
      </w:r>
      <w:r>
        <w:rPr>
          <w:b/>
          <w:color w:val="5A4B1A"/>
          <w:sz w:val="18"/>
        </w:rPr>
        <w:t>Flag:</w:t>
      </w:r>
      <w:r>
        <w:rPr>
          <w:color w:val="5A4B1A"/>
          <w:sz w:val="18"/>
        </w:rPr>
        <w:t xml:space="preserve"> the Rambam locus — likely </w:t>
      </w:r>
      <w:r>
        <w:rPr>
          <w:rFonts w:ascii="David" w:hAnsi="David"/>
          <w:color w:val="5A4B1A"/>
          <w:sz w:val="18"/>
        </w:rPr>
        <w:t>הלכות תפילה פרק ז'</w:t>
      </w:r>
      <w:r>
        <w:rPr>
          <w:color w:val="5A4B1A"/>
          <w:sz w:val="18"/>
        </w:rPr>
        <w:t xml:space="preserve"> — needs verification; the Sephardi-minhag testimony may be in an additional teshuvah or introduction.</w:t>
      </w:r>
    </w:p>
    <w:p>
      <w:r>
        <w:rPr>
          <w:b/>
          <w:color w:val="1E3A8A"/>
        </w:rPr>
        <w:t xml:space="preserve">15. </w:t>
      </w:r>
      <w:r>
        <w:rPr>
          <w:rFonts w:ascii="David" w:hAnsi="David"/>
          <w:b/>
          <w:color w:val="1E3A8A"/>
        </w:rPr>
        <w:t>גמרא — no personal בקשות in first three and last three ברכות of שמונה עשרה.</w:t>
      </w:r>
      <w:r>
        <w:t xml:space="preserve"> </w:t>
      </w:r>
      <w:r>
        <w:t xml:space="preserve"> </w:t>
      </w:r>
      <w:r>
        <w:rPr>
          <w:rFonts w:ascii="David" w:hAnsi="David"/>
        </w:rPr>
        <w:t>ברכות ל"ד ע"א</w:t>
      </w:r>
      <w:r>
        <w:rPr>
          <w:rFonts w:ascii="David" w:hAnsi="David"/>
        </w:rPr>
        <w:t xml:space="preserve">: "אמר רב יהודה: לעולם אל ישאל אדם צרכיו לא בשלש ראשונות ולא בשלש אחרונות, אלא באמצעיות." Codified in </w:t>
      </w:r>
      <w:r>
        <w:rPr>
          <w:rFonts w:ascii="David" w:hAnsi="David"/>
        </w:rPr>
        <w:t>שולחן ערוך או"ח קי"ב:א</w:t>
      </w:r>
      <w:r>
        <w:t>.</w:t>
      </w:r>
    </w:p>
    <w:p>
      <w:r>
        <w:rPr>
          <w:b/>
          <w:color w:val="1E3A8A"/>
        </w:rPr>
        <w:t xml:space="preserve">16. </w:t>
      </w:r>
      <w:r>
        <w:rPr>
          <w:rFonts w:ascii="David" w:hAnsi="David"/>
          <w:b/>
          <w:color w:val="1E3A8A"/>
        </w:rPr>
        <w:t>Vilna Gaon — reportedly did not say the אֲשֶׂרֶת יְמֵי תשובה additions.</w:t>
      </w:r>
      <w:r>
        <w:t xml:space="preserve"> </w:t>
      </w:r>
      <w:r>
        <w:rPr>
          <w:rFonts w:ascii="David" w:hAnsi="David"/>
        </w:rPr>
        <w:t xml:space="preserve"> Reported in the נוסח הגר"א transmitted by תלמידיו; see </w:t>
      </w:r>
      <w:r>
        <w:rPr>
          <w:rFonts w:ascii="David" w:hAnsi="David"/>
        </w:rPr>
        <w:t>מעשה רב</w:t>
      </w:r>
      <w:r>
        <w:rPr>
          <w:rFonts w:ascii="David" w:hAnsi="David"/>
        </w:rPr>
        <w:t xml:space="preserve"> for the Gra's practices around הימים הנוראים.</w:t>
      </w:r>
    </w:p>
    <w:p>
      <w:pPr>
        <w:ind w:left="432"/>
      </w:pPr>
      <w:r>
        <w:rPr>
          <w:b/>
          <w:color w:val="D4A017"/>
          <w:sz w:val="18"/>
        </w:rPr>
        <w:t xml:space="preserve">[Note] </w:t>
      </w:r>
      <w:r>
        <w:rPr>
          <w:b/>
          <w:color w:val="5A4B1A"/>
          <w:sz w:val="18"/>
        </w:rPr>
        <w:t>Flag:</w:t>
      </w:r>
      <w:r>
        <w:rPr>
          <w:rFonts w:ascii="David" w:hAnsi="David"/>
          <w:color w:val="5A4B1A"/>
          <w:sz w:val="18"/>
        </w:rPr>
        <w:t xml:space="preserve"> "did not say" is stronger than sources support — the Gra held they altered structure and davened them with reservation; verify the exact formulation in מעשה רב.</w:t>
      </w:r>
    </w:p>
    <w:p>
      <w:r>
        <w:rPr>
          <w:b/>
          <w:color w:val="1E3A8A"/>
        </w:rPr>
        <w:t xml:space="preserve">17. </w:t>
      </w:r>
      <w:r>
        <w:rPr>
          <w:rFonts w:ascii="David" w:hAnsi="David"/>
          <w:b/>
          <w:color w:val="1E3A8A"/>
        </w:rPr>
        <w:t>מהר"ם מרוטנבורג — justification based on nature of the days.</w:t>
      </w:r>
      <w:r>
        <w:t xml:space="preserve"> </w:t>
      </w:r>
      <w:r>
        <w:rPr>
          <w:rFonts w:ascii="David" w:hAnsi="David"/>
        </w:rPr>
        <w:t xml:space="preserve"> The מהר"ם's teshuvah on הימים נוראים insertions; cited in later poskim as a rishon-level defense of the tekana of the גאונים.</w:t>
      </w:r>
    </w:p>
    <w:p>
      <w:pPr>
        <w:ind w:left="432"/>
      </w:pPr>
      <w:r>
        <w:rPr>
          <w:b/>
          <w:color w:val="D4A017"/>
          <w:sz w:val="18"/>
        </w:rPr>
        <w:t xml:space="preserve">[Note] </w:t>
      </w:r>
      <w:r>
        <w:rPr>
          <w:b/>
          <w:color w:val="5A4B1A"/>
          <w:sz w:val="18"/>
        </w:rPr>
        <w:t>Flag:</w:t>
      </w:r>
      <w:r>
        <w:rPr>
          <w:rFonts w:ascii="David" w:hAnsi="David"/>
          <w:color w:val="5A4B1A"/>
          <w:sz w:val="18"/>
        </w:rPr>
        <w:t xml:space="preserve"> specific siman in שו"ת מהר"ם מרוטנבורג not given in the shiur; verify.</w:t>
      </w:r>
    </w:p>
    <w:p>
      <w:r>
        <w:rPr>
          <w:b/>
          <w:color w:val="1E3A8A"/>
        </w:rPr>
        <w:t xml:space="preserve">18. </w:t>
      </w:r>
      <w:r>
        <w:rPr>
          <w:rFonts w:ascii="David" w:hAnsi="David"/>
          <w:b/>
          <w:color w:val="1E3A8A"/>
        </w:rPr>
        <w:t>משנה ברורה — לְחַיִּים vs. לַחַיִּים קפידא.</w:t>
      </w:r>
      <w:r>
        <w:t xml:space="preserve"> </w:t>
      </w:r>
      <w:r>
        <w:t xml:space="preserve"> </w:t>
      </w:r>
      <w:r>
        <w:rPr>
          <w:rFonts w:ascii="David" w:hAnsi="David"/>
        </w:rPr>
        <w:t>משנה ברורה תקפ"ב:ז</w:t>
      </w:r>
      <w:r>
        <w:rPr>
          <w:rFonts w:ascii="David" w:hAnsi="David"/>
        </w:rPr>
        <w:t xml:space="preserve"> discusses the חילוק between לְחַיִּים (with shva) and לַחַיִּים (with patach), warning against the latter. Sources going back to </w:t>
      </w:r>
      <w:r>
        <w:rPr>
          <w:rFonts w:ascii="David" w:hAnsi="David"/>
        </w:rPr>
        <w:t>אבודרהם</w:t>
      </w:r>
      <w:r>
        <w:rPr>
          <w:rFonts w:ascii="David" w:hAnsi="David"/>
        </w:rPr>
        <w:t xml:space="preserve"> and the מקובלים make the לֹא חַיִּים concern.</w:t>
      </w:r>
    </w:p>
    <w:p>
      <w:pPr>
        <w:ind w:left="432"/>
      </w:pPr>
      <w:r>
        <w:rPr>
          <w:b/>
          <w:color w:val="D4A017"/>
          <w:sz w:val="18"/>
        </w:rPr>
        <w:t xml:space="preserve">[Note] </w:t>
      </w:r>
      <w:r>
        <w:rPr>
          <w:b/>
          <w:color w:val="5A4B1A"/>
          <w:sz w:val="18"/>
        </w:rPr>
        <w:t>Flag:</w:t>
      </w:r>
      <w:r>
        <w:rPr>
          <w:color w:val="5A4B1A"/>
          <w:sz w:val="18"/>
        </w:rPr>
        <w:t xml:space="preserve"> exact siman/se'if of MB tzarich verification — likely 582:7 but verify.</w:t>
      </w:r>
    </w:p>
    <w:p>
      <w:r>
        <w:rPr>
          <w:b/>
          <w:color w:val="1E3A8A"/>
        </w:rPr>
        <w:t xml:space="preserve">19. </w:t>
      </w:r>
      <w:r>
        <w:rPr>
          <w:rFonts w:ascii="David" w:hAnsi="David"/>
          <w:b/>
          <w:color w:val="1E3A8A"/>
        </w:rPr>
        <w:t>ב"ח (Rav Yoel Sirkis) — kasha on the לַחַיִּים discipline from מעריב.</w:t>
      </w:r>
      <w:r>
        <w:t xml:space="preserve"> </w:t>
      </w:r>
      <w:r>
        <w:t xml:space="preserve"> The </w:t>
      </w:r>
      <w:r>
        <w:rPr>
          <w:rFonts w:ascii="David" w:hAnsi="David"/>
        </w:rPr>
        <w:t>ב"ח</w:t>
      </w:r>
      <w:r>
        <w:rPr>
          <w:rFonts w:ascii="David" w:hAnsi="David"/>
        </w:rPr>
        <w:t xml:space="preserve"> on או"ח (relevant siman on הַשְׁכִּיבֵנוּ or on the ימים נוראים additions) asks that we say </w:t>
      </w:r>
      <w:r>
        <w:rPr>
          <w:rFonts w:ascii="David" w:hAnsi="David"/>
        </w:rPr>
        <w:t>וְהַעֲמִידֵנוּ מַלְכֵּנוּ לְחַיִּים טוֹבִים</w:t>
      </w:r>
      <w:r>
        <w:rPr>
          <w:rFonts w:ascii="David" w:hAnsi="David"/>
        </w:rPr>
        <w:t xml:space="preserve"> daily and no one is medakdek. The kasha remains difficult; standard practice follows the poskim's ruling of לְחַיִּים with shva.</w:t>
      </w:r>
    </w:p>
    <w:p>
      <w:pPr>
        <w:ind w:left="432"/>
      </w:pPr>
      <w:r>
        <w:rPr>
          <w:b/>
          <w:color w:val="D4A017"/>
          <w:sz w:val="18"/>
        </w:rPr>
        <w:t xml:space="preserve">[Note] </w:t>
      </w:r>
      <w:r>
        <w:rPr>
          <w:b/>
          <w:color w:val="5A4B1A"/>
          <w:sz w:val="18"/>
        </w:rPr>
        <w:t>Flag:</w:t>
      </w:r>
      <w:r>
        <w:rPr>
          <w:rFonts w:ascii="David" w:hAnsi="David"/>
          <w:color w:val="5A4B1A"/>
          <w:sz w:val="18"/>
        </w:rPr>
        <w:t xml:space="preserve"> the exact siman in ב"ח not specified in shiur; the kasha is well-known but pin the source.</w:t>
      </w:r>
    </w:p>
    <w:p>
      <w:r>
        <w:rPr>
          <w:b/>
          <w:color w:val="1E3A8A"/>
        </w:rPr>
        <w:t xml:space="preserve">20. </w:t>
      </w:r>
      <w:r>
        <w:rPr>
          <w:rFonts w:ascii="David" w:hAnsi="David"/>
          <w:b/>
          <w:color w:val="1E3A8A"/>
        </w:rPr>
        <w:t>Halacha — forgot זָכְרֵנוּ: goes back only if not yet said שם.</w:t>
      </w:r>
      <w:r>
        <w:t xml:space="preserve"> </w:t>
      </w:r>
      <w:r>
        <w:t xml:space="preserve"> </w:t>
      </w:r>
      <w:r>
        <w:rPr>
          <w:rFonts w:ascii="David" w:hAnsi="David"/>
        </w:rPr>
        <w:t>שולחן ערוך או"ח תקפ"ב:ה</w:t>
      </w:r>
      <w:r>
        <w:rPr>
          <w:rFonts w:ascii="David" w:hAnsi="David"/>
        </w:rPr>
        <w:t xml:space="preserve">: since the addition is a תקנה of the גאונים (not from the גמרא), if one has not yet said שם ומלכות at the חתימה, he goes back; if he has, he does not return. Contrast with </w:t>
      </w:r>
      <w:r>
        <w:rPr>
          <w:rFonts w:ascii="David" w:hAnsi="David"/>
        </w:rPr>
        <w:t>הַמֶּלֶךְ הַקָּדוֹשׁ</w:t>
      </w:r>
      <w:r>
        <w:rPr>
          <w:rFonts w:ascii="David" w:hAnsi="David"/>
        </w:rPr>
        <w:t xml:space="preserve"> (SA OC 582:1), which appears in the גמרא itself and has stricter din.</w:t>
      </w:r>
    </w:p>
    <w:p>
      <w:r>
        <w:rPr>
          <w:b/>
          <w:color w:val="1E3A8A"/>
        </w:rPr>
        <w:t xml:space="preserve">21. </w:t>
      </w:r>
      <w:r>
        <w:rPr>
          <w:rFonts w:ascii="David" w:hAnsi="David"/>
          <w:b/>
          <w:color w:val="1E3A8A"/>
        </w:rPr>
        <w:t>תענית כ"ה ע"ב — רבי עקיבא and the drought תפילה.</w:t>
      </w:r>
      <w:r>
        <w:t xml:space="preserve"> </w:t>
      </w:r>
      <w:r>
        <w:rPr>
          <w:rFonts w:ascii="David" w:hAnsi="David"/>
        </w:rPr>
        <w:t xml:space="preserve"> "מעשה בר' אליעזר... ולא נענו. ירד לפניו רבי עקיבא ואמר: אבינו מלכנו חטאנו לפניך. אבינו מלכנו אין לנו מלך אלא אתה. אבינו מלכנו למענך רחם עלינו. וירדו גשמים." The gemara notes the טעם: </w:t>
      </w:r>
      <w:r>
        <w:rPr>
          <w:rFonts w:ascii="David" w:hAnsi="David"/>
        </w:rPr>
        <w:t>מפני שהוא מעביר על מדותיו</w:t>
      </w:r>
      <w:r>
        <w:rPr>
          <w:rFonts w:ascii="David" w:hAnsi="David"/>
        </w:rPr>
        <w:t>. This is the origin of אָבִינוּ מַלְכֵּנוּ.</w:t>
      </w:r>
    </w:p>
    <w:p>
      <w:r>
        <w:rPr>
          <w:b/>
          <w:color w:val="1E3A8A"/>
        </w:rPr>
        <w:t xml:space="preserve">22. </w:t>
      </w:r>
      <w:r>
        <w:rPr>
          <w:rFonts w:ascii="David" w:hAnsi="David"/>
          <w:b/>
          <w:color w:val="1E3A8A"/>
        </w:rPr>
        <w:t>רמז from ראשונים — אבינו מלכנו חטאנו לפניך = רַבִּי עֲקִיבָא יְסָדוֹ (גימטריא).</w:t>
      </w:r>
      <w:r>
        <w:t xml:space="preserve"> </w:t>
      </w:r>
      <w:r>
        <w:t xml:space="preserve"> The signature-in-gematria klal is a feature of piyutim (mechaber embeds his name); this gematria links back to the Ta'anis-25b origin.</w:t>
      </w:r>
    </w:p>
    <w:p>
      <w:pPr>
        <w:ind w:left="432"/>
      </w:pPr>
      <w:r>
        <w:rPr>
          <w:b/>
          <w:color w:val="D4A017"/>
          <w:sz w:val="18"/>
        </w:rPr>
        <w:t xml:space="preserve">[Note] </w:t>
      </w:r>
      <w:r>
        <w:rPr>
          <w:b/>
          <w:color w:val="5A4B1A"/>
          <w:sz w:val="18"/>
        </w:rPr>
        <w:t>Flag:</w:t>
      </w:r>
      <w:r>
        <w:rPr>
          <w:rFonts w:ascii="David" w:hAnsi="David"/>
          <w:color w:val="5A4B1A"/>
          <w:sz w:val="18"/>
        </w:rPr>
        <w:t xml:space="preserve"> which specific ראשון brings this gematria — Rabbi Ephrati says "the ראשונים say"; likely in an early liturgical commentary (Abudraham, Kol Bo, Machzor Vitry); verify.</w:t>
      </w:r>
    </w:p>
    <w:p>
      <w:r>
        <w:rPr>
          <w:b/>
          <w:color w:val="1E3A8A"/>
        </w:rPr>
        <w:t xml:space="preserve">23. </w:t>
      </w:r>
      <w:r>
        <w:rPr>
          <w:rFonts w:ascii="David" w:hAnsi="David"/>
          <w:b/>
          <w:color w:val="1E3A8A"/>
        </w:rPr>
        <w:t>אריז"ל — dancing on שמחת תורה with abandon as סגולה for פרנסה.</w:t>
      </w:r>
      <w:r>
        <w:t xml:space="preserve"> </w:t>
      </w:r>
      <w:r>
        <w:t xml:space="preserve"> Standard kabbalistic mesorah; cited in </w:t>
      </w:r>
      <w:r>
        <w:rPr>
          <w:rFonts w:ascii="David" w:hAnsi="David"/>
        </w:rPr>
        <w:t>של"ה הקדוש</w:t>
      </w:r>
      <w:r>
        <w:t xml:space="preserve">, </w:t>
      </w:r>
      <w:r>
        <w:rPr>
          <w:rFonts w:ascii="David" w:hAnsi="David"/>
        </w:rPr>
        <w:t>בני יששכר</w:t>
      </w:r>
      <w:r>
        <w:t xml:space="preserve"> (Tishrei), and later mussar collections.</w:t>
      </w:r>
    </w:p>
    <w:p>
      <w:pPr>
        <w:ind w:left="432"/>
      </w:pPr>
      <w:r>
        <w:rPr>
          <w:b/>
          <w:color w:val="D4A017"/>
          <w:sz w:val="18"/>
        </w:rPr>
        <w:t xml:space="preserve">[Note] </w:t>
      </w:r>
      <w:r>
        <w:rPr>
          <w:b/>
          <w:color w:val="5A4B1A"/>
          <w:sz w:val="18"/>
        </w:rPr>
        <w:t>Flag:</w:t>
      </w:r>
      <w:r>
        <w:rPr>
          <w:rFonts w:ascii="David" w:hAnsi="David"/>
          <w:color w:val="5A4B1A"/>
          <w:sz w:val="18"/>
        </w:rPr>
        <w:t xml:space="preserve"> pin the specific אריז"ל / של"ה locus; oral chassidic mesorah widely disseminated.</w:t>
      </w:r>
    </w:p>
    <w:p>
      <w:r>
        <w:rPr>
          <w:b/>
          <w:color w:val="1E3A8A"/>
        </w:rPr>
        <w:t xml:space="preserve">24. </w:t>
      </w:r>
      <w:r>
        <w:rPr>
          <w:rFonts w:ascii="David" w:hAnsi="David"/>
          <w:b/>
          <w:color w:val="1E3A8A"/>
        </w:rPr>
        <w:t>שמואל ב' ו':ט"ז — David dancing before the ארון.</w:t>
      </w:r>
      <w:r>
        <w:t xml:space="preserve"> </w:t>
      </w:r>
      <w:r>
        <w:rPr>
          <w:rFonts w:ascii="David" w:hAnsi="David"/>
        </w:rPr>
        <w:t xml:space="preserve"> "וְדָוִד מְכַרְכֵּר בְּכָל־עֹז לִפְנֵי ה'." Verse 14 has מְכַרְכֵּר, verse 16 (Michal's contempt) has מְפַזֵּז וּמְכַרְכֵּר; the paired terminology is fused in common usage.</w:t>
      </w:r>
    </w:p>
    <w:p>
      <w:pPr>
        <w:pBdr>
          <w:bottom w:val="single" w:sz="6" w:space="1" w:color="B8860B"/>
        </w:pBdr>
      </w:pPr>
    </w:p>
    <w:p>
      <w:pPr>
        <w:jc w:val="center"/>
      </w:pPr>
      <w:r>
        <w:rPr>
          <w:rFonts w:ascii="David" w:hAnsi="David"/>
          <w:i/>
          <w:color w:val="5A4B1A"/>
          <w:sz w:val="18"/>
        </w:rPr>
        <w:br/>
        <w:t xml:space="preserve">  Rabbi Ephrati · Sunday morning שיעור on תפילה · Second of three shiurim on the Rosh HaShanah מחזור · 24 Elul 5786 · Yahrzeit of the חפץ חיים</w:t>
        <w:br/>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