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The Three-Part Structure ofשמונה עשרהandברכת אבות</w:t>
      </w:r>
    </w:p>
    <w:p>
      <w:pPr>
        <w:pBdr>
          <w:bottom w:val="single" w:sz="6" w:space="1" w:color="B8860B"/>
        </w:pBdr>
      </w:pPr>
    </w:p>
    <w:p>
      <w:r>
        <w:rPr>
          <w:i/>
          <w:color w:val="3B3B3B"/>
        </w:rPr>
        <w:t xml:space="preserve">Why does </w:t>
      </w:r>
      <w:r>
        <w:rPr>
          <w:rFonts w:ascii="David" w:hAnsi="David"/>
          <w:i/>
          <w:color w:val="3B3B3B"/>
        </w:rPr>
        <w:t>שמונה עשרה</w:t>
      </w:r>
      <w:r>
        <w:rPr>
          <w:i/>
          <w:color w:val="3B3B3B"/>
        </w:rPr>
        <w:t xml:space="preserve"> open with three </w:t>
      </w:r>
      <w:r>
        <w:rPr>
          <w:rFonts w:ascii="David" w:hAnsi="David"/>
          <w:i/>
          <w:color w:val="3B3B3B"/>
        </w:rPr>
        <w:t>ברכות</w:t>
      </w:r>
      <w:r>
        <w:rPr>
          <w:i/>
          <w:color w:val="3B3B3B"/>
        </w:rPr>
        <w:t xml:space="preserve"> of </w:t>
      </w:r>
      <w:r>
        <w:rPr>
          <w:rFonts w:ascii="David" w:hAnsi="David"/>
          <w:i/>
          <w:color w:val="3B3B3B"/>
        </w:rPr>
        <w:t>שבח</w:t>
      </w:r>
      <w:r>
        <w:rPr>
          <w:i/>
          <w:color w:val="3B3B3B"/>
        </w:rPr>
        <w:t xml:space="preserve">, then twelve of </w:t>
      </w:r>
      <w:r>
        <w:rPr>
          <w:rFonts w:ascii="David" w:hAnsi="David"/>
          <w:i/>
          <w:color w:val="3B3B3B"/>
        </w:rPr>
        <w:t>בקשה</w:t>
      </w:r>
      <w:r>
        <w:rPr>
          <w:i/>
          <w:color w:val="3B3B3B"/>
        </w:rPr>
        <w:t xml:space="preserve">, then three of </w:t>
      </w:r>
      <w:r>
        <w:rPr>
          <w:rFonts w:ascii="David" w:hAnsi="David"/>
          <w:i/>
          <w:color w:val="3B3B3B"/>
        </w:rPr>
        <w:t>הודאה</w:t>
      </w:r>
      <w:r>
        <w:rPr>
          <w:i/>
          <w:color w:val="3B3B3B"/>
        </w:rPr>
        <w:t xml:space="preserve">? Two answers — the </w:t>
      </w:r>
      <w:r>
        <w:rPr>
          <w:rFonts w:ascii="David" w:hAnsi="David"/>
          <w:i/>
          <w:color w:val="3B3B3B"/>
        </w:rPr>
        <w:t>מבי"ט</w:t>
      </w:r>
      <w:r>
        <w:rPr>
          <w:i/>
          <w:color w:val="3B3B3B"/>
        </w:rPr>
        <w:t xml:space="preserve">'s and the </w:t>
      </w:r>
      <w:r>
        <w:rPr>
          <w:rFonts w:ascii="David" w:hAnsi="David"/>
          <w:i/>
          <w:color w:val="3B3B3B"/>
        </w:rPr>
        <w:t>תרומת הדשן</w:t>
      </w:r>
      <w:r>
        <w:rPr>
          <w:i/>
          <w:color w:val="3B3B3B"/>
        </w:rPr>
        <w:t xml:space="preserve">'s. The strange figure of </w:t>
      </w:r>
      <w:r>
        <w:rPr>
          <w:rFonts w:ascii="David" w:hAnsi="David"/>
          <w:i/>
          <w:color w:val="3B3B3B"/>
        </w:rPr>
        <w:t>נחום המדי</w:t>
      </w:r>
      <w:r>
        <w:rPr>
          <w:i/>
          <w:color w:val="3B3B3B"/>
        </w:rPr>
        <w:t xml:space="preserve"> whose </w:t>
      </w:r>
      <w:r>
        <w:rPr>
          <w:rFonts w:ascii="David" w:hAnsi="David"/>
          <w:i/>
          <w:color w:val="3B3B3B"/>
        </w:rPr>
        <w:t>תורה</w:t>
      </w:r>
      <w:r>
        <w:rPr>
          <w:i/>
          <w:color w:val="3B3B3B"/>
        </w:rPr>
        <w:t xml:space="preserve"> was almost universally rejected. The opening of </w:t>
      </w:r>
      <w:r>
        <w:rPr>
          <w:rFonts w:ascii="David" w:hAnsi="David"/>
          <w:i/>
          <w:color w:val="3B3B3B"/>
        </w:rPr>
        <w:t>ברכת אבות</w:t>
      </w:r>
      <w:r>
        <w:rPr>
          <w:i/>
          <w:color w:val="3B3B3B"/>
        </w:rPr>
        <w:t xml:space="preserve">: why we say </w:t>
      </w:r>
      <w:r>
        <w:rPr>
          <w:rFonts w:ascii="David" w:hAnsi="David"/>
          <w:i/>
          <w:color w:val="3B3B3B"/>
        </w:rPr>
        <w:t>אלקי אברהם, אלקי יצחק, אלקי יעקב</w:t>
      </w:r>
      <w:r>
        <w:rPr>
          <w:i/>
          <w:color w:val="3B3B3B"/>
        </w:rPr>
        <w:t xml:space="preserve"> separately rather than together — including the </w:t>
      </w:r>
      <w:r>
        <w:rPr>
          <w:rFonts w:ascii="David" w:hAnsi="David"/>
          <w:i/>
          <w:color w:val="3B3B3B"/>
        </w:rPr>
        <w:t>גמרא</w:t>
      </w:r>
      <w:r>
        <w:rPr>
          <w:i/>
          <w:color w:val="3B3B3B"/>
        </w:rPr>
        <w:t xml:space="preserve"> in </w:t>
      </w:r>
      <w:r>
        <w:rPr>
          <w:rFonts w:ascii="David" w:hAnsi="David"/>
          <w:i/>
          <w:color w:val="3B3B3B"/>
        </w:rPr>
        <w:t>בבא מציעא</w:t>
      </w:r>
      <w:r>
        <w:rPr>
          <w:i/>
          <w:color w:val="3B3B3B"/>
        </w:rPr>
        <w:t xml:space="preserve"> on </w:t>
      </w:r>
      <w:r>
        <w:rPr>
          <w:rFonts w:ascii="David" w:hAnsi="David"/>
          <w:i/>
          <w:color w:val="3B3B3B"/>
        </w:rPr>
        <w:t>אליהו הנביא</w:t>
      </w:r>
      <w:r>
        <w:rPr>
          <w:i/>
          <w:color w:val="3B3B3B"/>
        </w:rPr>
        <w:t xml:space="preserve">, </w:t>
      </w:r>
      <w:r>
        <w:rPr>
          <w:rFonts w:ascii="David" w:hAnsi="David"/>
          <w:i/>
          <w:color w:val="3B3B3B"/>
        </w:rPr>
        <w:t>רבי חייא</w:t>
      </w:r>
      <w:r>
        <w:rPr>
          <w:i/>
          <w:color w:val="3B3B3B"/>
        </w:rPr>
        <w:t xml:space="preserve"> and his sons, and the </w:t>
      </w:r>
      <w:r>
        <w:rPr>
          <w:rFonts w:ascii="David" w:hAnsi="David"/>
          <w:i/>
          <w:color w:val="3B3B3B"/>
        </w:rPr>
        <w:t>פולסא דנורא</w:t>
      </w:r>
      <w:r>
        <w:rPr>
          <w:i/>
          <w:color w:val="3B3B3B"/>
        </w:rPr>
        <w:t>.</w:t>
      </w:r>
    </w:p>
    <w:p>
      <w:r>
        <w:rPr>
          <w:rFonts w:ascii="David" w:hAnsi="David"/>
          <w:b/>
          <w:color w:val="1E3A8A"/>
          <w:sz w:val="26"/>
        </w:rPr>
        <w:t>I. THE ROUTINE OFתפילה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rFonts w:ascii="David" w:hAnsi="David"/>
        </w:rPr>
        <w:t>גמרא</w:t>
      </w:r>
      <w:r>
        <w:t xml:space="preserve"> in </w:t>
      </w:r>
      <w:r>
        <w:rPr>
          <w:rFonts w:ascii="David" w:hAnsi="David"/>
        </w:rPr>
        <w:t>ברכות</w:t>
      </w:r>
      <w:r>
        <w:t xml:space="preserve"> tells us something extraordinary: even </w:t>
      </w:r>
      <w:r>
        <w:rPr>
          <w:rFonts w:ascii="David" w:hAnsi="David"/>
        </w:rPr>
        <w:t>הקדוש ברוך הוא</w:t>
      </w:r>
      <w:r>
        <w:t xml:space="preserve"> Himself, so to speak, davens. </w:t>
      </w:r>
      <w:r>
        <w:rPr>
          <w:rFonts w:ascii="David" w:hAnsi="David"/>
        </w:rPr>
        <w:t>תפילה</w:t>
      </w:r>
      <w:r>
        <w:t xml:space="preserve"> is a </w:t>
      </w:r>
      <w:r>
        <w:rPr>
          <w:rFonts w:ascii="David" w:hAnsi="David"/>
        </w:rPr>
        <w:t>רום מעלה</w:t>
      </w:r>
      <w:r>
        <w:t xml:space="preserve"> in the </w:t>
      </w:r>
      <w:r>
        <w:rPr>
          <w:rFonts w:ascii="David" w:hAnsi="David"/>
        </w:rPr>
        <w:t>עולם</w:t>
      </w:r>
      <w:r>
        <w:t xml:space="preserve">. Yet because we daven three times a day, the act becomes routine and we are </w:t>
      </w:r>
      <w:r>
        <w:rPr>
          <w:rFonts w:ascii="David" w:hAnsi="David"/>
        </w:rPr>
        <w:t>מזלזל</w:t>
      </w:r>
      <w:r>
        <w:t xml:space="preserve"> in it. </w:t>
      </w:r>
      <w:r>
        <w:rPr>
          <w:i/>
        </w:rPr>
        <w:t>The Rebbe's note</w:t>
      </w:r>
      <w:r>
        <w:t xml:space="preserve">: someone once davened so quickly the Rebbe could not keep up, and afterwards justified it as a </w:t>
      </w:r>
      <w:r>
        <w:rPr>
          <w:rFonts w:ascii="David" w:hAnsi="David"/>
        </w:rPr>
        <w:t>סגולה</w:t>
      </w:r>
      <w:r>
        <w:t xml:space="preserve"> for </w:t>
      </w:r>
      <w:r>
        <w:rPr>
          <w:rFonts w:ascii="David" w:hAnsi="David"/>
        </w:rPr>
        <w:t>הקדוש ברוך הוא</w:t>
      </w:r>
      <w:r>
        <w:t xml:space="preserve"> to accept the </w:t>
      </w:r>
      <w:r>
        <w:rPr>
          <w:rFonts w:ascii="David" w:hAnsi="David"/>
        </w:rPr>
        <w:t>תפילה</w:t>
      </w:r>
      <w:r>
        <w:t xml:space="preserve"> </w:t>
      </w:r>
      <w:r>
        <w:rPr>
          <w:rFonts w:ascii="David" w:hAnsi="David"/>
        </w:rPr>
        <w:t>ברצון</w:t>
      </w:r>
      <w:r>
        <w:t xml:space="preserve">, citing </w:t>
      </w:r>
      <w:r>
        <w:rPr>
          <w:i/>
        </w:rPr>
        <w:t>"</w:t>
      </w:r>
      <w:r>
        <w:rPr>
          <w:rFonts w:ascii="David" w:hAnsi="David"/>
          <w:i/>
        </w:rPr>
        <w:t>במהרה</w:t>
      </w:r>
      <w:r>
        <w:rPr>
          <w:i/>
        </w:rPr>
        <w:t>"</w:t>
      </w:r>
      <w:r>
        <w:t xml:space="preserve">. That is not the </w:t>
      </w:r>
      <w:r>
        <w:rPr>
          <w:rFonts w:ascii="David" w:hAnsi="David"/>
        </w:rPr>
        <w:t>פשט</w:t>
      </w:r>
      <w:r>
        <w:t>. Don't use it as an excuse.</w:t>
      </w:r>
    </w:p>
    <w:p>
      <w:r>
        <w:rPr>
          <w:rFonts w:ascii="David" w:hAnsi="David"/>
          <w:b/>
          <w:color w:val="1E3A8A"/>
          <w:sz w:val="26"/>
        </w:rPr>
        <w:t>II. THE THREE-PART STRUCTURE OFשמונה עשרה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rFonts w:ascii="David" w:hAnsi="David"/>
        </w:rPr>
        <w:t>גמרא</w:t>
      </w:r>
      <w:r>
        <w:t xml:space="preserve"> in </w:t>
      </w:r>
      <w:r>
        <w:rPr>
          <w:rFonts w:ascii="David" w:hAnsi="David"/>
        </w:rPr>
        <w:t>ברכות ל"ד ע"א</w:t>
      </w:r>
      <w:r>
        <w:rPr>
          <w:color w:val="B8860B"/>
          <w:sz w:val="16"/>
          <w:vertAlign w:val="superscript"/>
        </w:rPr>
        <w:t>[1]</w:t>
      </w:r>
      <w:r>
        <w:t xml:space="preserve"> teaches a foundational </w:t>
      </w:r>
      <w:r>
        <w:rPr>
          <w:rFonts w:ascii="David" w:hAnsi="David"/>
        </w:rPr>
        <w:t>כלל</w:t>
      </w:r>
      <w:r>
        <w:t xml:space="preserve">: a person may not request personal </w:t>
      </w:r>
      <w:r>
        <w:rPr>
          <w:rFonts w:ascii="David" w:hAnsi="David"/>
        </w:rPr>
        <w:t>בקשות</w:t>
      </w:r>
      <w:r>
        <w:t xml:space="preserve"> in the first three </w:t>
      </w:r>
      <w:r>
        <w:rPr>
          <w:rFonts w:ascii="David" w:hAnsi="David"/>
        </w:rPr>
        <w:t>ברכות</w:t>
      </w:r>
      <w:r>
        <w:t xml:space="preserve"> nor in the last three </w:t>
      </w:r>
      <w:r>
        <w:rPr>
          <w:rFonts w:ascii="David" w:hAnsi="David"/>
        </w:rPr>
        <w:t>ברכות</w:t>
      </w:r>
      <w:r>
        <w:t>. The architecture follows naturally:</w:t>
      </w:r>
    </w:p>
    <w:p>
      <w:r>
        <w:rPr>
          <w:rFonts w:ascii="David" w:hAnsi="David"/>
          <w:i/>
          <w:color w:val="B8860B"/>
          <w:sz w:val="24"/>
        </w:rPr>
        <w:t>משה רבינוas the Model</w:t>
      </w:r>
    </w:p>
    <w:p>
      <w:r>
        <w:t xml:space="preserve">The </w:t>
      </w:r>
      <w:r>
        <w:rPr>
          <w:rFonts w:ascii="David" w:hAnsi="David"/>
        </w:rPr>
        <w:t>גמרא</w:t>
      </w:r>
      <w:r>
        <w:t xml:space="preserve"> grounds this in </w:t>
      </w:r>
      <w:r>
        <w:rPr>
          <w:rFonts w:ascii="David" w:hAnsi="David"/>
        </w:rPr>
        <w:t>משה רבינו</w:t>
      </w:r>
      <w:r>
        <w:t xml:space="preserve"> at the opening of </w:t>
      </w:r>
      <w:r>
        <w:rPr>
          <w:rFonts w:ascii="David" w:hAnsi="David"/>
        </w:rPr>
        <w:t>פרשת ואתחנן</w:t>
      </w:r>
      <w:r>
        <w:t>.</w:t>
      </w:r>
      <w:r>
        <w:rPr>
          <w:color w:val="B8860B"/>
          <w:sz w:val="16"/>
          <w:vertAlign w:val="superscript"/>
        </w:rPr>
        <w:t>[2]</w:t>
      </w:r>
      <w:r>
        <w:t xml:space="preserve"> </w:t>
      </w:r>
      <w:r>
        <w:rPr>
          <w:rFonts w:ascii="David" w:hAnsi="David"/>
        </w:rPr>
        <w:t>משה</w:t>
      </w:r>
      <w:r>
        <w:t xml:space="preserve"> wished to enter </w:t>
      </w:r>
      <w:r>
        <w:rPr>
          <w:rFonts w:ascii="David" w:hAnsi="David"/>
        </w:rPr>
        <w:t>ארץ ישראל</w:t>
      </w:r>
      <w:r>
        <w:t>. He did not begin by asking. He opened with praise: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ה' אלקים, אתה החילות להראות את עבדך את גדלך ואת ידך החזקה, אשר מי א-ל בשמים ובארץ אשר יעשה כמעשיך וכגבורותיך.</w:t>
      </w:r>
      <w:r>
        <w:rPr>
          <w:i/>
        </w:rPr>
        <w:br/>
      </w:r>
    </w:p>
    <w:p>
      <w:r>
        <w:rPr>
          <w:i/>
        </w:rPr>
        <w:t>Then</w:t>
      </w:r>
      <w:r>
        <w:t xml:space="preserve"> he requested entry to </w:t>
      </w:r>
      <w:r>
        <w:rPr>
          <w:rFonts w:ascii="David" w:hAnsi="David"/>
        </w:rPr>
        <w:t>ארץ ישראל</w:t>
      </w:r>
      <w:r>
        <w:t xml:space="preserve">: </w:t>
      </w:r>
      <w:r>
        <w:rPr>
          <w:i/>
        </w:rPr>
        <w:t>"</w:t>
      </w:r>
      <w:r>
        <w:rPr>
          <w:rFonts w:ascii="David" w:hAnsi="David"/>
          <w:i/>
        </w:rPr>
        <w:t>אעברה נא</w:t>
      </w:r>
      <w:r>
        <w:rPr>
          <w:i/>
        </w:rPr>
        <w:t>."</w:t>
      </w:r>
      <w:r>
        <w:t xml:space="preserve"> First </w:t>
      </w:r>
      <w:r>
        <w:rPr>
          <w:rFonts w:ascii="David" w:hAnsi="David"/>
        </w:rPr>
        <w:t>שבח</w:t>
      </w:r>
      <w:r>
        <w:t xml:space="preserve">, then </w:t>
      </w:r>
      <w:r>
        <w:rPr>
          <w:rFonts w:ascii="David" w:hAnsi="David"/>
        </w:rPr>
        <w:t>בקשה</w:t>
      </w:r>
      <w:r>
        <w:t xml:space="preserve">. </w:t>
      </w:r>
      <w:r>
        <w:rPr>
          <w:rFonts w:ascii="David" w:hAnsi="David"/>
        </w:rPr>
        <w:t>משל למה הדבר דומה</w:t>
      </w:r>
      <w:r>
        <w:t xml:space="preserve"> — </w:t>
      </w:r>
      <w:r>
        <w:rPr>
          <w:rFonts w:ascii="David" w:hAnsi="David"/>
        </w:rPr>
        <w:t>רבי חנינא</w:t>
      </w:r>
      <w:r>
        <w:t xml:space="preserve">'s formulation in the </w:t>
      </w:r>
      <w:r>
        <w:rPr>
          <w:rFonts w:ascii="David" w:hAnsi="David"/>
        </w:rPr>
        <w:t>גמרא</w:t>
      </w:r>
      <w:r>
        <w:t>: a servant approaching his master.</w:t>
      </w:r>
    </w:p>
    <w:p>
      <w:r>
        <w:rPr>
          <w:rFonts w:ascii="David" w:hAnsi="David"/>
          <w:b/>
          <w:color w:val="1E3A8A"/>
          <w:sz w:val="26"/>
        </w:rPr>
        <w:t>III. IS THIS NOTחנופה?</w:t>
      </w:r>
    </w:p>
    <w:p>
      <w:pPr>
        <w:pBdr>
          <w:bottom w:val="single" w:sz="6" w:space="1" w:color="B8860B"/>
        </w:pBdr>
      </w:pPr>
    </w:p>
    <w:p>
      <w:r>
        <w:t xml:space="preserve">This raises a sharp question. If you need a favor — a hundred dollars or a million — you do not open by saying, </w:t>
      </w:r>
      <w:r>
        <w:rPr>
          <w:i/>
        </w:rPr>
        <w:t xml:space="preserve">"You are amazing, you are a great </w:t>
      </w:r>
      <w:r>
        <w:rPr>
          <w:rFonts w:ascii="David" w:hAnsi="David"/>
          <w:i/>
        </w:rPr>
        <w:t>בעל צדקה</w:t>
      </w:r>
      <w:r>
        <w:rPr>
          <w:i/>
        </w:rPr>
        <w:t xml:space="preserve">, you have such fine </w:t>
      </w:r>
      <w:r>
        <w:rPr>
          <w:rFonts w:ascii="David" w:hAnsi="David"/>
          <w:i/>
        </w:rPr>
        <w:t>מידות</w:t>
      </w:r>
      <w:r>
        <w:rPr>
          <w:i/>
        </w:rPr>
        <w:t>!"</w:t>
      </w:r>
      <w:r>
        <w:t xml:space="preserve"> and then ask for the money. That is </w:t>
      </w:r>
      <w:r>
        <w:rPr>
          <w:rFonts w:ascii="David" w:hAnsi="David"/>
        </w:rPr>
        <w:t>חנופה</w:t>
      </w:r>
      <w:r>
        <w:t xml:space="preserve">. So how can we do precisely this with </w:t>
      </w:r>
      <w:r>
        <w:rPr>
          <w:rFonts w:ascii="David" w:hAnsi="David"/>
        </w:rPr>
        <w:t>הקדוש ברוך הוא</w:t>
      </w:r>
      <w:r>
        <w:t>?</w:t>
      </w:r>
    </w:p>
    <w:p>
      <w:r>
        <w:t xml:space="preserve">Two </w:t>
      </w:r>
      <w:r>
        <w:rPr>
          <w:rFonts w:ascii="David" w:hAnsi="David"/>
        </w:rPr>
        <w:t>תירוצים</w:t>
      </w:r>
      <w:r>
        <w:t>, complementary rather than competing.</w:t>
      </w:r>
    </w:p>
    <w:p>
      <w:r>
        <w:rPr>
          <w:rFonts w:ascii="David" w:hAnsi="David"/>
          <w:i/>
          <w:color w:val="B8860B"/>
          <w:sz w:val="24"/>
        </w:rPr>
        <w:t>Theמבי"ט—בית אלקים</w:t>
      </w:r>
    </w:p>
    <w:p>
      <w:r>
        <w:t xml:space="preserve">The </w:t>
      </w:r>
      <w:r>
        <w:rPr>
          <w:rFonts w:ascii="David" w:hAnsi="David"/>
          <w:b/>
        </w:rPr>
        <w:t>מבי"ט</w:t>
      </w:r>
      <w:r>
        <w:t xml:space="preserve"> — </w:t>
      </w:r>
      <w:r>
        <w:rPr>
          <w:rFonts w:ascii="David" w:hAnsi="David"/>
        </w:rPr>
        <w:t>רבי משה בן יוסף טראני</w:t>
      </w:r>
      <w:r>
        <w:t xml:space="preserve"> — addresses this in </w:t>
      </w:r>
      <w:r>
        <w:rPr>
          <w:rFonts w:ascii="David" w:hAnsi="David"/>
        </w:rPr>
        <w:t>שער התפילה</w:t>
      </w:r>
      <w:r>
        <w:t xml:space="preserve"> of </w:t>
      </w:r>
      <w:r>
        <w:rPr>
          <w:rFonts w:ascii="David" w:hAnsi="David"/>
        </w:rPr>
        <w:t>ספר בית אלקים</w:t>
      </w:r>
      <w:r>
        <w:t>.</w:t>
      </w:r>
      <w:r>
        <w:rPr>
          <w:color w:val="B8860B"/>
          <w:sz w:val="16"/>
          <w:vertAlign w:val="superscript"/>
        </w:rPr>
        <w:t>[3]</w:t>
      </w:r>
    </w:p>
    <w:p>
      <w:pPr>
        <w:ind w:left="288"/>
      </w:pPr>
      <w:r>
        <w:rPr>
          <w:i/>
        </w:rPr>
        <w:t xml:space="preserve">The </w:t>
      </w:r>
      <w:r>
        <w:rPr>
          <w:rFonts w:ascii="David" w:hAnsi="David"/>
          <w:i/>
        </w:rPr>
        <w:t>מבי"ט</w:t>
      </w:r>
      <w:r>
        <w:rPr>
          <w:i/>
        </w:rPr>
        <w:t xml:space="preserve"> was one of the great </w:t>
      </w:r>
      <w:r>
        <w:rPr>
          <w:rFonts w:ascii="David" w:hAnsi="David"/>
          <w:i/>
        </w:rPr>
        <w:t>גאוני צפת</w:t>
      </w:r>
      <w:r>
        <w:rPr>
          <w:i/>
        </w:rPr>
        <w:t xml:space="preserve"> in the golden age — contemporary with the </w:t>
      </w:r>
      <w:r>
        <w:rPr>
          <w:rFonts w:ascii="David" w:hAnsi="David"/>
          <w:i/>
        </w:rPr>
        <w:t>אלשיך הקדוש</w:t>
      </w:r>
      <w:r>
        <w:rPr>
          <w:i/>
        </w:rPr>
        <w:t xml:space="preserve">, the </w:t>
      </w:r>
      <w:r>
        <w:rPr>
          <w:rFonts w:ascii="David" w:hAnsi="David"/>
          <w:i/>
        </w:rPr>
        <w:t>בית יוסף</w:t>
      </w:r>
      <w:r>
        <w:rPr>
          <w:i/>
        </w:rPr>
        <w:t xml:space="preserve">, the </w:t>
      </w:r>
      <w:r>
        <w:rPr>
          <w:rFonts w:ascii="David" w:hAnsi="David"/>
          <w:i/>
        </w:rPr>
        <w:t>רמ"ק</w:t>
      </w:r>
      <w:r>
        <w:rPr>
          <w:i/>
        </w:rPr>
        <w:t xml:space="preserve">, and the </w:t>
      </w:r>
      <w:r>
        <w:rPr>
          <w:rFonts w:ascii="David" w:hAnsi="David"/>
          <w:i/>
        </w:rPr>
        <w:t>בעל החרדים</w:t>
      </w:r>
      <w:r>
        <w:rPr>
          <w:i/>
        </w:rPr>
        <w:t xml:space="preserve">. Born in Salonika, he came to </w:t>
      </w:r>
      <w:r>
        <w:rPr>
          <w:rFonts w:ascii="David" w:hAnsi="David"/>
          <w:i/>
        </w:rPr>
        <w:t>ארץ ישראל</w:t>
      </w:r>
      <w:r>
        <w:rPr>
          <w:i/>
        </w:rPr>
        <w:t xml:space="preserve"> at eighteen, learned by the </w:t>
      </w:r>
      <w:r>
        <w:rPr>
          <w:rFonts w:ascii="David" w:hAnsi="David"/>
          <w:i/>
        </w:rPr>
        <w:t>מהריט"ץ</w:t>
      </w:r>
      <w:r>
        <w:rPr>
          <w:i/>
        </w:rPr>
        <w:t xml:space="preserve"> (the </w:t>
      </w:r>
      <w:r>
        <w:rPr>
          <w:rFonts w:ascii="David" w:hAnsi="David"/>
          <w:i/>
        </w:rPr>
        <w:t>בית יוסף</w:t>
      </w:r>
      <w:r>
        <w:rPr>
          <w:i/>
        </w:rPr>
        <w:t xml:space="preserve">'s </w:t>
      </w:r>
      <w:r>
        <w:rPr>
          <w:rFonts w:ascii="David" w:hAnsi="David"/>
          <w:i/>
        </w:rPr>
        <w:t>רבי</w:t>
      </w:r>
      <w:r>
        <w:rPr>
          <w:i/>
        </w:rPr>
        <w:t xml:space="preserve">), studied </w:t>
      </w:r>
      <w:r>
        <w:rPr>
          <w:rFonts w:ascii="David" w:hAnsi="David"/>
          <w:i/>
        </w:rPr>
        <w:t>בחברותא</w:t>
      </w:r>
      <w:r>
        <w:rPr>
          <w:i/>
        </w:rPr>
        <w:t xml:space="preserve"> with the </w:t>
      </w:r>
      <w:r>
        <w:rPr>
          <w:rFonts w:ascii="David" w:hAnsi="David"/>
          <w:i/>
        </w:rPr>
        <w:t>בית יוסף</w:t>
      </w:r>
      <w:r>
        <w:rPr>
          <w:i/>
        </w:rPr>
        <w:t xml:space="preserve"> himself, and received </w:t>
      </w:r>
      <w:r>
        <w:rPr>
          <w:rFonts w:ascii="David" w:hAnsi="David"/>
          <w:i/>
        </w:rPr>
        <w:t>סמיכה</w:t>
      </w:r>
      <w:r>
        <w:rPr>
          <w:i/>
        </w:rPr>
        <w:t xml:space="preserve"> at twenty-five. He served as </w:t>
      </w:r>
      <w:r>
        <w:rPr>
          <w:rFonts w:ascii="David" w:hAnsi="David"/>
          <w:i/>
        </w:rPr>
        <w:t>דיין</w:t>
      </w:r>
      <w:r>
        <w:rPr>
          <w:i/>
        </w:rPr>
        <w:t xml:space="preserve"> in the </w:t>
      </w:r>
      <w:r>
        <w:rPr>
          <w:rFonts w:ascii="David" w:hAnsi="David"/>
          <w:i/>
        </w:rPr>
        <w:t>בית דין</w:t>
      </w:r>
      <w:r>
        <w:rPr>
          <w:i/>
        </w:rPr>
        <w:t xml:space="preserve"> of the </w:t>
      </w:r>
      <w:r>
        <w:rPr>
          <w:rFonts w:ascii="David" w:hAnsi="David"/>
          <w:i/>
        </w:rPr>
        <w:t>בית יוסף</w:t>
      </w:r>
      <w:r>
        <w:rPr>
          <w:i/>
        </w:rPr>
        <w:t xml:space="preserve"> for </w:t>
      </w:r>
      <w:r>
        <w:rPr>
          <w:b/>
          <w:i/>
        </w:rPr>
        <w:t>fifty-four years</w:t>
      </w:r>
      <w:r>
        <w:rPr>
          <w:i/>
        </w:rPr>
        <w:t xml:space="preserve"> — and his </w:t>
      </w:r>
      <w:r>
        <w:rPr>
          <w:rFonts w:ascii="David" w:hAnsi="David"/>
          <w:i/>
        </w:rPr>
        <w:t>מצבה</w:t>
      </w:r>
      <w:r>
        <w:rPr>
          <w:i/>
        </w:rPr>
        <w:t xml:space="preserve"> in </w:t>
      </w:r>
      <w:r>
        <w:rPr>
          <w:rFonts w:ascii="David" w:hAnsi="David"/>
          <w:i/>
        </w:rPr>
        <w:t>צפת</w:t>
      </w:r>
      <w:r>
        <w:rPr>
          <w:i/>
        </w:rPr>
        <w:t xml:space="preserve"> records exactly that: </w:t>
      </w:r>
      <w:r>
        <w:rPr>
          <w:rFonts w:ascii="David" w:hAnsi="David"/>
          <w:i/>
        </w:rPr>
        <w:t>נ"ד</w:t>
      </w:r>
      <w:r>
        <w:rPr>
          <w:i/>
        </w:rPr>
        <w:t xml:space="preserve"> years, the </w:t>
      </w:r>
      <w:r>
        <w:rPr>
          <w:rFonts w:ascii="David" w:hAnsi="David"/>
          <w:i/>
        </w:rPr>
        <w:t>גימטריא</w:t>
      </w:r>
      <w:r>
        <w:rPr>
          <w:i/>
        </w:rPr>
        <w:t xml:space="preserve"> of </w:t>
      </w:r>
      <w:r>
        <w:rPr>
          <w:rFonts w:ascii="David" w:hAnsi="David"/>
          <w:i/>
        </w:rPr>
        <w:t>דיין</w:t>
      </w:r>
      <w:r>
        <w:rPr>
          <w:i/>
        </w:rPr>
        <w:t xml:space="preserve"> itself.</w:t>
      </w:r>
    </w:p>
    <w:p>
      <w:r>
        <w:t xml:space="preserve">The </w:t>
      </w:r>
      <w:r>
        <w:rPr>
          <w:rFonts w:ascii="David" w:hAnsi="David"/>
        </w:rPr>
        <w:t>מבי"ט</w:t>
      </w:r>
      <w:r>
        <w:t xml:space="preserve">'s answer: there is a fundamental difference between flattering a human being and praising </w:t>
      </w:r>
      <w:r>
        <w:rPr>
          <w:rFonts w:ascii="David" w:hAnsi="David"/>
        </w:rPr>
        <w:t>הקדוש ברוך הוא</w:t>
      </w:r>
      <w:r>
        <w:t xml:space="preserve">. Human flattery is for the </w:t>
      </w:r>
      <w:r>
        <w:rPr>
          <w:i/>
        </w:rPr>
        <w:t>recipient</w:t>
      </w:r>
      <w:r>
        <w:t xml:space="preserve">'s benefit — and that is </w:t>
      </w:r>
      <w:r>
        <w:rPr>
          <w:rFonts w:ascii="David" w:hAnsi="David"/>
        </w:rPr>
        <w:t>חנופה</w:t>
      </w:r>
      <w:r>
        <w:t xml:space="preserve">. </w:t>
      </w:r>
      <w:r>
        <w:rPr>
          <w:rFonts w:ascii="David" w:hAnsi="David"/>
        </w:rPr>
        <w:t>הקדוש ברוך הוא</w:t>
      </w:r>
      <w:r>
        <w:t xml:space="preserve"> needs nothing; He is </w:t>
      </w:r>
      <w:r>
        <w:rPr>
          <w:rFonts w:ascii="David" w:hAnsi="David"/>
        </w:rPr>
        <w:t>שלם בכל מיני שלמות ולא חסר שום דבר</w:t>
      </w:r>
      <w:r>
        <w:t>.</w:t>
      </w:r>
    </w:p>
    <w:p>
      <w:r>
        <w:rPr>
          <w:b/>
        </w:rPr>
        <w:t>So who needs the praise?</w:t>
      </w:r>
      <w:r>
        <w:t xml:space="preserve"> </w:t>
      </w:r>
      <w:r>
        <w:rPr>
          <w:i/>
        </w:rPr>
        <w:t>You do.</w:t>
      </w:r>
      <w:r>
        <w:t xml:space="preserve"> Before asking </w:t>
      </w:r>
      <w:r>
        <w:rPr>
          <w:rFonts w:ascii="David" w:hAnsi="David"/>
        </w:rPr>
        <w:t>הקדוש ברוך הוא</w:t>
      </w:r>
      <w:r>
        <w:t xml:space="preserve"> for </w:t>
      </w:r>
      <w:r>
        <w:rPr>
          <w:rFonts w:ascii="David" w:hAnsi="David"/>
        </w:rPr>
        <w:t>פרנסה</w:t>
      </w:r>
      <w:r>
        <w:t xml:space="preserve">, </w:t>
      </w:r>
      <w:r>
        <w:rPr>
          <w:rFonts w:ascii="David" w:hAnsi="David"/>
        </w:rPr>
        <w:t>רפואה</w:t>
      </w:r>
      <w:r>
        <w:t xml:space="preserve">, </w:t>
      </w:r>
      <w:r>
        <w:rPr>
          <w:rFonts w:ascii="David" w:hAnsi="David"/>
        </w:rPr>
        <w:t>שידוכים</w:t>
      </w:r>
      <w:r>
        <w:t xml:space="preserve">, you need to internalize that He alone can grant any of it. The first three </w:t>
      </w:r>
      <w:r>
        <w:rPr>
          <w:rFonts w:ascii="David" w:hAnsi="David"/>
        </w:rPr>
        <w:t>ברכות</w:t>
      </w:r>
      <w:r>
        <w:t xml:space="preserve"> work on </w:t>
      </w:r>
      <w:r>
        <w:rPr>
          <w:i/>
        </w:rPr>
        <w:t>you</w:t>
      </w:r>
      <w:r>
        <w:t xml:space="preserve">: they install in you the recognition that He is </w:t>
      </w:r>
      <w:r>
        <w:rPr>
          <w:rFonts w:ascii="David" w:hAnsi="David"/>
        </w:rPr>
        <w:t>מחיה מתים</w:t>
      </w:r>
      <w:r>
        <w:t xml:space="preserve">, that He is </w:t>
      </w:r>
      <w:r>
        <w:rPr>
          <w:rFonts w:ascii="David" w:hAnsi="David"/>
        </w:rPr>
        <w:t>הקדוש</w:t>
      </w:r>
      <w:r>
        <w:t xml:space="preserve">, that everything depends on Him. Only after that recognition is the </w:t>
      </w:r>
      <w:r>
        <w:rPr>
          <w:rFonts w:ascii="David" w:hAnsi="David"/>
        </w:rPr>
        <w:t>בקשה</w:t>
      </w:r>
      <w:r>
        <w:t xml:space="preserve"> properly framed.</w:t>
      </w:r>
    </w:p>
    <w:p>
      <w:r>
        <w:rPr>
          <w:rFonts w:ascii="David" w:hAnsi="David"/>
          <w:i/>
          <w:color w:val="B8860B"/>
          <w:sz w:val="24"/>
        </w:rPr>
        <w:t>Theתרומת הדשן— Bypassing theמקטרגים</w:t>
      </w:r>
    </w:p>
    <w:p>
      <w:r>
        <w:t xml:space="preserve">The </w:t>
      </w:r>
      <w:r>
        <w:rPr>
          <w:rFonts w:ascii="David" w:hAnsi="David"/>
          <w:b/>
        </w:rPr>
        <w:t>תרומת הדשן</w:t>
      </w:r>
      <w:r>
        <w:t xml:space="preserve">, in his </w:t>
      </w:r>
      <w:r>
        <w:rPr>
          <w:rFonts w:ascii="David" w:hAnsi="David"/>
        </w:rPr>
        <w:t>הקדמה</w:t>
      </w:r>
      <w:r>
        <w:t>, gives a kabbalistic answer.</w:t>
      </w:r>
      <w:r>
        <w:rPr>
          <w:color w:val="B8860B"/>
          <w:sz w:val="16"/>
          <w:vertAlign w:val="superscript"/>
        </w:rPr>
        <w:t>[4]</w:t>
      </w:r>
    </w:p>
    <w:p>
      <w:pPr>
        <w:ind w:left="288"/>
      </w:pPr>
      <w:r>
        <w:rPr>
          <w:i/>
        </w:rPr>
        <w:t xml:space="preserve">The </w:t>
      </w:r>
      <w:r>
        <w:rPr>
          <w:rFonts w:ascii="David" w:hAnsi="David"/>
          <w:i/>
        </w:rPr>
        <w:t>תרומת הדשן</w:t>
      </w:r>
      <w:r>
        <w:rPr>
          <w:i/>
        </w:rPr>
        <w:t xml:space="preserve"> here is </w:t>
      </w:r>
      <w:r>
        <w:rPr>
          <w:rFonts w:ascii="David" w:hAnsi="David"/>
          <w:b/>
          <w:i/>
        </w:rPr>
        <w:t>רבי יהודה לייב הלר</w:t>
      </w:r>
      <w:r>
        <w:rPr>
          <w:i/>
        </w:rPr>
        <w:t xml:space="preserve">'s elder brother — author of the </w:t>
      </w:r>
      <w:r>
        <w:rPr>
          <w:rFonts w:ascii="David" w:hAnsi="David"/>
          <w:i/>
        </w:rPr>
        <w:t>קצות החושן</w:t>
      </w:r>
      <w:r>
        <w:rPr>
          <w:i/>
        </w:rPr>
        <w:t>'s companion volume of the same name.</w:t>
      </w:r>
      <w:r>
        <w:rPr>
          <w:color w:val="B8860B"/>
          <w:sz w:val="16"/>
          <w:vertAlign w:val="superscript"/>
        </w:rPr>
        <w:t>[5]</w:t>
      </w:r>
      <w:r>
        <w:rPr>
          <w:i/>
        </w:rPr>
        <w:t xml:space="preserve"> (The two brothers, both </w:t>
      </w:r>
      <w:r>
        <w:rPr>
          <w:rFonts w:ascii="David" w:hAnsi="David"/>
          <w:i/>
        </w:rPr>
        <w:t>גאוני עולם</w:t>
      </w:r>
      <w:r>
        <w:rPr>
          <w:i/>
        </w:rPr>
        <w:t xml:space="preserve"> in the 1700s.) The well-known story: when these </w:t>
      </w:r>
      <w:r>
        <w:rPr>
          <w:rFonts w:ascii="David" w:hAnsi="David"/>
          <w:i/>
        </w:rPr>
        <w:t>ספרים</w:t>
      </w:r>
      <w:r>
        <w:rPr>
          <w:i/>
        </w:rPr>
        <w:t xml:space="preserve"> were brought to the </w:t>
      </w:r>
      <w:r>
        <w:rPr>
          <w:rFonts w:ascii="David" w:hAnsi="David"/>
          <w:i/>
        </w:rPr>
        <w:t>גר"א</w:t>
      </w:r>
      <w:r>
        <w:rPr>
          <w:i/>
        </w:rPr>
        <w:t xml:space="preserve"> for </w:t>
      </w:r>
      <w:r>
        <w:rPr>
          <w:rFonts w:ascii="David" w:hAnsi="David"/>
          <w:i/>
        </w:rPr>
        <w:t>הסכמה</w:t>
      </w:r>
      <w:r>
        <w:rPr>
          <w:i/>
        </w:rPr>
        <w:t xml:space="preserve">, he initially refused — </w:t>
      </w:r>
      <w:r>
        <w:rPr>
          <w:i/>
        </w:rPr>
        <w:t xml:space="preserve">"This is </w:t>
      </w:r>
      <w:r>
        <w:rPr>
          <w:rFonts w:ascii="David" w:hAnsi="David"/>
          <w:i/>
        </w:rPr>
        <w:t>פלפול</w:t>
      </w:r>
      <w:r>
        <w:rPr>
          <w:i/>
        </w:rPr>
        <w:t>; you are wasting paper."</w:t>
      </w:r>
      <w:r>
        <w:rPr>
          <w:i/>
        </w:rPr>
        <w:t xml:space="preserve"> The </w:t>
      </w:r>
      <w:r>
        <w:rPr>
          <w:rFonts w:ascii="David" w:hAnsi="David"/>
          <w:i/>
        </w:rPr>
        <w:t>תלמידים</w:t>
      </w:r>
      <w:r>
        <w:rPr>
          <w:i/>
        </w:rPr>
        <w:t xml:space="preserve"> left the </w:t>
      </w:r>
      <w:r>
        <w:rPr>
          <w:rFonts w:ascii="David" w:hAnsi="David"/>
          <w:i/>
        </w:rPr>
        <w:t>ספר</w:t>
      </w:r>
      <w:r>
        <w:rPr>
          <w:i/>
        </w:rPr>
        <w:t xml:space="preserve"> with him and went home. He stayed up the entire night, learning page by page, and concluded: </w:t>
      </w:r>
      <w:r>
        <w:rPr>
          <w:i/>
        </w:rPr>
        <w:t xml:space="preserve">"This is the future of </w:t>
      </w:r>
      <w:r>
        <w:rPr>
          <w:rFonts w:ascii="David" w:hAnsi="David"/>
          <w:i/>
        </w:rPr>
        <w:t>כלל ישראל</w:t>
      </w:r>
      <w:r>
        <w:rPr>
          <w:i/>
        </w:rPr>
        <w:t xml:space="preserve">; this </w:t>
      </w:r>
      <w:r>
        <w:rPr>
          <w:rFonts w:ascii="David" w:hAnsi="David"/>
          <w:i/>
        </w:rPr>
        <w:t>תורה</w:t>
      </w:r>
      <w:r>
        <w:rPr>
          <w:i/>
        </w:rPr>
        <w:t xml:space="preserve"> belongs in every </w:t>
      </w:r>
      <w:r>
        <w:rPr>
          <w:rFonts w:ascii="David" w:hAnsi="David"/>
          <w:i/>
        </w:rPr>
        <w:t>בית מדרש</w:t>
      </w:r>
      <w:r>
        <w:rPr>
          <w:i/>
        </w:rPr>
        <w:t>."</w:t>
      </w:r>
      <w:r>
        <w:rPr>
          <w:i/>
        </w:rPr>
        <w:t xml:space="preserve"> By morning, he sent for them and gave the most beautiful </w:t>
      </w:r>
      <w:r>
        <w:rPr>
          <w:rFonts w:ascii="David" w:hAnsi="David"/>
          <w:i/>
        </w:rPr>
        <w:t>הסכמה</w:t>
      </w:r>
      <w:r>
        <w:rPr>
          <w:i/>
        </w:rPr>
        <w:t xml:space="preserve">. </w:t>
      </w:r>
      <w:r>
        <w:rPr>
          <w:b/>
          <w:i/>
        </w:rPr>
        <w:t xml:space="preserve">The Rebbe's </w:t>
      </w:r>
      <w:r>
        <w:rPr>
          <w:rFonts w:ascii="David" w:hAnsi="David"/>
          <w:b/>
          <w:i/>
        </w:rPr>
        <w:t>דרך</w:t>
      </w:r>
      <w:r>
        <w:rPr>
          <w:i/>
        </w:rPr>
        <w:t xml:space="preserve">: read the </w:t>
      </w:r>
      <w:r>
        <w:rPr>
          <w:rFonts w:ascii="David" w:hAnsi="David"/>
          <w:i/>
        </w:rPr>
        <w:t>הקדמות</w:t>
      </w:r>
      <w:r>
        <w:rPr>
          <w:i/>
        </w:rPr>
        <w:t xml:space="preserve"> of every </w:t>
      </w:r>
      <w:r>
        <w:rPr>
          <w:rFonts w:ascii="David" w:hAnsi="David"/>
          <w:i/>
        </w:rPr>
        <w:t>ספר</w:t>
      </w:r>
      <w:r>
        <w:rPr>
          <w:i/>
        </w:rPr>
        <w:t xml:space="preserve"> — that is where the </w:t>
      </w:r>
      <w:r>
        <w:rPr>
          <w:rFonts w:ascii="David" w:hAnsi="David"/>
          <w:i/>
        </w:rPr>
        <w:t>חיבה</w:t>
      </w:r>
      <w:r>
        <w:rPr>
          <w:i/>
        </w:rPr>
        <w:t xml:space="preserve">, the era, and the personality of the </w:t>
      </w:r>
      <w:r>
        <w:rPr>
          <w:rFonts w:ascii="David" w:hAnsi="David"/>
          <w:i/>
        </w:rPr>
        <w:t>מחבר</w:t>
      </w:r>
      <w:r>
        <w:rPr>
          <w:i/>
        </w:rPr>
        <w:t xml:space="preserve"> live. </w:t>
      </w:r>
      <w:r>
        <w:rPr>
          <w:i/>
        </w:rPr>
        <w:t xml:space="preserve">Sometimes all I know is the </w:t>
      </w:r>
      <w:r>
        <w:rPr>
          <w:rFonts w:ascii="David" w:hAnsi="David"/>
          <w:i/>
        </w:rPr>
        <w:t>הקדמה</w:t>
      </w:r>
      <w:r>
        <w:rPr>
          <w:i/>
        </w:rPr>
        <w:t>.</w:t>
      </w:r>
    </w:p>
    <w:p>
      <w:r>
        <w:t xml:space="preserve">The </w:t>
      </w:r>
      <w:r>
        <w:rPr>
          <w:rFonts w:ascii="David" w:hAnsi="David"/>
        </w:rPr>
        <w:t>תרומת הדשן</w:t>
      </w:r>
      <w:r>
        <w:t xml:space="preserve"> writes: do you really think you can stand before </w:t>
      </w:r>
      <w:r>
        <w:rPr>
          <w:rFonts w:ascii="David" w:hAnsi="David"/>
        </w:rPr>
        <w:t>הקדוש ברוך הוא</w:t>
      </w:r>
      <w:r>
        <w:t xml:space="preserve"> and ask for whatever you wish? What about the </w:t>
      </w:r>
      <w:r>
        <w:rPr>
          <w:rFonts w:ascii="David" w:hAnsi="David"/>
        </w:rPr>
        <w:t>לשון הרע</w:t>
      </w:r>
      <w:r>
        <w:t xml:space="preserve"> spoken on the way to shul? The </w:t>
      </w:r>
      <w:r>
        <w:rPr>
          <w:rFonts w:ascii="David" w:hAnsi="David"/>
        </w:rPr>
        <w:t>עברה</w:t>
      </w:r>
      <w:r>
        <w:t xml:space="preserve"> from last night for which no </w:t>
      </w:r>
      <w:r>
        <w:rPr>
          <w:rFonts w:ascii="David" w:hAnsi="David"/>
        </w:rPr>
        <w:t>תשובה</w:t>
      </w:r>
      <w:r>
        <w:t xml:space="preserve"> was done? Each </w:t>
      </w:r>
      <w:r>
        <w:rPr>
          <w:rFonts w:ascii="David" w:hAnsi="David"/>
        </w:rPr>
        <w:t>עברה</w:t>
      </w:r>
      <w:r>
        <w:t xml:space="preserve"> generates a </w:t>
      </w:r>
      <w:r>
        <w:rPr>
          <w:rFonts w:ascii="David" w:hAnsi="David"/>
        </w:rPr>
        <w:t>מקטרג</w:t>
      </w:r>
      <w:r>
        <w:t xml:space="preserve"> and a </w:t>
      </w:r>
      <w:r>
        <w:rPr>
          <w:rFonts w:ascii="David" w:hAnsi="David"/>
        </w:rPr>
        <w:t>משטין</w:t>
      </w:r>
      <w:r>
        <w:t xml:space="preserve"> — spiritual prosecutors who block the </w:t>
      </w:r>
      <w:r>
        <w:rPr>
          <w:rFonts w:ascii="David" w:hAnsi="David"/>
        </w:rPr>
        <w:t>תפילה</w:t>
      </w:r>
      <w:r>
        <w:t xml:space="preserve"> from ascending. This is not metaphor; the </w:t>
      </w:r>
      <w:r>
        <w:rPr>
          <w:rFonts w:ascii="David" w:hAnsi="David"/>
        </w:rPr>
        <w:t>זוהר הקדוש</w:t>
      </w:r>
      <w:r>
        <w:rPr>
          <w:color w:val="B8860B"/>
          <w:sz w:val="16"/>
          <w:vertAlign w:val="superscript"/>
        </w:rPr>
        <w:t>[6]</w:t>
      </w:r>
      <w:r>
        <w:t xml:space="preserve"> describes it directly. We daven, but the </w:t>
      </w:r>
      <w:r>
        <w:rPr>
          <w:rFonts w:ascii="David" w:hAnsi="David"/>
        </w:rPr>
        <w:t>תפילה</w:t>
      </w:r>
      <w:r>
        <w:t xml:space="preserve"> never lifts off.</w:t>
      </w:r>
    </w:p>
    <w:p>
      <w:pPr>
        <w:ind w:left="288"/>
      </w:pPr>
      <w:r>
        <w:rPr>
          <w:i/>
        </w:rPr>
        <w:t xml:space="preserve">The </w:t>
      </w:r>
      <w:r>
        <w:rPr>
          <w:b/>
          <w:i/>
        </w:rPr>
        <w:t>Baal Shem Tov</w:t>
      </w:r>
      <w:r>
        <w:rPr>
          <w:i/>
        </w:rPr>
        <w:t xml:space="preserve"> once entered a </w:t>
      </w:r>
      <w:r>
        <w:rPr>
          <w:rFonts w:ascii="David" w:hAnsi="David"/>
          <w:i/>
        </w:rPr>
        <w:t>בית מדרש</w:t>
      </w:r>
      <w:r>
        <w:rPr>
          <w:i/>
        </w:rPr>
        <w:t xml:space="preserve"> — said to be in Apt — and remarked: </w:t>
      </w:r>
      <w:r>
        <w:rPr>
          <w:i/>
        </w:rPr>
        <w:t xml:space="preserve">"This </w:t>
      </w:r>
      <w:r>
        <w:rPr>
          <w:rFonts w:ascii="David" w:hAnsi="David"/>
          <w:i/>
        </w:rPr>
        <w:t>בית מדרש</w:t>
      </w:r>
      <w:r>
        <w:rPr>
          <w:i/>
        </w:rPr>
        <w:t xml:space="preserve"> is full of </w:t>
      </w:r>
      <w:r>
        <w:rPr>
          <w:rFonts w:ascii="David" w:hAnsi="David"/>
          <w:i/>
        </w:rPr>
        <w:t>תפילה</w:t>
      </w:r>
      <w:r>
        <w:rPr>
          <w:i/>
        </w:rPr>
        <w:t>!"</w:t>
      </w:r>
      <w:r>
        <w:rPr>
          <w:i/>
        </w:rPr>
        <w:t xml:space="preserve"> The </w:t>
      </w:r>
      <w:r>
        <w:rPr>
          <w:rFonts w:ascii="David" w:hAnsi="David"/>
          <w:i/>
        </w:rPr>
        <w:t>קהילה</w:t>
      </w:r>
      <w:r>
        <w:rPr>
          <w:i/>
        </w:rPr>
        <w:t xml:space="preserve"> swelled with pride. The Baal Shem Tov clarified: </w:t>
      </w:r>
      <w:r>
        <w:rPr>
          <w:i/>
        </w:rPr>
        <w:t xml:space="preserve">"I mean the </w:t>
      </w:r>
      <w:r>
        <w:rPr>
          <w:rFonts w:ascii="David" w:hAnsi="David"/>
          <w:i/>
        </w:rPr>
        <w:t>תפילה</w:t>
      </w:r>
      <w:r>
        <w:rPr>
          <w:i/>
        </w:rPr>
        <w:t xml:space="preserve"> never left. It is full of </w:t>
      </w:r>
      <w:r>
        <w:rPr>
          <w:rFonts w:ascii="David" w:hAnsi="David"/>
          <w:i/>
        </w:rPr>
        <w:t>תפילה</w:t>
      </w:r>
      <w:r>
        <w:rPr>
          <w:i/>
        </w:rPr>
        <w:t xml:space="preserve"> because it is full of talking during davening, full of </w:t>
      </w:r>
      <w:r>
        <w:rPr>
          <w:rFonts w:ascii="David" w:hAnsi="David"/>
          <w:i/>
        </w:rPr>
        <w:t>עברות</w:t>
      </w:r>
      <w:r>
        <w:rPr>
          <w:i/>
        </w:rPr>
        <w:t xml:space="preserve">; the </w:t>
      </w:r>
      <w:r>
        <w:rPr>
          <w:rFonts w:ascii="David" w:hAnsi="David"/>
          <w:i/>
        </w:rPr>
        <w:t>תפילות</w:t>
      </w:r>
      <w:r>
        <w:rPr>
          <w:i/>
        </w:rPr>
        <w:t xml:space="preserve"> have no wings, so they remain in the room."</w:t>
      </w:r>
    </w:p>
    <w:p>
      <w:r>
        <w:t xml:space="preserve">The mechanism of the first three </w:t>
      </w:r>
      <w:r>
        <w:rPr>
          <w:rFonts w:ascii="David" w:hAnsi="David"/>
        </w:rPr>
        <w:t>ברכות</w:t>
      </w:r>
      <w:r>
        <w:t xml:space="preserve">, on this reading, is to bypass the </w:t>
      </w:r>
      <w:r>
        <w:rPr>
          <w:rFonts w:ascii="David" w:hAnsi="David"/>
        </w:rPr>
        <w:t>מקטרגים</w:t>
      </w:r>
      <w:r>
        <w:t xml:space="preserve">. Praise of </w:t>
      </w:r>
      <w:r>
        <w:rPr>
          <w:rFonts w:ascii="David" w:hAnsi="David"/>
        </w:rPr>
        <w:t>הקדוש ברוך הוא</w:t>
      </w:r>
      <w:r>
        <w:t xml:space="preserve"> opens a pathway the prosecutors cannot block. Once that door is open, the personal </w:t>
      </w:r>
      <w:r>
        <w:rPr>
          <w:rFonts w:ascii="David" w:hAnsi="David"/>
        </w:rPr>
        <w:t>בקשות</w:t>
      </w:r>
      <w:r>
        <w:t xml:space="preserve"> can ascend behind it.</w:t>
      </w:r>
    </w:p>
    <w:p>
      <w:r>
        <w:rPr>
          <w:rFonts w:ascii="David" w:hAnsi="David"/>
          <w:b/>
          <w:color w:val="1E3A8A"/>
          <w:sz w:val="26"/>
        </w:rPr>
        <w:t>IV.נחום המדי— A RARE REJECTEDתנא</w:t>
      </w:r>
    </w:p>
    <w:p>
      <w:pPr>
        <w:pBdr>
          <w:bottom w:val="single" w:sz="6" w:space="1" w:color="B8860B"/>
        </w:pBdr>
      </w:pPr>
    </w:p>
    <w:p>
      <w:r>
        <w:t xml:space="preserve">One of the foundational sources for this very </w:t>
      </w:r>
      <w:r>
        <w:rPr>
          <w:rFonts w:ascii="David" w:hAnsi="David"/>
        </w:rPr>
        <w:t>סדר</w:t>
      </w:r>
      <w:r>
        <w:t xml:space="preserve"> — first praise, then request — comes from a strange figure in </w:t>
      </w:r>
      <w:r>
        <w:rPr>
          <w:rFonts w:ascii="David" w:hAnsi="David"/>
        </w:rPr>
        <w:t>ש"ס</w:t>
      </w:r>
      <w:r>
        <w:t xml:space="preserve">: </w:t>
      </w:r>
      <w:r>
        <w:rPr>
          <w:rFonts w:ascii="David" w:hAnsi="David"/>
          <w:b/>
        </w:rPr>
        <w:t>נחום המדי</w:t>
      </w:r>
      <w:r>
        <w:t xml:space="preserve">, a </w:t>
      </w:r>
      <w:r>
        <w:rPr>
          <w:rFonts w:ascii="David" w:hAnsi="David"/>
        </w:rPr>
        <w:t>תנא</w:t>
      </w:r>
      <w:r>
        <w:t xml:space="preserve"> from </w:t>
      </w:r>
      <w:r>
        <w:rPr>
          <w:rFonts w:ascii="David" w:hAnsi="David"/>
        </w:rPr>
        <w:t>מודי</w:t>
      </w:r>
      <w:r>
        <w:t xml:space="preserve"> (a </w:t>
      </w:r>
      <w:r>
        <w:rPr>
          <w:rFonts w:ascii="David" w:hAnsi="David"/>
        </w:rPr>
        <w:t>מלוכה</w:t>
      </w:r>
      <w:r>
        <w:t xml:space="preserve"> near the border of Turkey and Iraq).</w:t>
      </w:r>
    </w:p>
    <w:p>
      <w:r>
        <w:t xml:space="preserve">Almost everything </w:t>
      </w:r>
      <w:r>
        <w:rPr>
          <w:rFonts w:ascii="David" w:hAnsi="David"/>
        </w:rPr>
        <w:t>נחום המדי</w:t>
      </w:r>
      <w:r>
        <w:t xml:space="preserve"> said was rejected.</w:t>
      </w:r>
      <w:r>
        <w:rPr>
          <w:color w:val="B8860B"/>
          <w:sz w:val="16"/>
          <w:vertAlign w:val="superscript"/>
        </w:rPr>
        <w:t>[7]</w:t>
      </w:r>
      <w:r>
        <w:t xml:space="preserve"> The </w:t>
      </w:r>
      <w:r>
        <w:rPr>
          <w:rFonts w:ascii="David" w:hAnsi="David"/>
        </w:rPr>
        <w:t>גמרא</w:t>
      </w:r>
      <w:r>
        <w:t xml:space="preserve"> uses an unprecedented </w:t>
      </w:r>
      <w:r>
        <w:rPr>
          <w:rFonts w:ascii="David" w:hAnsi="David"/>
        </w:rPr>
        <w:t>לשון</w:t>
      </w:r>
      <w:r>
        <w:t xml:space="preserve">: </w:t>
      </w:r>
      <w:r>
        <w:rPr>
          <w:i/>
        </w:rPr>
        <w:t>"</w:t>
      </w:r>
      <w:r>
        <w:rPr>
          <w:rFonts w:ascii="David" w:hAnsi="David"/>
          <w:i/>
        </w:rPr>
        <w:t>תשתכח דברי מעיה</w:t>
      </w:r>
      <w:r>
        <w:rPr>
          <w:i/>
        </w:rPr>
        <w:t>"</w:t>
      </w:r>
      <w:r>
        <w:t xml:space="preserve"> — let his words be forgotten. Once </w:t>
      </w:r>
      <w:r>
        <w:rPr>
          <w:rFonts w:ascii="David" w:hAnsi="David"/>
          <w:b/>
        </w:rPr>
        <w:t>בר מניומי</w:t>
      </w:r>
      <w:r>
        <w:t xml:space="preserve"> (also from </w:t>
      </w:r>
      <w:r>
        <w:rPr>
          <w:rFonts w:ascii="David" w:hAnsi="David"/>
        </w:rPr>
        <w:t>מודי</w:t>
      </w:r>
      <w:r>
        <w:t xml:space="preserve">) approached </w:t>
      </w:r>
      <w:r>
        <w:rPr>
          <w:rFonts w:ascii="David" w:hAnsi="David"/>
        </w:rPr>
        <w:t>אביי</w:t>
      </w:r>
      <w:r>
        <w:t xml:space="preserve"> with a complaint: </w:t>
      </w:r>
      <w:r>
        <w:rPr>
          <w:i/>
        </w:rPr>
        <w:t xml:space="preserve">"It is not fair! No one from </w:t>
      </w:r>
      <w:r>
        <w:rPr>
          <w:rFonts w:ascii="David" w:hAnsi="David"/>
          <w:i/>
        </w:rPr>
        <w:t>מודי</w:t>
      </w:r>
      <w:r>
        <w:rPr>
          <w:i/>
        </w:rPr>
        <w:t xml:space="preserve"> gets credit; </w:t>
      </w:r>
      <w:r>
        <w:rPr>
          <w:rFonts w:ascii="David" w:hAnsi="David"/>
          <w:i/>
        </w:rPr>
        <w:t>נחום המדי</w:t>
      </w:r>
      <w:r>
        <w:rPr>
          <w:i/>
        </w:rPr>
        <w:t xml:space="preserve"> is a great </w:t>
      </w:r>
      <w:r>
        <w:rPr>
          <w:rFonts w:ascii="David" w:hAnsi="David"/>
          <w:i/>
        </w:rPr>
        <w:t>תנא</w:t>
      </w:r>
      <w:r>
        <w:rPr>
          <w:i/>
        </w:rPr>
        <w:t xml:space="preserve"> and you reject everything he says."</w:t>
      </w:r>
      <w:r>
        <w:t xml:space="preserve"> </w:t>
      </w:r>
      <w:r>
        <w:rPr>
          <w:rFonts w:ascii="David" w:hAnsi="David"/>
        </w:rPr>
        <w:t>אביי</w:t>
      </w:r>
      <w:r>
        <w:t xml:space="preserve"> answered that there was one </w:t>
      </w:r>
      <w:r>
        <w:rPr>
          <w:rFonts w:ascii="David" w:hAnsi="David"/>
        </w:rPr>
        <w:t>הלכה</w:t>
      </w:r>
      <w:r>
        <w:t xml:space="preserve"> they did </w:t>
      </w:r>
      <w:r>
        <w:rPr>
          <w:rFonts w:ascii="David" w:hAnsi="David"/>
        </w:rPr>
        <w:t>פסקען</w:t>
      </w:r>
      <w:r>
        <w:t xml:space="preserve"> like him; </w:t>
      </w:r>
      <w:r>
        <w:rPr>
          <w:rFonts w:ascii="David" w:hAnsi="David"/>
        </w:rPr>
        <w:t>בר מניומי</w:t>
      </w:r>
      <w:r>
        <w:t xml:space="preserve"> retorted: </w:t>
      </w:r>
      <w:r>
        <w:rPr>
          <w:i/>
        </w:rPr>
        <w:t>"That's only because others say it too."</w:t>
      </w:r>
    </w:p>
    <w:p>
      <w:r>
        <w:t xml:space="preserve">This reflects an old tension between </w:t>
      </w:r>
      <w:r>
        <w:rPr>
          <w:rFonts w:ascii="David" w:hAnsi="David"/>
        </w:rPr>
        <w:t>חכמי ארץ ישראל</w:t>
      </w:r>
      <w:r>
        <w:t xml:space="preserve"> and </w:t>
      </w:r>
      <w:r>
        <w:rPr>
          <w:rFonts w:ascii="David" w:hAnsi="David"/>
        </w:rPr>
        <w:t>חכמי חוץ לארץ</w:t>
      </w:r>
      <w:r>
        <w:t xml:space="preserve">. It is also the kind of treatment otherwise reserved, in </w:t>
      </w:r>
      <w:r>
        <w:rPr>
          <w:rFonts w:ascii="David" w:hAnsi="David"/>
        </w:rPr>
        <w:t>ש"ס</w:t>
      </w:r>
      <w:r>
        <w:t xml:space="preserve">, for </w:t>
      </w:r>
      <w:r>
        <w:rPr>
          <w:rFonts w:ascii="David" w:hAnsi="David"/>
        </w:rPr>
        <w:t>רבי אליעזר בן הורקנוס</w:t>
      </w:r>
      <w:r>
        <w:t xml:space="preserve"> after the </w:t>
      </w:r>
      <w:r>
        <w:rPr>
          <w:rFonts w:ascii="David" w:hAnsi="David"/>
        </w:rPr>
        <w:t>תנור של עכנאי</w:t>
      </w:r>
      <w:r>
        <w:t>.</w:t>
      </w:r>
      <w:r>
        <w:rPr>
          <w:color w:val="B8860B"/>
          <w:sz w:val="16"/>
          <w:vertAlign w:val="superscript"/>
        </w:rPr>
        <w:t>[8]</w:t>
      </w:r>
    </w:p>
    <w:p>
      <w:r>
        <w:rPr>
          <w:rFonts w:ascii="David" w:hAnsi="David"/>
          <w:i/>
          <w:color w:val="B8860B"/>
          <w:sz w:val="24"/>
        </w:rPr>
        <w:t>נחום איש גמזו?</w:t>
      </w:r>
    </w:p>
    <w:p>
      <w:r>
        <w:t xml:space="preserve">Some </w:t>
      </w:r>
      <w:r>
        <w:rPr>
          <w:rFonts w:ascii="David" w:hAnsi="David"/>
        </w:rPr>
        <w:t>ספרים</w:t>
      </w:r>
      <w:r>
        <w:t xml:space="preserve"> identify </w:t>
      </w:r>
      <w:r>
        <w:rPr>
          <w:rFonts w:ascii="David" w:hAnsi="David"/>
        </w:rPr>
        <w:t>נחום המדי</w:t>
      </w:r>
      <w:r>
        <w:t xml:space="preserve"> with </w:t>
      </w:r>
      <w:r>
        <w:rPr>
          <w:rFonts w:ascii="David" w:hAnsi="David"/>
          <w:b/>
        </w:rPr>
        <w:t>נחום איש גמזו</w:t>
      </w:r>
      <w:r>
        <w:t xml:space="preserve"> — the </w:t>
      </w:r>
      <w:r>
        <w:rPr>
          <w:rFonts w:ascii="David" w:hAnsi="David"/>
        </w:rPr>
        <w:t>רבי</w:t>
      </w:r>
      <w:r>
        <w:t xml:space="preserve"> of </w:t>
      </w:r>
      <w:r>
        <w:rPr>
          <w:rFonts w:ascii="David" w:hAnsi="David"/>
        </w:rPr>
        <w:t>רבי עקיבא</w:t>
      </w:r>
      <w:r>
        <w:t xml:space="preserve">, who said about everything that happened to him </w:t>
      </w:r>
      <w:r>
        <w:rPr>
          <w:i/>
        </w:rPr>
        <w:t>"</w:t>
      </w:r>
      <w:r>
        <w:rPr>
          <w:rFonts w:ascii="David" w:hAnsi="David"/>
          <w:i/>
        </w:rPr>
        <w:t>גם זו לטובה</w:t>
      </w:r>
      <w:r>
        <w:rPr>
          <w:i/>
        </w:rPr>
        <w:t>"</w:t>
      </w:r>
      <w:r>
        <w:t xml:space="preserve">. </w:t>
      </w:r>
      <w:r>
        <w:rPr>
          <w:rFonts w:ascii="David" w:hAnsi="David"/>
        </w:rPr>
        <w:t>רבי חננאל</w:t>
      </w:r>
      <w:r>
        <w:t xml:space="preserve"> and others in </w:t>
      </w:r>
      <w:r>
        <w:rPr>
          <w:rFonts w:ascii="David" w:hAnsi="David"/>
        </w:rPr>
        <w:t>תענית</w:t>
      </w:r>
      <w:r>
        <w:rPr>
          <w:color w:val="B8860B"/>
          <w:sz w:val="16"/>
          <w:vertAlign w:val="superscript"/>
        </w:rPr>
        <w:t>[9]</w:t>
      </w:r>
      <w:r>
        <w:t xml:space="preserve"> note that there is also a city in </w:t>
      </w:r>
      <w:r>
        <w:rPr>
          <w:rFonts w:ascii="David" w:hAnsi="David"/>
        </w:rPr>
        <w:t>ארץ ישראל</w:t>
      </w:r>
      <w:r>
        <w:t xml:space="preserve"> called </w:t>
      </w:r>
      <w:r>
        <w:rPr>
          <w:rFonts w:ascii="David" w:hAnsi="David"/>
        </w:rPr>
        <w:t>גמזו</w:t>
      </w:r>
      <w:r>
        <w:t xml:space="preserve"> (correctly pronounced </w:t>
      </w:r>
      <w:r>
        <w:rPr>
          <w:i/>
        </w:rPr>
        <w:t>Gimzo</w:t>
      </w:r>
      <w:r>
        <w:t xml:space="preserve">; today there is a </w:t>
      </w:r>
      <w:r>
        <w:rPr>
          <w:rFonts w:ascii="David" w:hAnsi="David"/>
        </w:rPr>
        <w:t>מושב גמזו</w:t>
      </w:r>
      <w:r>
        <w:t xml:space="preserve"> between </w:t>
      </w:r>
      <w:r>
        <w:rPr>
          <w:rFonts w:ascii="David" w:hAnsi="David"/>
        </w:rPr>
        <w:t>לוד</w:t>
      </w:r>
      <w:r>
        <w:t xml:space="preserve"> and </w:t>
      </w:r>
      <w:r>
        <w:rPr>
          <w:rFonts w:ascii="David" w:hAnsi="David"/>
        </w:rPr>
        <w:t>מודיעין</w:t>
      </w:r>
      <w:r>
        <w:t xml:space="preserve">) — so the title may be both: </w:t>
      </w:r>
      <w:r>
        <w:rPr>
          <w:i/>
        </w:rPr>
        <w:t xml:space="preserve">"the man from </w:t>
      </w:r>
      <w:r>
        <w:rPr>
          <w:rFonts w:ascii="David" w:hAnsi="David"/>
          <w:i/>
        </w:rPr>
        <w:t>גמזו</w:t>
      </w:r>
      <w:r>
        <w:rPr>
          <w:i/>
        </w:rPr>
        <w:t>"</w:t>
      </w:r>
      <w:r>
        <w:t xml:space="preserve"> and </w:t>
      </w:r>
      <w:r>
        <w:rPr>
          <w:i/>
        </w:rPr>
        <w:t>"</w:t>
      </w:r>
      <w:r>
        <w:rPr>
          <w:rFonts w:ascii="David" w:hAnsi="David"/>
          <w:i/>
        </w:rPr>
        <w:t>גם זו לטובה</w:t>
      </w:r>
      <w:r>
        <w:rPr>
          <w:i/>
        </w:rPr>
        <w:t>"</w:t>
      </w:r>
      <w:r>
        <w:t xml:space="preserve">. </w:t>
      </w:r>
      <w:r>
        <w:rPr>
          <w:i/>
        </w:rPr>
        <w:t>The Rebbe</w:t>
      </w:r>
      <w:r>
        <w:t xml:space="preserve">: if the identification holds, picture </w:t>
      </w:r>
      <w:r>
        <w:rPr>
          <w:rFonts w:ascii="David" w:hAnsi="David"/>
        </w:rPr>
        <w:t>נחום המדי</w:t>
      </w:r>
      <w:r>
        <w:t xml:space="preserve"> hearing the </w:t>
      </w:r>
      <w:r>
        <w:rPr>
          <w:rFonts w:ascii="David" w:hAnsi="David"/>
        </w:rPr>
        <w:t>חכמים</w:t>
      </w:r>
      <w:r>
        <w:t xml:space="preserve"> reject everything he says and replying </w:t>
      </w:r>
      <w:r>
        <w:rPr>
          <w:i/>
        </w:rPr>
        <w:t>"</w:t>
      </w:r>
      <w:r>
        <w:rPr>
          <w:rFonts w:ascii="David" w:hAnsi="David"/>
          <w:i/>
        </w:rPr>
        <w:t>גם זו לטובה</w:t>
      </w:r>
      <w:r>
        <w:rPr>
          <w:i/>
        </w:rPr>
        <w:t>"</w:t>
      </w:r>
      <w:r>
        <w:t xml:space="preserve">. We are glad he had that </w:t>
      </w:r>
      <w:r>
        <w:rPr>
          <w:rFonts w:ascii="David" w:hAnsi="David"/>
        </w:rPr>
        <w:t>מדה</w:t>
      </w:r>
      <w:r>
        <w:t>.</w:t>
      </w:r>
    </w:p>
    <w:p>
      <w:r>
        <w:rPr>
          <w:rFonts w:ascii="David" w:hAnsi="David"/>
          <w:i/>
          <w:color w:val="B8860B"/>
          <w:sz w:val="24"/>
        </w:rPr>
        <w:t>The OneהלכהWeפסקעןLike Him</w:t>
      </w:r>
    </w:p>
    <w:p>
      <w:r>
        <w:t xml:space="preserve">The one </w:t>
      </w:r>
      <w:r>
        <w:rPr>
          <w:rFonts w:ascii="David" w:hAnsi="David"/>
        </w:rPr>
        <w:t>הלכה</w:t>
      </w:r>
      <w:r>
        <w:t xml:space="preserve"> the </w:t>
      </w:r>
      <w:r>
        <w:rPr>
          <w:rFonts w:ascii="David" w:hAnsi="David"/>
        </w:rPr>
        <w:t>גמרא</w:t>
      </w:r>
      <w:r>
        <w:t xml:space="preserve"> retains from </w:t>
      </w:r>
      <w:r>
        <w:rPr>
          <w:rFonts w:ascii="David" w:hAnsi="David"/>
        </w:rPr>
        <w:t>נחום המדי</w:t>
      </w:r>
      <w:r>
        <w:t xml:space="preserve"> is precisely the structural rule we have been discussing: </w:t>
      </w:r>
      <w:r>
        <w:rPr>
          <w:b/>
        </w:rPr>
        <w:t xml:space="preserve">first </w:t>
      </w:r>
      <w:r>
        <w:rPr>
          <w:rFonts w:ascii="David" w:hAnsi="David"/>
          <w:b/>
        </w:rPr>
        <w:t>שבח</w:t>
      </w:r>
      <w:r>
        <w:rPr>
          <w:b/>
        </w:rPr>
        <w:t xml:space="preserve">, then </w:t>
      </w:r>
      <w:r>
        <w:rPr>
          <w:rFonts w:ascii="David" w:hAnsi="David"/>
          <w:b/>
        </w:rPr>
        <w:t>בקשה</w:t>
      </w:r>
      <w:r>
        <w:t xml:space="preserve">. There was a </w:t>
      </w:r>
      <w:r>
        <w:rPr>
          <w:rFonts w:ascii="David" w:hAnsi="David"/>
        </w:rPr>
        <w:t>מחלוקת תנאים</w:t>
      </w:r>
      <w:r>
        <w:t xml:space="preserve">; some held the opposite. The </w:t>
      </w:r>
      <w:r>
        <w:rPr>
          <w:rFonts w:ascii="David" w:hAnsi="David"/>
        </w:rPr>
        <w:t>הלכה</w:t>
      </w:r>
      <w:r>
        <w:t xml:space="preserve"> follows </w:t>
      </w:r>
      <w:r>
        <w:rPr>
          <w:rFonts w:ascii="David" w:hAnsi="David"/>
        </w:rPr>
        <w:t>נחום המדי</w:t>
      </w:r>
      <w:r>
        <w:t xml:space="preserve"> — partly because the </w:t>
      </w:r>
      <w:r>
        <w:rPr>
          <w:rFonts w:ascii="David" w:hAnsi="David"/>
        </w:rPr>
        <w:t>חכמים</w:t>
      </w:r>
      <w:r>
        <w:t xml:space="preserve"> agreed with him on this point, partly (the </w:t>
      </w:r>
      <w:r>
        <w:rPr>
          <w:rFonts w:ascii="David" w:hAnsi="David"/>
        </w:rPr>
        <w:t>גמרא</w:t>
      </w:r>
      <w:r>
        <w:t xml:space="preserve">'s framing) because of </w:t>
      </w:r>
      <w:r>
        <w:rPr>
          <w:rFonts w:ascii="David" w:hAnsi="David"/>
        </w:rPr>
        <w:t>משה רבינו</w:t>
      </w:r>
      <w:r>
        <w:t xml:space="preserve">'s precedent in </w:t>
      </w:r>
      <w:r>
        <w:rPr>
          <w:rFonts w:ascii="David" w:hAnsi="David"/>
        </w:rPr>
        <w:t>ואתחנן</w:t>
      </w:r>
      <w:r>
        <w:t>.</w:t>
      </w:r>
    </w:p>
    <w:p>
      <w:r>
        <w:rPr>
          <w:rFonts w:ascii="David" w:hAnsi="David"/>
          <w:b/>
          <w:color w:val="1E3A8A"/>
          <w:sz w:val="26"/>
        </w:rPr>
        <w:t>V. PERSONALבקשות— WHERE THEY BELONG</w:t>
      </w:r>
    </w:p>
    <w:p>
      <w:pPr>
        <w:pBdr>
          <w:bottom w:val="single" w:sz="6" w:space="1" w:color="B8860B"/>
        </w:pBdr>
      </w:pPr>
    </w:p>
    <w:p>
      <w:r>
        <w:t xml:space="preserve">If one wants to add personal </w:t>
      </w:r>
      <w:r>
        <w:rPr>
          <w:rFonts w:ascii="David" w:hAnsi="David"/>
        </w:rPr>
        <w:t>בקשות</w:t>
      </w:r>
      <w:r>
        <w:t xml:space="preserve"> beyond the </w:t>
      </w:r>
      <w:r>
        <w:rPr>
          <w:rFonts w:ascii="David" w:hAnsi="David"/>
        </w:rPr>
        <w:t>נוסח</w:t>
      </w:r>
      <w:r>
        <w:t xml:space="preserve"> of the </w:t>
      </w:r>
      <w:r>
        <w:rPr>
          <w:rFonts w:ascii="David" w:hAnsi="David"/>
        </w:rPr>
        <w:t>אנשי כנסת הגדולה</w:t>
      </w:r>
      <w:r>
        <w:t>, where do they go?</w:t>
      </w:r>
    </w:p>
    <w:p>
      <w:r>
        <w:rPr>
          <w:i/>
        </w:rPr>
        <w:t>The Rebbe's standing puzzle</w:t>
      </w:r>
      <w:r>
        <w:t xml:space="preserve">: there is no explicit </w:t>
      </w:r>
      <w:r>
        <w:rPr>
          <w:rFonts w:ascii="David" w:hAnsi="David"/>
        </w:rPr>
        <w:t>ברכה</w:t>
      </w:r>
      <w:r>
        <w:t xml:space="preserve"> in </w:t>
      </w:r>
      <w:r>
        <w:rPr>
          <w:rFonts w:ascii="David" w:hAnsi="David"/>
        </w:rPr>
        <w:t>שמונה עשרה</w:t>
      </w:r>
      <w:r>
        <w:t xml:space="preserve"> for </w:t>
      </w:r>
      <w:r>
        <w:rPr>
          <w:rFonts w:ascii="David" w:hAnsi="David"/>
        </w:rPr>
        <w:t>יידישע קינדלעך</w:t>
      </w:r>
      <w:r>
        <w:t xml:space="preserve"> — the most important </w:t>
      </w:r>
      <w:r>
        <w:rPr>
          <w:rFonts w:ascii="David" w:hAnsi="David"/>
        </w:rPr>
        <w:t>בקשה</w:t>
      </w:r>
      <w:r>
        <w:t xml:space="preserve"> a father or grandfather has. Some read </w:t>
      </w:r>
      <w:r>
        <w:rPr>
          <w:i/>
        </w:rPr>
        <w:t>"</w:t>
      </w:r>
      <w:r>
        <w:rPr>
          <w:rFonts w:ascii="David" w:hAnsi="David"/>
          <w:i/>
        </w:rPr>
        <w:t>לדור ודור</w:t>
      </w:r>
      <w:r>
        <w:rPr>
          <w:i/>
        </w:rPr>
        <w:t>"</w:t>
      </w:r>
      <w:r>
        <w:t xml:space="preserve"> as covering it, but it is not explicit. There are long </w:t>
      </w:r>
      <w:r>
        <w:rPr>
          <w:rFonts w:ascii="David" w:hAnsi="David"/>
        </w:rPr>
        <w:t>פירושים</w:t>
      </w:r>
      <w:r>
        <w:t xml:space="preserve"> on this; the practical answer is to add it in </w:t>
      </w:r>
      <w:r>
        <w:rPr>
          <w:rFonts w:ascii="David" w:hAnsi="David"/>
        </w:rPr>
        <w:t>שמע קולנו</w:t>
      </w:r>
      <w:r>
        <w:t>.</w:t>
      </w:r>
    </w:p>
    <w:p>
      <w:r>
        <w:rPr>
          <w:rFonts w:ascii="David" w:hAnsi="David"/>
          <w:b/>
          <w:color w:val="1E3A8A"/>
          <w:sz w:val="26"/>
        </w:rPr>
        <w:t>VI. THEקושיאOF"זכרנו לחיים"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</w:rPr>
        <w:t>רב האי גאון</w:t>
      </w:r>
      <w:r>
        <w:t xml:space="preserve"> (born 938, lived to age 100; son of </w:t>
      </w:r>
      <w:r>
        <w:rPr>
          <w:rFonts w:ascii="David" w:hAnsi="David"/>
        </w:rPr>
        <w:t>רב שרירא גאון</w:t>
      </w:r>
      <w:r>
        <w:t xml:space="preserve">; the most prominent </w:t>
      </w:r>
      <w:r>
        <w:rPr>
          <w:rFonts w:ascii="David" w:hAnsi="David"/>
        </w:rPr>
        <w:t>גאון</w:t>
      </w:r>
      <w:r>
        <w:t xml:space="preserve"> of his era) raised the obvious question: in </w:t>
      </w:r>
      <w:r>
        <w:rPr>
          <w:rFonts w:ascii="David" w:hAnsi="David"/>
        </w:rPr>
        <w:t>עשרת ימי תשובה</w:t>
      </w:r>
      <w:r>
        <w:t xml:space="preserve"> we add </w:t>
      </w:r>
      <w:r>
        <w:rPr>
          <w:i/>
        </w:rPr>
        <w:t>"</w:t>
      </w:r>
      <w:r>
        <w:rPr>
          <w:rFonts w:ascii="David" w:hAnsi="David"/>
          <w:i/>
        </w:rPr>
        <w:t>זכרנו לחיים</w:t>
      </w:r>
      <w:r>
        <w:rPr>
          <w:i/>
        </w:rPr>
        <w:t>"</w:t>
      </w:r>
      <w:r>
        <w:t xml:space="preserve"> right inside the </w:t>
      </w:r>
      <w:r>
        <w:rPr>
          <w:i/>
        </w:rPr>
        <w:t>first three</w:t>
      </w:r>
      <w:r>
        <w:t xml:space="preserve"> </w:t>
      </w:r>
      <w:r>
        <w:rPr>
          <w:rFonts w:ascii="David" w:hAnsi="David"/>
        </w:rPr>
        <w:t>ברכות</w:t>
      </w:r>
      <w:r>
        <w:t xml:space="preserve">. Is this not a personal </w:t>
      </w:r>
      <w:r>
        <w:rPr>
          <w:rFonts w:ascii="David" w:hAnsi="David"/>
        </w:rPr>
        <w:t>בקשה</w:t>
      </w:r>
      <w:r>
        <w:t>?</w:t>
      </w:r>
    </w:p>
    <w:p>
      <w:r>
        <w:t xml:space="preserve">His answer: in his </w:t>
      </w:r>
      <w:r>
        <w:rPr>
          <w:rFonts w:ascii="David" w:hAnsi="David"/>
        </w:rPr>
        <w:t>ישיבה</w:t>
      </w:r>
      <w:r>
        <w:t xml:space="preserve"> at </w:t>
      </w:r>
      <w:r>
        <w:rPr>
          <w:rFonts w:ascii="David" w:hAnsi="David"/>
        </w:rPr>
        <w:t>פומבדיתא</w:t>
      </w:r>
      <w:r>
        <w:t xml:space="preserve"> some did not say it; </w:t>
      </w:r>
      <w:r>
        <w:rPr>
          <w:rFonts w:ascii="David" w:hAnsi="David"/>
        </w:rPr>
        <w:t>להלכה</w:t>
      </w:r>
      <w:r>
        <w:t xml:space="preserve">, however, we do say it because it is a </w:t>
      </w:r>
      <w:r>
        <w:rPr>
          <w:rFonts w:ascii="David" w:hAnsi="David"/>
        </w:rPr>
        <w:t>צורך</w:t>
      </w:r>
      <w:r>
        <w:t xml:space="preserve"> for the </w:t>
      </w:r>
      <w:r>
        <w:rPr>
          <w:rFonts w:ascii="David" w:hAnsi="David"/>
        </w:rPr>
        <w:t>ציבור</w:t>
      </w:r>
      <w:r>
        <w:t xml:space="preserve"> rather than a private request. The </w:t>
      </w:r>
      <w:r>
        <w:rPr>
          <w:rFonts w:ascii="David" w:hAnsi="David"/>
        </w:rPr>
        <w:t>טור</w:t>
      </w:r>
      <w:r>
        <w:t xml:space="preserve"> in </w:t>
      </w:r>
      <w:r>
        <w:rPr>
          <w:rFonts w:ascii="David" w:hAnsi="David"/>
        </w:rPr>
        <w:t>סימן תרי"ג</w:t>
      </w:r>
      <w:r>
        <w:t xml:space="preserve"> records the discussion in full.</w:t>
      </w:r>
      <w:r>
        <w:rPr>
          <w:color w:val="B8860B"/>
          <w:sz w:val="16"/>
          <w:vertAlign w:val="superscript"/>
        </w:rPr>
        <w:t>[10]</w:t>
      </w:r>
    </w:p>
    <w:p>
      <w:r>
        <w:t xml:space="preserve">The </w:t>
      </w:r>
      <w:r>
        <w:rPr>
          <w:rFonts w:ascii="David" w:hAnsi="David"/>
        </w:rPr>
        <w:t>חסידים</w:t>
      </w:r>
      <w:r>
        <w:t xml:space="preserve"> add a </w:t>
      </w:r>
      <w:r>
        <w:rPr>
          <w:rFonts w:ascii="David" w:hAnsi="David"/>
        </w:rPr>
        <w:t>פשט</w:t>
      </w:r>
      <w:r>
        <w:t xml:space="preserve">: it is also </w:t>
      </w:r>
      <w:r>
        <w:rPr>
          <w:rFonts w:ascii="David" w:hAnsi="David"/>
        </w:rPr>
        <w:t>חיים</w:t>
      </w:r>
      <w:r>
        <w:t xml:space="preserve"> — but </w:t>
      </w:r>
      <w:r>
        <w:rPr>
          <w:i/>
        </w:rPr>
        <w:t>which</w:t>
      </w:r>
      <w:r>
        <w:t xml:space="preserve"> </w:t>
      </w:r>
      <w:r>
        <w:rPr>
          <w:rFonts w:ascii="David" w:hAnsi="David"/>
        </w:rPr>
        <w:t>חיים</w:t>
      </w:r>
      <w:r>
        <w:t xml:space="preserve">? </w:t>
      </w:r>
      <w:r>
        <w:rPr>
          <w:rFonts w:ascii="David" w:hAnsi="David"/>
        </w:rPr>
        <w:t>חיים</w:t>
      </w:r>
      <w:r>
        <w:t xml:space="preserve"> for </w:t>
      </w:r>
      <w:r>
        <w:rPr>
          <w:i/>
        </w:rPr>
        <w:t>His</w:t>
      </w:r>
      <w:r>
        <w:t xml:space="preserve"> sake, not personal pleasure. On this reading the </w:t>
      </w:r>
      <w:r>
        <w:rPr>
          <w:rFonts w:ascii="David" w:hAnsi="David"/>
        </w:rPr>
        <w:t>בקשה</w:t>
      </w:r>
      <w:r>
        <w:t xml:space="preserve"> is itself a form of </w:t>
      </w:r>
      <w:r>
        <w:rPr>
          <w:rFonts w:ascii="David" w:hAnsi="David"/>
        </w:rPr>
        <w:t>שבח</w:t>
      </w:r>
      <w:r>
        <w:t xml:space="preserve">: we want life as a vehicle for </w:t>
      </w:r>
      <w:r>
        <w:rPr>
          <w:rFonts w:ascii="David" w:hAnsi="David"/>
        </w:rPr>
        <w:t>עבודת ה'</w:t>
      </w:r>
      <w:r>
        <w:t>.</w:t>
      </w:r>
    </w:p>
    <w:p>
      <w:r>
        <w:rPr>
          <w:rFonts w:ascii="David" w:hAnsi="David"/>
          <w:b/>
          <w:color w:val="1E3A8A"/>
          <w:sz w:val="26"/>
        </w:rPr>
        <w:t>VII.ברכת אבות— THE MISSINGמלכות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</w:rPr>
        <w:t>חז"ל</w:t>
      </w:r>
      <w:r>
        <w:t xml:space="preserve"> teach: </w:t>
      </w:r>
      <w:r>
        <w:rPr>
          <w:i/>
        </w:rPr>
        <w:t>"</w:t>
      </w:r>
      <w:r>
        <w:rPr>
          <w:rFonts w:ascii="David" w:hAnsi="David"/>
          <w:i/>
        </w:rPr>
        <w:t>כל ברכה שאין בה מלכות אינה ברכה</w:t>
      </w:r>
      <w:r>
        <w:rPr>
          <w:i/>
        </w:rPr>
        <w:t>"</w:t>
      </w:r>
      <w:r>
        <w:t xml:space="preserve"> — every </w:t>
      </w:r>
      <w:r>
        <w:rPr>
          <w:rFonts w:ascii="David" w:hAnsi="David"/>
        </w:rPr>
        <w:t>ברכה</w:t>
      </w:r>
      <w:r>
        <w:t xml:space="preserve"> must contain </w:t>
      </w:r>
      <w:r>
        <w:rPr>
          <w:i/>
        </w:rPr>
        <w:t>"</w:t>
      </w:r>
      <w:r>
        <w:rPr>
          <w:rFonts w:ascii="David" w:hAnsi="David"/>
          <w:i/>
        </w:rPr>
        <w:t>מלך העולם</w:t>
      </w:r>
      <w:r>
        <w:rPr>
          <w:i/>
        </w:rPr>
        <w:t>"</w:t>
      </w:r>
      <w:r>
        <w:t xml:space="preserve">. Yet the most consequential </w:t>
      </w:r>
      <w:r>
        <w:rPr>
          <w:rFonts w:ascii="David" w:hAnsi="David"/>
        </w:rPr>
        <w:t>ברכה</w:t>
      </w:r>
      <w:r>
        <w:t xml:space="preserve"> in </w:t>
      </w:r>
      <w:r>
        <w:rPr>
          <w:rFonts w:ascii="David" w:hAnsi="David"/>
        </w:rPr>
        <w:t>שמונה עשרה</w:t>
      </w:r>
      <w:r>
        <w:t xml:space="preserve">, </w:t>
      </w:r>
      <w:r>
        <w:rPr>
          <w:rFonts w:ascii="David" w:hAnsi="David"/>
        </w:rPr>
        <w:t>ברכת אבות</w:t>
      </w:r>
      <w:r>
        <w:t xml:space="preserve">, has no </w:t>
      </w:r>
      <w:r>
        <w:rPr>
          <w:i/>
        </w:rPr>
        <w:t>"</w:t>
      </w:r>
      <w:r>
        <w:rPr>
          <w:rFonts w:ascii="David" w:hAnsi="David"/>
          <w:i/>
        </w:rPr>
        <w:t>מלך העולם</w:t>
      </w:r>
      <w:r>
        <w:rPr>
          <w:i/>
        </w:rPr>
        <w:t>"</w:t>
      </w:r>
      <w:r>
        <w:t xml:space="preserve">. Where is the </w:t>
      </w:r>
      <w:r>
        <w:rPr>
          <w:rFonts w:ascii="David" w:hAnsi="David"/>
        </w:rPr>
        <w:t>מלכות</w:t>
      </w:r>
      <w:r>
        <w:t>?</w:t>
      </w:r>
    </w:p>
    <w:p>
      <w:r>
        <w:rPr>
          <w:rFonts w:ascii="David" w:hAnsi="David"/>
          <w:i/>
          <w:color w:val="B8860B"/>
          <w:sz w:val="24"/>
        </w:rPr>
        <w:t>תוספותinברכות מ' ע"א</w:t>
      </w:r>
    </w:p>
    <w:p>
      <w:r>
        <w:rPr>
          <w:rFonts w:ascii="David" w:hAnsi="David"/>
          <w:b/>
        </w:rPr>
        <w:t>תוספות</w:t>
      </w:r>
      <w:r>
        <w:rPr>
          <w:color w:val="B8860B"/>
          <w:sz w:val="16"/>
          <w:vertAlign w:val="superscript"/>
        </w:rPr>
        <w:t>[11]</w:t>
      </w:r>
      <w:r>
        <w:t xml:space="preserve"> answer: when we say </w:t>
      </w:r>
      <w:r>
        <w:rPr>
          <w:i/>
        </w:rPr>
        <w:t>"</w:t>
      </w:r>
      <w:r>
        <w:rPr>
          <w:rFonts w:ascii="David" w:hAnsi="David"/>
          <w:i/>
        </w:rPr>
        <w:t>ברוך אתה ה' אלקינו ואלקי אבותינו, אלקי אברהם, אלקי יצחק, ואלקי יעקב</w:t>
      </w:r>
      <w:r>
        <w:rPr>
          <w:i/>
        </w:rPr>
        <w:t>,"</w:t>
      </w:r>
      <w:r>
        <w:t xml:space="preserve"> the very mention of </w:t>
      </w:r>
      <w:r>
        <w:rPr>
          <w:rFonts w:ascii="David" w:hAnsi="David"/>
        </w:rPr>
        <w:t>אברהם אבינו</w:t>
      </w:r>
      <w:r>
        <w:t xml:space="preserve"> functions as the </w:t>
      </w:r>
      <w:r>
        <w:rPr>
          <w:rFonts w:ascii="David" w:hAnsi="David"/>
        </w:rPr>
        <w:t>מלכות</w:t>
      </w:r>
      <w:r>
        <w:t xml:space="preserve">. </w:t>
      </w:r>
      <w:r>
        <w:rPr>
          <w:rFonts w:ascii="David" w:hAnsi="David"/>
        </w:rPr>
        <w:t>אברהם אבינו</w:t>
      </w:r>
      <w:r>
        <w:t xml:space="preserve"> was the one who </w:t>
      </w:r>
      <w:r>
        <w:rPr>
          <w:i/>
        </w:rPr>
        <w:t>revealed</w:t>
      </w:r>
      <w:r>
        <w:t xml:space="preserve"> the </w:t>
      </w:r>
      <w:r>
        <w:rPr>
          <w:rFonts w:ascii="David" w:hAnsi="David"/>
        </w:rPr>
        <w:t>מלכות</w:t>
      </w:r>
      <w:r>
        <w:t xml:space="preserve"> of </w:t>
      </w:r>
      <w:r>
        <w:rPr>
          <w:rFonts w:ascii="David" w:hAnsi="David"/>
        </w:rPr>
        <w:t>הקדוש ברוך הוא</w:t>
      </w:r>
      <w:r>
        <w:t xml:space="preserve"> to the world. This is unique to </w:t>
      </w:r>
      <w:r>
        <w:rPr>
          <w:rFonts w:ascii="David" w:hAnsi="David"/>
        </w:rPr>
        <w:t>ברכת אבות</w:t>
      </w:r>
      <w:r>
        <w:t xml:space="preserve">; in no other </w:t>
      </w:r>
      <w:r>
        <w:rPr>
          <w:rFonts w:ascii="David" w:hAnsi="David"/>
        </w:rPr>
        <w:t>ברכה</w:t>
      </w:r>
      <w:r>
        <w:t xml:space="preserve"> may one substitute for </w:t>
      </w:r>
      <w:r>
        <w:rPr>
          <w:i/>
        </w:rPr>
        <w:t>"</w:t>
      </w:r>
      <w:r>
        <w:rPr>
          <w:rFonts w:ascii="David" w:hAnsi="David"/>
          <w:i/>
        </w:rPr>
        <w:t>מלך</w:t>
      </w:r>
      <w:r>
        <w:rPr>
          <w:i/>
        </w:rPr>
        <w:t>"</w:t>
      </w:r>
      <w:r>
        <w:t>.</w:t>
      </w:r>
    </w:p>
    <w:p>
      <w:r>
        <w:rPr>
          <w:rFonts w:ascii="David" w:hAnsi="David"/>
          <w:i/>
          <w:color w:val="B8860B"/>
          <w:sz w:val="24"/>
        </w:rPr>
        <w:t>An Alternateתירוץ—דוד המלך</w:t>
      </w:r>
    </w:p>
    <w:p>
      <w:r>
        <w:t xml:space="preserve">Other </w:t>
      </w:r>
      <w:r>
        <w:rPr>
          <w:rFonts w:ascii="David" w:hAnsi="David"/>
        </w:rPr>
        <w:t>ראשונים</w:t>
      </w:r>
      <w:r>
        <w:t xml:space="preserve"> read the </w:t>
      </w:r>
      <w:r>
        <w:rPr>
          <w:rFonts w:ascii="David" w:hAnsi="David"/>
        </w:rPr>
        <w:t>מלכות</w:t>
      </w:r>
      <w:r>
        <w:t xml:space="preserve"> later in the </w:t>
      </w:r>
      <w:r>
        <w:rPr>
          <w:rFonts w:ascii="David" w:hAnsi="David"/>
        </w:rPr>
        <w:t>ברכה</w:t>
      </w:r>
      <w:r>
        <w:t xml:space="preserve">: at </w:t>
      </w:r>
      <w:r>
        <w:rPr>
          <w:i/>
        </w:rPr>
        <w:t>"</w:t>
      </w:r>
      <w:r>
        <w:rPr>
          <w:rFonts w:ascii="David" w:hAnsi="David"/>
          <w:i/>
        </w:rPr>
        <w:t>מגן דוד</w:t>
      </w:r>
      <w:r>
        <w:rPr>
          <w:i/>
        </w:rPr>
        <w:t>"</w:t>
      </w:r>
      <w:r>
        <w:t xml:space="preserve"> (in </w:t>
      </w:r>
      <w:r>
        <w:rPr>
          <w:rFonts w:ascii="David" w:hAnsi="David"/>
        </w:rPr>
        <w:t>נוסח</w:t>
      </w:r>
      <w:r>
        <w:t xml:space="preserve">) or in the surrounding </w:t>
      </w:r>
      <w:r>
        <w:rPr>
          <w:rFonts w:ascii="David" w:hAnsi="David"/>
        </w:rPr>
        <w:t>לשון</w:t>
      </w:r>
      <w:r>
        <w:t xml:space="preserve">. </w:t>
      </w:r>
      <w:r>
        <w:rPr>
          <w:rFonts w:ascii="David" w:hAnsi="David"/>
        </w:rPr>
        <w:t>דוד המלך</w:t>
      </w:r>
      <w:r>
        <w:t xml:space="preserve">, after all, was </w:t>
      </w:r>
      <w:r>
        <w:rPr>
          <w:i/>
        </w:rPr>
        <w:t>the</w:t>
      </w:r>
      <w:r>
        <w:t xml:space="preserve"> </w:t>
      </w:r>
      <w:r>
        <w:rPr>
          <w:rFonts w:ascii="David" w:hAnsi="David"/>
        </w:rPr>
        <w:t>מלך</w:t>
      </w:r>
      <w:r>
        <w:t xml:space="preserve">; the </w:t>
      </w:r>
      <w:r>
        <w:rPr>
          <w:rFonts w:ascii="David" w:hAnsi="David"/>
        </w:rPr>
        <w:t>גמרא</w:t>
      </w:r>
      <w:r>
        <w:t xml:space="preserve"> records that </w:t>
      </w:r>
      <w:r>
        <w:rPr>
          <w:rFonts w:ascii="David" w:hAnsi="David"/>
        </w:rPr>
        <w:t>דוד</w:t>
      </w:r>
      <w:r>
        <w:t xml:space="preserve"> wished to be mentioned in </w:t>
      </w:r>
      <w:r>
        <w:rPr>
          <w:rFonts w:ascii="David" w:hAnsi="David"/>
        </w:rPr>
        <w:t>ברכת אבות</w:t>
      </w:r>
      <w:r>
        <w:t>, and that wish is honored.</w:t>
      </w:r>
    </w:p>
    <w:p>
      <w:r>
        <w:rPr>
          <w:rFonts w:ascii="David" w:hAnsi="David"/>
          <w:b/>
          <w:color w:val="1E3A8A"/>
          <w:sz w:val="26"/>
        </w:rPr>
        <w:t>VIII.כוונה— THEכליAND THEנשמה</w:t>
      </w:r>
    </w:p>
    <w:p>
      <w:pPr>
        <w:pBdr>
          <w:bottom w:val="single" w:sz="6" w:space="1" w:color="B8860B"/>
        </w:pBdr>
      </w:pPr>
    </w:p>
    <w:p>
      <w:r>
        <w:t xml:space="preserve">Every word of </w:t>
      </w:r>
      <w:r>
        <w:rPr>
          <w:rFonts w:ascii="David" w:hAnsi="David"/>
        </w:rPr>
        <w:t>שמונה עשרה</w:t>
      </w:r>
      <w:r>
        <w:t xml:space="preserve"> is a gem. But the </w:t>
      </w:r>
      <w:r>
        <w:rPr>
          <w:rFonts w:ascii="David" w:hAnsi="David"/>
        </w:rPr>
        <w:t>זוהר הקדוש</w:t>
      </w:r>
      <w:r>
        <w:t xml:space="preserve"> teaches that the words are a </w:t>
      </w:r>
      <w:r>
        <w:rPr>
          <w:rFonts w:ascii="David" w:hAnsi="David"/>
        </w:rPr>
        <w:t>גוף</w:t>
      </w:r>
      <w:r>
        <w:t xml:space="preserve"> — a </w:t>
      </w:r>
      <w:r>
        <w:rPr>
          <w:rFonts w:ascii="David" w:hAnsi="David"/>
        </w:rPr>
        <w:t>כלי</w:t>
      </w:r>
      <w:r>
        <w:t xml:space="preserve"> — and the </w:t>
      </w:r>
      <w:r>
        <w:rPr>
          <w:rFonts w:ascii="David" w:hAnsi="David"/>
        </w:rPr>
        <w:t>כוונה</w:t>
      </w:r>
      <w:r>
        <w:t xml:space="preserve"> is the </w:t>
      </w:r>
      <w:r>
        <w:rPr>
          <w:rFonts w:ascii="David" w:hAnsi="David"/>
        </w:rPr>
        <w:t>נשמה</w:t>
      </w:r>
      <w:r>
        <w:t xml:space="preserve">. A magnificent crystal vase without flowers is empty; a beautiful </w:t>
      </w:r>
      <w:r>
        <w:rPr>
          <w:rFonts w:ascii="David" w:hAnsi="David"/>
        </w:rPr>
        <w:t>בכר</w:t>
      </w:r>
      <w:r>
        <w:t xml:space="preserve"> without wine is hollow. The words composed by the </w:t>
      </w:r>
      <w:r>
        <w:rPr>
          <w:rFonts w:ascii="David" w:hAnsi="David"/>
        </w:rPr>
        <w:t>אנשי כנסת הגדולה</w:t>
      </w:r>
      <w:r>
        <w:t xml:space="preserve"> ask to be filled with understanding of what we are saying.</w:t>
      </w:r>
    </w:p>
    <w:p>
      <w:r>
        <w:rPr>
          <w:rFonts w:ascii="David" w:hAnsi="David"/>
          <w:i/>
          <w:color w:val="B8860B"/>
          <w:sz w:val="24"/>
        </w:rPr>
        <w:t>Theיערות דבשonחזנות</w:t>
      </w:r>
    </w:p>
    <w:p>
      <w:r>
        <w:t xml:space="preserve">The </w:t>
      </w:r>
      <w:r>
        <w:rPr>
          <w:rFonts w:ascii="David" w:hAnsi="David"/>
          <w:b/>
        </w:rPr>
        <w:t>יערות דבש</w:t>
      </w:r>
      <w:r>
        <w:t xml:space="preserve"> (</w:t>
      </w:r>
      <w:r>
        <w:rPr>
          <w:rFonts w:ascii="David" w:hAnsi="David"/>
        </w:rPr>
        <w:t>רבי יונתן אייבשיץ</w:t>
      </w:r>
      <w:r>
        <w:t>),</w:t>
      </w:r>
      <w:r>
        <w:rPr>
          <w:color w:val="B8860B"/>
          <w:sz w:val="16"/>
          <w:vertAlign w:val="superscript"/>
        </w:rPr>
        <w:t>[12]</w:t>
      </w:r>
      <w:r>
        <w:t xml:space="preserve"> in his collection of </w:t>
      </w:r>
      <w:r>
        <w:rPr>
          <w:rFonts w:ascii="David" w:hAnsi="David"/>
        </w:rPr>
        <w:t>דרשות</w:t>
      </w:r>
      <w:r>
        <w:t xml:space="preserve"> from Prague, raises a sharp question. The </w:t>
      </w:r>
      <w:r>
        <w:rPr>
          <w:rFonts w:ascii="David" w:hAnsi="David"/>
        </w:rPr>
        <w:t>גמרא</w:t>
      </w:r>
      <w:r>
        <w:t xml:space="preserve"> asks why </w:t>
      </w:r>
      <w:r>
        <w:rPr>
          <w:rFonts w:ascii="David" w:hAnsi="David"/>
        </w:rPr>
        <w:t>הלל</w:t>
      </w:r>
      <w:r>
        <w:t xml:space="preserve"> is not recited on </w:t>
      </w:r>
      <w:r>
        <w:rPr>
          <w:rFonts w:ascii="David" w:hAnsi="David"/>
        </w:rPr>
        <w:t>ראש השנה</w:t>
      </w:r>
      <w:r>
        <w:t xml:space="preserve"> and answers that even the </w:t>
      </w:r>
      <w:r>
        <w:rPr>
          <w:rFonts w:ascii="David" w:hAnsi="David"/>
        </w:rPr>
        <w:t>מלאכי השרת</w:t>
      </w:r>
      <w:r>
        <w:t xml:space="preserve"> do not say </w:t>
      </w:r>
      <w:r>
        <w:rPr>
          <w:rFonts w:ascii="David" w:hAnsi="David"/>
        </w:rPr>
        <w:t>שירה</w:t>
      </w:r>
      <w:r>
        <w:t xml:space="preserve"> on the </w:t>
      </w:r>
      <w:r>
        <w:rPr>
          <w:rFonts w:ascii="David" w:hAnsi="David"/>
        </w:rPr>
        <w:t>ימים נוראים</w:t>
      </w:r>
      <w:r>
        <w:t xml:space="preserve"> — </w:t>
      </w:r>
      <w:r>
        <w:rPr>
          <w:rFonts w:ascii="David" w:hAnsi="David"/>
        </w:rPr>
        <w:t>ספרי חיים וספרי מתים פתוחים לפני ה'</w:t>
      </w:r>
      <w:r>
        <w:t xml:space="preserve">. Yet the great synagogues of Prague featured elaborate choirs and </w:t>
      </w:r>
      <w:r>
        <w:rPr>
          <w:rFonts w:ascii="David" w:hAnsi="David"/>
        </w:rPr>
        <w:t>חזנים</w:t>
      </w:r>
      <w:r>
        <w:t xml:space="preserve"> precisely on the </w:t>
      </w:r>
      <w:r>
        <w:rPr>
          <w:rFonts w:ascii="David" w:hAnsi="David"/>
        </w:rPr>
        <w:t>ימים נוראים</w:t>
      </w:r>
      <w:r>
        <w:t xml:space="preserve">. How? </w:t>
      </w:r>
      <w:r>
        <w:rPr>
          <w:i/>
        </w:rPr>
        <w:t xml:space="preserve">If </w:t>
      </w:r>
      <w:r>
        <w:rPr>
          <w:rFonts w:ascii="David" w:hAnsi="David"/>
          <w:i/>
        </w:rPr>
        <w:t>מלאכים</w:t>
      </w:r>
      <w:r>
        <w:rPr>
          <w:i/>
        </w:rPr>
        <w:t xml:space="preserve"> refrain from </w:t>
      </w:r>
      <w:r>
        <w:rPr>
          <w:rFonts w:ascii="David" w:hAnsi="David"/>
          <w:i/>
        </w:rPr>
        <w:t>שירה</w:t>
      </w:r>
      <w:r>
        <w:rPr>
          <w:i/>
        </w:rPr>
        <w:t>, do we sing more elaborately than they?</w:t>
      </w:r>
    </w:p>
    <w:p>
      <w:r>
        <w:t xml:space="preserve">The </w:t>
      </w:r>
      <w:r>
        <w:rPr>
          <w:rFonts w:ascii="David" w:hAnsi="David"/>
        </w:rPr>
        <w:t>יערות דבש</w:t>
      </w:r>
      <w:r>
        <w:t xml:space="preserve"> critiques </w:t>
      </w:r>
      <w:r>
        <w:rPr>
          <w:rFonts w:ascii="David" w:hAnsi="David"/>
        </w:rPr>
        <w:t>חזנים</w:t>
      </w:r>
      <w:r>
        <w:t xml:space="preserve"> who perform without </w:t>
      </w:r>
      <w:r>
        <w:rPr>
          <w:rFonts w:ascii="David" w:hAnsi="David"/>
        </w:rPr>
        <w:t>כוונה</w:t>
      </w:r>
      <w:r>
        <w:t xml:space="preserve"> and heart — the empty vessel — but concludes: when </w:t>
      </w:r>
      <w:r>
        <w:rPr>
          <w:rFonts w:ascii="David" w:hAnsi="David"/>
        </w:rPr>
        <w:t>חזנות</w:t>
      </w:r>
      <w:r>
        <w:t xml:space="preserve"> </w:t>
      </w:r>
      <w:r>
        <w:rPr>
          <w:i/>
        </w:rPr>
        <w:t>elevates</w:t>
      </w:r>
      <w:r>
        <w:t xml:space="preserve"> the </w:t>
      </w:r>
      <w:r>
        <w:rPr>
          <w:rFonts w:ascii="David" w:hAnsi="David"/>
        </w:rPr>
        <w:t>כוונה</w:t>
      </w:r>
      <w:r>
        <w:t xml:space="preserve"> of the </w:t>
      </w:r>
      <w:r>
        <w:rPr>
          <w:rFonts w:ascii="David" w:hAnsi="David"/>
        </w:rPr>
        <w:t>קהל</w:t>
      </w:r>
      <w:r>
        <w:t xml:space="preserve">, it is good. Today even by the great </w:t>
      </w:r>
      <w:r>
        <w:rPr>
          <w:rFonts w:ascii="David" w:hAnsi="David"/>
        </w:rPr>
        <w:t>רבנים</w:t>
      </w:r>
      <w:r>
        <w:t xml:space="preserve">, choirs are accepted on this condition. </w:t>
      </w:r>
      <w:r>
        <w:rPr>
          <w:b/>
        </w:rPr>
        <w:t xml:space="preserve">The point is not to come away saying </w:t>
      </w:r>
      <w:r>
        <w:rPr>
          <w:b/>
          <w:i/>
        </w:rPr>
        <w:t>"the choir was beautiful today,"</w:t>
      </w:r>
      <w:r>
        <w:rPr>
          <w:b/>
        </w:rPr>
        <w:t xml:space="preserve"> but to come away having actually davened.</w:t>
      </w:r>
    </w:p>
    <w:p>
      <w:r>
        <w:rPr>
          <w:rFonts w:ascii="David" w:hAnsi="David"/>
          <w:b/>
          <w:color w:val="1E3A8A"/>
          <w:sz w:val="26"/>
        </w:rPr>
        <w:t>IX.אלקי אברהם, אלקי יצחק, ואלקי יעקב— WHY THREE TIMES?</w:t>
      </w:r>
    </w:p>
    <w:p>
      <w:pPr>
        <w:pBdr>
          <w:bottom w:val="single" w:sz="6" w:space="1" w:color="B8860B"/>
        </w:pBdr>
      </w:pPr>
    </w:p>
    <w:p>
      <w:r>
        <w:t xml:space="preserve">Why repeat </w:t>
      </w:r>
      <w:r>
        <w:rPr>
          <w:i/>
        </w:rPr>
        <w:t>"</w:t>
      </w:r>
      <w:r>
        <w:rPr>
          <w:rFonts w:ascii="David" w:hAnsi="David"/>
          <w:i/>
        </w:rPr>
        <w:t>אלקי</w:t>
      </w:r>
      <w:r>
        <w:rPr>
          <w:i/>
        </w:rPr>
        <w:t>"</w:t>
      </w:r>
      <w:r>
        <w:t xml:space="preserve"> before each </w:t>
      </w:r>
      <w:r>
        <w:rPr>
          <w:rFonts w:ascii="David" w:hAnsi="David"/>
        </w:rPr>
        <w:t>אב</w:t>
      </w:r>
      <w:r>
        <w:t xml:space="preserve">? Why not </w:t>
      </w:r>
      <w:r>
        <w:rPr>
          <w:i/>
        </w:rPr>
        <w:t>"</w:t>
      </w:r>
      <w:r>
        <w:rPr>
          <w:rFonts w:ascii="David" w:hAnsi="David"/>
          <w:i/>
        </w:rPr>
        <w:t>אלקי אברהם יצחק ויעקב</w:t>
      </w:r>
      <w:r>
        <w:rPr>
          <w:i/>
        </w:rPr>
        <w:t>"</w:t>
      </w:r>
      <w:r>
        <w:t>?</w:t>
      </w:r>
    </w:p>
    <w:p>
      <w:r>
        <w:rPr>
          <w:rFonts w:ascii="David" w:hAnsi="David"/>
          <w:i/>
          <w:color w:val="B8860B"/>
          <w:sz w:val="24"/>
        </w:rPr>
        <w:t>"זה א-לי ואנוהו, אלקי אבי וארוממנהו"</w:t>
      </w:r>
    </w:p>
    <w:p>
      <w:r>
        <w:t xml:space="preserve">The </w:t>
      </w:r>
      <w:r>
        <w:rPr>
          <w:rFonts w:ascii="David" w:hAnsi="David"/>
        </w:rPr>
        <w:t>פסוק</w:t>
      </w:r>
      <w:r>
        <w:t xml:space="preserve"> in </w:t>
      </w:r>
      <w:r>
        <w:rPr>
          <w:rFonts w:ascii="David" w:hAnsi="David"/>
        </w:rPr>
        <w:t>שמות ט"ו:ב</w:t>
      </w:r>
      <w:r>
        <w:rPr>
          <w:color w:val="B8860B"/>
          <w:sz w:val="16"/>
          <w:vertAlign w:val="superscript"/>
        </w:rPr>
        <w:t>[13]</w:t>
      </w:r>
      <w:r>
        <w:t xml:space="preserve"> sets the framework. There are two ingredients in a Jew's relationship with </w:t>
      </w:r>
      <w:r>
        <w:rPr>
          <w:rFonts w:ascii="David" w:hAnsi="David"/>
        </w:rPr>
        <w:t>הקדוש ברוך הוא</w:t>
      </w:r>
      <w:r>
        <w:t>:</w:t>
      </w:r>
    </w:p>
    <w:p>
      <w:r>
        <w:t xml:space="preserve">So we say </w:t>
      </w:r>
      <w:r>
        <w:rPr>
          <w:rFonts w:ascii="David" w:hAnsi="David"/>
        </w:rPr>
        <w:t>אלקי אברהם, אלקי יצחק, אלקי יעקב</w:t>
      </w:r>
      <w:r>
        <w:t xml:space="preserve"> — separately. Each </w:t>
      </w:r>
      <w:r>
        <w:rPr>
          <w:rFonts w:ascii="David" w:hAnsi="David"/>
        </w:rPr>
        <w:t>אב</w:t>
      </w:r>
      <w:r>
        <w:t xml:space="preserve"> built his own personal connection to </w:t>
      </w:r>
      <w:r>
        <w:rPr>
          <w:rFonts w:ascii="David" w:hAnsi="David"/>
        </w:rPr>
        <w:t>הקדוש ברוך הוא</w:t>
      </w:r>
      <w:r>
        <w:t xml:space="preserve">, distinct from the others'. </w:t>
      </w:r>
      <w:r>
        <w:rPr>
          <w:rFonts w:ascii="David" w:hAnsi="David"/>
        </w:rPr>
        <w:t>אברהם</w:t>
      </w:r>
      <w:r>
        <w:t xml:space="preserve">'s </w:t>
      </w:r>
      <w:r>
        <w:rPr>
          <w:rFonts w:ascii="David" w:hAnsi="David"/>
        </w:rPr>
        <w:t>חסד</w:t>
      </w:r>
      <w:r>
        <w:t xml:space="preserve">, </w:t>
      </w:r>
      <w:r>
        <w:rPr>
          <w:rFonts w:ascii="David" w:hAnsi="David"/>
        </w:rPr>
        <w:t>יצחק</w:t>
      </w:r>
      <w:r>
        <w:t xml:space="preserve">'s </w:t>
      </w:r>
      <w:r>
        <w:rPr>
          <w:rFonts w:ascii="David" w:hAnsi="David"/>
        </w:rPr>
        <w:t>גבורה</w:t>
      </w:r>
      <w:r>
        <w:t xml:space="preserve">, </w:t>
      </w:r>
      <w:r>
        <w:rPr>
          <w:rFonts w:ascii="David" w:hAnsi="David"/>
        </w:rPr>
        <w:t>יעקב</w:t>
      </w:r>
      <w:r>
        <w:t xml:space="preserve">'s </w:t>
      </w:r>
      <w:r>
        <w:rPr>
          <w:rFonts w:ascii="David" w:hAnsi="David"/>
        </w:rPr>
        <w:t>תפארת</w:t>
      </w:r>
      <w:r>
        <w:t xml:space="preserve"> — three different relationships, three separate </w:t>
      </w:r>
      <w:r>
        <w:rPr>
          <w:i/>
        </w:rPr>
        <w:t>"</w:t>
      </w:r>
      <w:r>
        <w:rPr>
          <w:rFonts w:ascii="David" w:hAnsi="David"/>
          <w:i/>
        </w:rPr>
        <w:t>אלקי</w:t>
      </w:r>
      <w:r>
        <w:rPr>
          <w:i/>
        </w:rPr>
        <w:t>"</w:t>
      </w:r>
      <w:r>
        <w:t xml:space="preserve">s. Standing in </w:t>
      </w:r>
      <w:r>
        <w:rPr>
          <w:rFonts w:ascii="David" w:hAnsi="David"/>
        </w:rPr>
        <w:t>שמונה עשרה</w:t>
      </w:r>
      <w:r>
        <w:t xml:space="preserve">, we are saying: </w:t>
      </w:r>
      <w:r>
        <w:rPr>
          <w:i/>
        </w:rPr>
        <w:t xml:space="preserve">I, too, am building my own relationship with </w:t>
      </w:r>
      <w:r>
        <w:rPr>
          <w:rFonts w:ascii="David" w:hAnsi="David"/>
          <w:i/>
        </w:rPr>
        <w:t>הקדוש ברוך הוא</w:t>
      </w:r>
      <w:r>
        <w:rPr>
          <w:i/>
        </w:rPr>
        <w:t xml:space="preserve"> — He is mine, in my way.</w:t>
      </w:r>
    </w:p>
    <w:p>
      <w:r>
        <w:rPr>
          <w:rFonts w:ascii="David" w:hAnsi="David"/>
          <w:b/>
          <w:color w:val="1E3A8A"/>
          <w:sz w:val="26"/>
        </w:rPr>
        <w:t>X. THEגמראINבבא מציעא— A DEEPER REASON</w:t>
      </w:r>
    </w:p>
    <w:p>
      <w:pPr>
        <w:pBdr>
          <w:bottom w:val="single" w:sz="6" w:space="1" w:color="B8860B"/>
        </w:pBdr>
      </w:pPr>
    </w:p>
    <w:p>
      <w:r>
        <w:t xml:space="preserve">There is a deeper reason we say the three names separately, found in </w:t>
      </w:r>
      <w:r>
        <w:rPr>
          <w:rFonts w:ascii="David" w:hAnsi="David"/>
        </w:rPr>
        <w:t>בבא מציעא פ"ה ע"ב</w:t>
      </w:r>
      <w:r>
        <w:rPr>
          <w:color w:val="B8860B"/>
          <w:sz w:val="16"/>
          <w:vertAlign w:val="superscript"/>
        </w:rPr>
        <w:t>[14]</w:t>
      </w:r>
      <w:r>
        <w:t xml:space="preserve"> — one of the most striking passages in </w:t>
      </w:r>
      <w:r>
        <w:rPr>
          <w:rFonts w:ascii="David" w:hAnsi="David"/>
        </w:rPr>
        <w:t>ש"ס</w:t>
      </w:r>
      <w:r>
        <w:t>.</w:t>
      </w:r>
    </w:p>
    <w:p>
      <w:r>
        <w:rPr>
          <w:rFonts w:ascii="David" w:hAnsi="David"/>
          <w:i/>
          <w:color w:val="B8860B"/>
          <w:sz w:val="24"/>
        </w:rPr>
        <w:t>Theמעשהwithאליהו הנביא</w:t>
      </w:r>
    </w:p>
    <w:p>
      <w:r>
        <w:rPr>
          <w:rFonts w:ascii="David" w:hAnsi="David"/>
        </w:rPr>
        <w:t>אליהו הנביא</w:t>
      </w:r>
      <w:r>
        <w:t xml:space="preserve"> used to come daily to learn with </w:t>
      </w:r>
      <w:r>
        <w:rPr>
          <w:rFonts w:ascii="David" w:hAnsi="David"/>
        </w:rPr>
        <w:t>רבינו הקדוש</w:t>
      </w:r>
      <w:r>
        <w:t xml:space="preserve">. One day he came late. </w:t>
      </w:r>
      <w:r>
        <w:rPr>
          <w:rFonts w:ascii="David" w:hAnsi="David"/>
        </w:rPr>
        <w:t>רבי</w:t>
      </w:r>
      <w:r>
        <w:t xml:space="preserve"> asked why.</w:t>
      </w:r>
    </w:p>
    <w:p>
      <w:r>
        <w:rPr>
          <w:i/>
        </w:rPr>
        <w:t xml:space="preserve">"I was busy waking up the </w:t>
      </w:r>
      <w:r>
        <w:rPr>
          <w:rFonts w:ascii="David" w:hAnsi="David"/>
          <w:i/>
        </w:rPr>
        <w:t>אבות הקדושים</w:t>
      </w:r>
      <w:r>
        <w:rPr>
          <w:i/>
        </w:rPr>
        <w:t>."</w:t>
      </w:r>
    </w:p>
    <w:p>
      <w:r>
        <w:rPr>
          <w:i/>
        </w:rPr>
        <w:t>"Why do you need to wake them?"</w:t>
      </w:r>
    </w:p>
    <w:p>
      <w:r>
        <w:rPr>
          <w:i/>
        </w:rPr>
        <w:t>"They need to daven; I must wake them."</w:t>
      </w:r>
    </w:p>
    <w:p>
      <w:r>
        <w:rPr>
          <w:i/>
        </w:rPr>
        <w:t>"Wake all three at once,"</w:t>
      </w:r>
      <w:r>
        <w:t xml:space="preserve"> </w:t>
      </w:r>
      <w:r>
        <w:rPr>
          <w:rFonts w:ascii="David" w:hAnsi="David"/>
        </w:rPr>
        <w:t>רבי</w:t>
      </w:r>
      <w:r>
        <w:t xml:space="preserve"> suggested. </w:t>
      </w:r>
      <w:r>
        <w:rPr>
          <w:i/>
        </w:rPr>
        <w:t>"Let them daven, put them back to sleep, and come learn with me."</w:t>
      </w:r>
    </w:p>
    <w:p>
      <w:r>
        <w:rPr>
          <w:i/>
        </w:rPr>
        <w:t>"No,"</w:t>
      </w:r>
      <w:r>
        <w:t xml:space="preserve"> </w:t>
      </w:r>
      <w:r>
        <w:rPr>
          <w:rFonts w:ascii="David" w:hAnsi="David"/>
        </w:rPr>
        <w:t>אליהו</w:t>
      </w:r>
      <w:r>
        <w:t xml:space="preserve"> answered. </w:t>
      </w:r>
      <w:r>
        <w:rPr>
          <w:i/>
        </w:rPr>
        <w:t xml:space="preserve">"I wake </w:t>
      </w:r>
      <w:r>
        <w:rPr>
          <w:rFonts w:ascii="David" w:hAnsi="David"/>
          <w:i/>
        </w:rPr>
        <w:t>אברהם</w:t>
      </w:r>
      <w:r>
        <w:rPr>
          <w:i/>
        </w:rPr>
        <w:t xml:space="preserve">, wash his hands, he davens, I put him back to sleep. Then </w:t>
      </w:r>
      <w:r>
        <w:rPr>
          <w:rFonts w:ascii="David" w:hAnsi="David"/>
          <w:i/>
        </w:rPr>
        <w:t>יצחק</w:t>
      </w:r>
      <w:r>
        <w:rPr>
          <w:i/>
        </w:rPr>
        <w:t xml:space="preserve">. Then </w:t>
      </w:r>
      <w:r>
        <w:rPr>
          <w:rFonts w:ascii="David" w:hAnsi="David"/>
          <w:i/>
        </w:rPr>
        <w:t>יעקב</w:t>
      </w:r>
      <w:r>
        <w:rPr>
          <w:i/>
        </w:rPr>
        <w:t>."</w:t>
      </w:r>
    </w:p>
    <w:p>
      <w:r>
        <w:rPr>
          <w:i/>
        </w:rPr>
        <w:t>"Why?"</w:t>
      </w:r>
    </w:p>
    <w:p>
      <w:r>
        <w:rPr>
          <w:rFonts w:ascii="David" w:hAnsi="David"/>
          <w:i/>
          <w:color w:val="B8860B"/>
          <w:sz w:val="24"/>
        </w:rPr>
        <w:t>The Power of Their Combinedתפילה</w:t>
      </w:r>
    </w:p>
    <w:p>
      <w:r>
        <w:t xml:space="preserve">The </w:t>
      </w:r>
      <w:r>
        <w:rPr>
          <w:rFonts w:ascii="David" w:hAnsi="David"/>
        </w:rPr>
        <w:t>גמרא</w:t>
      </w:r>
      <w:r>
        <w:t xml:space="preserve">'s answer: if the three </w:t>
      </w:r>
      <w:r>
        <w:rPr>
          <w:rFonts w:ascii="David" w:hAnsi="David"/>
        </w:rPr>
        <w:t>אבות הקדושים</w:t>
      </w:r>
      <w:r>
        <w:t xml:space="preserve"> davened </w:t>
      </w:r>
      <w:r>
        <w:rPr>
          <w:i/>
        </w:rPr>
        <w:t>together</w:t>
      </w:r>
      <w:r>
        <w:t xml:space="preserve">, simultaneously, in one </w:t>
      </w:r>
      <w:r>
        <w:rPr>
          <w:rFonts w:ascii="David" w:hAnsi="David"/>
        </w:rPr>
        <w:t>מנין</w:t>
      </w:r>
      <w:r>
        <w:t xml:space="preserve">, their combined </w:t>
      </w:r>
      <w:r>
        <w:rPr>
          <w:rFonts w:ascii="David" w:hAnsi="David"/>
        </w:rPr>
        <w:t>תפילה</w:t>
      </w:r>
      <w:r>
        <w:t xml:space="preserve"> would be so powerful that </w:t>
      </w:r>
      <w:r>
        <w:rPr>
          <w:rFonts w:ascii="David" w:hAnsi="David"/>
        </w:rPr>
        <w:t>משיח</w:t>
      </w:r>
      <w:r>
        <w:t xml:space="preserve"> would arrive </w:t>
      </w:r>
      <w:r>
        <w:rPr>
          <w:i/>
        </w:rPr>
        <w:t>before his time</w:t>
      </w:r>
      <w:r>
        <w:t>. The world would be shaken to its foundations; the natural order would break.</w:t>
      </w:r>
    </w:p>
    <w:p>
      <w:r>
        <w:rPr>
          <w:rFonts w:ascii="David" w:hAnsi="David"/>
          <w:i/>
          <w:color w:val="B8860B"/>
          <w:sz w:val="24"/>
        </w:rPr>
        <w:t>רבי חייאand His Sons</w:t>
      </w:r>
    </w:p>
    <w:p>
      <w:r>
        <w:rPr>
          <w:rFonts w:ascii="David" w:hAnsi="David"/>
        </w:rPr>
        <w:t>רבינו הקדוש</w:t>
      </w:r>
      <w:r>
        <w:t xml:space="preserve"> was astounded. </w:t>
      </w:r>
      <w:r>
        <w:rPr>
          <w:i/>
        </w:rPr>
        <w:t xml:space="preserve">"Is there anyone alive today whose </w:t>
      </w:r>
      <w:r>
        <w:rPr>
          <w:rFonts w:ascii="David" w:hAnsi="David"/>
          <w:i/>
        </w:rPr>
        <w:t>תפילה</w:t>
      </w:r>
      <w:r>
        <w:rPr>
          <w:i/>
        </w:rPr>
        <w:t xml:space="preserve"> together would have such power?"</w:t>
      </w:r>
    </w:p>
    <w:p>
      <w:r>
        <w:rPr>
          <w:rFonts w:ascii="David" w:hAnsi="David"/>
        </w:rPr>
        <w:t>אליהו</w:t>
      </w:r>
      <w:r>
        <w:t xml:space="preserve"> answered: </w:t>
      </w:r>
      <w:r>
        <w:rPr>
          <w:i/>
        </w:rPr>
        <w:t>"</w:t>
      </w:r>
      <w:r>
        <w:rPr>
          <w:rFonts w:ascii="David" w:hAnsi="David"/>
          <w:i/>
        </w:rPr>
        <w:t>רבי חייא</w:t>
      </w:r>
      <w:r>
        <w:rPr>
          <w:i/>
        </w:rPr>
        <w:t xml:space="preserve"> and his sons."</w:t>
      </w:r>
    </w:p>
    <w:p>
      <w:r>
        <w:rPr>
          <w:rFonts w:ascii="David" w:hAnsi="David"/>
        </w:rPr>
        <w:t>רבי</w:t>
      </w:r>
      <w:r>
        <w:t xml:space="preserve"> summoned </w:t>
      </w:r>
      <w:r>
        <w:rPr>
          <w:rFonts w:ascii="David" w:hAnsi="David"/>
        </w:rPr>
        <w:t>רבי חייא</w:t>
      </w:r>
      <w:r>
        <w:t xml:space="preserve">, his </w:t>
      </w:r>
      <w:r>
        <w:rPr>
          <w:rFonts w:ascii="David" w:hAnsi="David"/>
        </w:rPr>
        <w:t>תלמיד</w:t>
      </w:r>
      <w:r>
        <w:t xml:space="preserve">, and instructed him: </w:t>
      </w:r>
      <w:r>
        <w:rPr>
          <w:i/>
        </w:rPr>
        <w:t>"Daven together with your sons."</w:t>
      </w:r>
      <w:r>
        <w:t xml:space="preserve"> </w:t>
      </w:r>
      <w:r>
        <w:rPr>
          <w:rFonts w:ascii="David" w:hAnsi="David"/>
        </w:rPr>
        <w:t>רבי חייא</w:t>
      </w:r>
      <w:r>
        <w:t xml:space="preserve">: </w:t>
      </w:r>
      <w:r>
        <w:rPr>
          <w:i/>
        </w:rPr>
        <w:t xml:space="preserve">"I daven with them every day — I at </w:t>
      </w:r>
      <w:r>
        <w:rPr>
          <w:rFonts w:ascii="David" w:hAnsi="David"/>
          <w:i/>
        </w:rPr>
        <w:t>שחרית</w:t>
      </w:r>
      <w:r>
        <w:rPr>
          <w:i/>
        </w:rPr>
        <w:t>, they at seven, in the same shul."</w:t>
      </w:r>
      <w:r>
        <w:t xml:space="preserve"> </w:t>
      </w:r>
      <w:r>
        <w:rPr>
          <w:rFonts w:ascii="David" w:hAnsi="David"/>
        </w:rPr>
        <w:t>רבי</w:t>
      </w:r>
      <w:r>
        <w:t xml:space="preserve">: </w:t>
      </w:r>
      <w:r>
        <w:rPr>
          <w:i/>
        </w:rPr>
        <w:t xml:space="preserve">"No — together, simultaneously, in the same </w:t>
      </w:r>
      <w:r>
        <w:rPr>
          <w:rFonts w:ascii="David" w:hAnsi="David"/>
          <w:i/>
        </w:rPr>
        <w:t>מנין</w:t>
      </w:r>
      <w:r>
        <w:rPr>
          <w:i/>
        </w:rPr>
        <w:t>."</w:t>
      </w:r>
    </w:p>
    <w:p>
      <w:r>
        <w:t xml:space="preserve">They obeyed. The </w:t>
      </w:r>
      <w:r>
        <w:rPr>
          <w:rFonts w:ascii="David" w:hAnsi="David"/>
        </w:rPr>
        <w:t>גמרא</w:t>
      </w:r>
      <w:r>
        <w:t xml:space="preserve"> records what happened:</w:t>
      </w:r>
    </w:p>
    <w:p>
      <w:r>
        <w:t xml:space="preserve">The </w:t>
      </w:r>
      <w:r>
        <w:rPr>
          <w:rFonts w:ascii="David" w:hAnsi="David"/>
        </w:rPr>
        <w:t>מלאכים</w:t>
      </w:r>
      <w:r>
        <w:t xml:space="preserve"> in </w:t>
      </w:r>
      <w:r>
        <w:rPr>
          <w:rFonts w:ascii="David" w:hAnsi="David"/>
        </w:rPr>
        <w:t>שמים</w:t>
      </w:r>
      <w:r>
        <w:t xml:space="preserve"> intervened: </w:t>
      </w:r>
      <w:r>
        <w:rPr>
          <w:i/>
        </w:rPr>
        <w:t xml:space="preserve">this cannot be — </w:t>
      </w:r>
      <w:r>
        <w:rPr>
          <w:rFonts w:ascii="David" w:hAnsi="David"/>
          <w:i/>
        </w:rPr>
        <w:t>משיח</w:t>
      </w:r>
      <w:r>
        <w:rPr>
          <w:i/>
        </w:rPr>
        <w:t xml:space="preserve"> will arrive premature.</w:t>
      </w:r>
      <w:r>
        <w:t xml:space="preserve"> They asked: </w:t>
      </w:r>
      <w:r>
        <w:rPr>
          <w:i/>
        </w:rPr>
        <w:t>who revealed this secret?</w:t>
      </w:r>
      <w:r>
        <w:t xml:space="preserve"> </w:t>
      </w:r>
      <w:r>
        <w:rPr>
          <w:rFonts w:ascii="David" w:hAnsi="David"/>
        </w:rPr>
        <w:t>רבי</w:t>
      </w:r>
      <w:r>
        <w:t xml:space="preserve">: </w:t>
      </w:r>
      <w:r>
        <w:rPr>
          <w:rFonts w:ascii="David" w:hAnsi="David"/>
          <w:i/>
        </w:rPr>
        <w:t>אליהו הנביא</w:t>
      </w:r>
      <w:r>
        <w:rPr>
          <w:i/>
        </w:rPr>
        <w:t xml:space="preserve"> told me.</w:t>
      </w:r>
    </w:p>
    <w:p>
      <w:r>
        <w:t xml:space="preserve">The </w:t>
      </w:r>
      <w:r>
        <w:rPr>
          <w:rFonts w:ascii="David" w:hAnsi="David"/>
        </w:rPr>
        <w:t>גמרא</w:t>
      </w:r>
      <w:r>
        <w:t xml:space="preserve">: </w:t>
      </w:r>
      <w:r>
        <w:rPr>
          <w:rFonts w:ascii="David" w:hAnsi="David"/>
        </w:rPr>
        <w:t>אליהו הנביא</w:t>
      </w:r>
      <w:r>
        <w:t xml:space="preserve"> received </w:t>
      </w:r>
      <w:r>
        <w:rPr>
          <w:b/>
        </w:rPr>
        <w:t xml:space="preserve">sixty lashes from a </w:t>
      </w:r>
      <w:r>
        <w:rPr>
          <w:rFonts w:ascii="David" w:hAnsi="David"/>
          <w:b/>
        </w:rPr>
        <w:t>פולסא דנורא</w:t>
      </w:r>
      <w:r>
        <w:t xml:space="preserve"> — a sword of fire — for revealing the secret. From that day on, </w:t>
      </w:r>
      <w:r>
        <w:rPr>
          <w:rFonts w:ascii="David" w:hAnsi="David"/>
        </w:rPr>
        <w:t>רבי חייא</w:t>
      </w:r>
      <w:r>
        <w:t xml:space="preserve"> and his sons never davened in the same </w:t>
      </w:r>
      <w:r>
        <w:rPr>
          <w:rFonts w:ascii="David" w:hAnsi="David"/>
        </w:rPr>
        <w:t>מנין</w:t>
      </w:r>
      <w:r>
        <w:t xml:space="preserve"> again.</w:t>
      </w:r>
    </w:p>
    <w:p>
      <w:pPr>
        <w:ind w:left="288"/>
      </w:pPr>
      <w:r>
        <w:rPr>
          <w:i/>
        </w:rPr>
        <w:t xml:space="preserve">The Rebbe's wry application: if your child ever says </w:t>
      </w:r>
      <w:r>
        <w:rPr>
          <w:i/>
        </w:rPr>
        <w:t>"</w:t>
      </w:r>
      <w:r>
        <w:rPr>
          <w:rFonts w:ascii="David" w:hAnsi="David"/>
          <w:i/>
        </w:rPr>
        <w:t>טאטי</w:t>
      </w:r>
      <w:r>
        <w:rPr>
          <w:i/>
        </w:rPr>
        <w:t xml:space="preserve">, I don't want to daven in the same </w:t>
      </w:r>
      <w:r>
        <w:rPr>
          <w:rFonts w:ascii="David" w:hAnsi="David"/>
          <w:i/>
        </w:rPr>
        <w:t>מנין</w:t>
      </w:r>
      <w:r>
        <w:rPr>
          <w:i/>
        </w:rPr>
        <w:t xml:space="preserve"> as you,"</w:t>
      </w:r>
      <w:r>
        <w:rPr>
          <w:i/>
        </w:rPr>
        <w:t xml:space="preserve"> consider it a </w:t>
      </w:r>
      <w:r>
        <w:rPr>
          <w:rFonts w:ascii="David" w:hAnsi="David"/>
          <w:i/>
        </w:rPr>
        <w:t>קומפלימענט</w:t>
      </w:r>
      <w:r>
        <w:rPr>
          <w:i/>
        </w:rPr>
        <w:t xml:space="preserve">. Daven before him, in an earlier </w:t>
      </w:r>
      <w:r>
        <w:rPr>
          <w:rFonts w:ascii="David" w:hAnsi="David"/>
          <w:i/>
        </w:rPr>
        <w:t>מנין</w:t>
      </w:r>
      <w:r>
        <w:rPr>
          <w:i/>
        </w:rPr>
        <w:t>.</w:t>
      </w:r>
    </w:p>
    <w:p>
      <w:r>
        <w:t xml:space="preserve">This is the deeper reason we say </w:t>
      </w:r>
      <w:r>
        <w:rPr>
          <w:i/>
        </w:rPr>
        <w:t>"</w:t>
      </w:r>
      <w:r>
        <w:rPr>
          <w:rFonts w:ascii="David" w:hAnsi="David"/>
          <w:i/>
        </w:rPr>
        <w:t>אלקי אברהם</w:t>
      </w:r>
      <w:r>
        <w:rPr>
          <w:i/>
        </w:rPr>
        <w:t>"</w:t>
      </w:r>
      <w:r>
        <w:t xml:space="preserve">, then </w:t>
      </w:r>
      <w:r>
        <w:rPr>
          <w:i/>
        </w:rPr>
        <w:t>"</w:t>
      </w:r>
      <w:r>
        <w:rPr>
          <w:rFonts w:ascii="David" w:hAnsi="David"/>
          <w:i/>
        </w:rPr>
        <w:t>אלקי יצחק</w:t>
      </w:r>
      <w:r>
        <w:rPr>
          <w:i/>
        </w:rPr>
        <w:t>"</w:t>
      </w:r>
      <w:r>
        <w:t xml:space="preserve">, then </w:t>
      </w:r>
      <w:r>
        <w:rPr>
          <w:i/>
        </w:rPr>
        <w:t>"</w:t>
      </w:r>
      <w:r>
        <w:rPr>
          <w:rFonts w:ascii="David" w:hAnsi="David"/>
          <w:i/>
        </w:rPr>
        <w:t>אלקי יעקב</w:t>
      </w:r>
      <w:r>
        <w:rPr>
          <w:i/>
        </w:rPr>
        <w:t>"</w:t>
      </w:r>
      <w:r>
        <w:t xml:space="preserve"> — separately. Naming them together would invoke their combined </w:t>
      </w:r>
      <w:r>
        <w:rPr>
          <w:rFonts w:ascii="David" w:hAnsi="David"/>
        </w:rPr>
        <w:t>כוח תפילה</w:t>
      </w:r>
      <w:r>
        <w:t>, and the world is not yet ready.</w:t>
      </w:r>
    </w:p>
    <w:p>
      <w:r>
        <w:rPr>
          <w:rFonts w:ascii="David" w:hAnsi="David"/>
          <w:b/>
          <w:color w:val="1E3A8A"/>
          <w:sz w:val="26"/>
        </w:rPr>
        <w:t>XI."הפני מזרח מאירין עד חברון"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rFonts w:ascii="David" w:hAnsi="David"/>
        </w:rPr>
        <w:t>משנה</w:t>
      </w:r>
      <w:r>
        <w:t xml:space="preserve"> in </w:t>
      </w:r>
      <w:r>
        <w:rPr>
          <w:rFonts w:ascii="David" w:hAnsi="David"/>
        </w:rPr>
        <w:t>יומא</w:t>
      </w:r>
      <w:r>
        <w:rPr>
          <w:color w:val="B8860B"/>
          <w:sz w:val="16"/>
          <w:vertAlign w:val="superscript"/>
        </w:rPr>
        <w:t>[15]</w:t>
      </w:r>
      <w:r>
        <w:t xml:space="preserve"> describes how the </w:t>
      </w:r>
      <w:r>
        <w:rPr>
          <w:rFonts w:ascii="David" w:hAnsi="David"/>
        </w:rPr>
        <w:t>בית המקדש</w:t>
      </w:r>
      <w:r>
        <w:t xml:space="preserve"> determined when to begin the </w:t>
      </w:r>
      <w:r>
        <w:rPr>
          <w:rFonts w:ascii="David" w:hAnsi="David"/>
        </w:rPr>
        <w:t>קרבן תמיד של שחר</w:t>
      </w:r>
      <w:r>
        <w:t xml:space="preserve">: the watchman would call out, </w:t>
      </w:r>
      <w:r>
        <w:rPr>
          <w:i/>
        </w:rPr>
        <w:t>"</w:t>
      </w:r>
      <w:r>
        <w:rPr>
          <w:rFonts w:ascii="David" w:hAnsi="David"/>
          <w:i/>
        </w:rPr>
        <w:t>הפני מזרח מאירין עד חברון</w:t>
      </w:r>
      <w:r>
        <w:rPr>
          <w:i/>
        </w:rPr>
        <w:t>?"</w:t>
      </w:r>
      <w:r>
        <w:t xml:space="preserve"> — </w:t>
      </w:r>
      <w:r>
        <w:rPr>
          <w:i/>
        </w:rPr>
        <w:t xml:space="preserve">does the eastern light reach as far as </w:t>
      </w:r>
      <w:r>
        <w:rPr>
          <w:rFonts w:ascii="David" w:hAnsi="David"/>
          <w:i/>
        </w:rPr>
        <w:t>חברון</w:t>
      </w:r>
      <w:r>
        <w:rPr>
          <w:i/>
        </w:rPr>
        <w:t>?</w:t>
      </w:r>
      <w:r>
        <w:t xml:space="preserve"> If yes, the </w:t>
      </w:r>
      <w:r>
        <w:rPr>
          <w:rFonts w:ascii="David" w:hAnsi="David"/>
        </w:rPr>
        <w:t>עבודה</w:t>
      </w:r>
      <w:r>
        <w:t xml:space="preserve"> began.</w:t>
      </w:r>
    </w:p>
    <w:p>
      <w:r>
        <w:t xml:space="preserve">The </w:t>
      </w:r>
      <w:r>
        <w:rPr>
          <w:rFonts w:ascii="David" w:hAnsi="David"/>
        </w:rPr>
        <w:t>גמרא</w:t>
      </w:r>
      <w:r>
        <w:t xml:space="preserve"> asks: </w:t>
      </w:r>
      <w:r>
        <w:rPr>
          <w:i/>
        </w:rPr>
        <w:t xml:space="preserve">why specifically </w:t>
      </w:r>
      <w:r>
        <w:rPr>
          <w:rFonts w:ascii="David" w:hAnsi="David"/>
          <w:i/>
        </w:rPr>
        <w:t>חברון</w:t>
      </w:r>
      <w:r>
        <w:rPr>
          <w:i/>
        </w:rPr>
        <w:t xml:space="preserve">? Why not just </w:t>
      </w:r>
      <w:r>
        <w:rPr>
          <w:i/>
        </w:rPr>
        <w:t>"is the east bright"</w:t>
      </w:r>
      <w:r>
        <w:rPr>
          <w:i/>
        </w:rPr>
        <w:t>?</w:t>
      </w:r>
      <w:r>
        <w:t xml:space="preserve"> The answer: </w:t>
      </w:r>
      <w:r>
        <w:rPr>
          <w:b/>
        </w:rPr>
        <w:t xml:space="preserve">because the daily </w:t>
      </w:r>
      <w:r>
        <w:rPr>
          <w:rFonts w:ascii="David" w:hAnsi="David"/>
          <w:b/>
        </w:rPr>
        <w:t>עבודה</w:t>
      </w:r>
      <w:r>
        <w:rPr>
          <w:b/>
        </w:rPr>
        <w:t xml:space="preserve"> opens with </w:t>
      </w:r>
      <w:r>
        <w:rPr>
          <w:rFonts w:ascii="David" w:hAnsi="David"/>
          <w:b/>
        </w:rPr>
        <w:t>זכירת אבות</w:t>
      </w:r>
      <w:r>
        <w:t xml:space="preserve">. The </w:t>
      </w:r>
      <w:r>
        <w:rPr>
          <w:rFonts w:ascii="David" w:hAnsi="David"/>
        </w:rPr>
        <w:t>אבות הקדושים</w:t>
      </w:r>
      <w:r>
        <w:t xml:space="preserve"> are buried in </w:t>
      </w:r>
      <w:r>
        <w:rPr>
          <w:rFonts w:ascii="David" w:hAnsi="David"/>
        </w:rPr>
        <w:t>חברון</w:t>
      </w:r>
      <w:r>
        <w:t xml:space="preserve">; one mention of the place activates their </w:t>
      </w:r>
      <w:r>
        <w:rPr>
          <w:rFonts w:ascii="David" w:hAnsi="David"/>
        </w:rPr>
        <w:t>זכות</w:t>
      </w:r>
      <w:r>
        <w:t xml:space="preserve">, and the </w:t>
      </w:r>
      <w:r>
        <w:rPr>
          <w:rFonts w:ascii="David" w:hAnsi="David"/>
        </w:rPr>
        <w:t>עבודה</w:t>
      </w:r>
      <w:r>
        <w:t xml:space="preserve"> ascends </w:t>
      </w:r>
      <w:r>
        <w:rPr>
          <w:rFonts w:ascii="David" w:hAnsi="David"/>
        </w:rPr>
        <w:t>ברצון</w:t>
      </w:r>
      <w:r>
        <w:t>.</w:t>
      </w:r>
    </w:p>
    <w:p>
      <w:r>
        <w:rPr>
          <w:rFonts w:ascii="David" w:hAnsi="David"/>
        </w:rPr>
        <w:t>שמונה עשרה</w:t>
      </w:r>
      <w:r>
        <w:t xml:space="preserve"> stands </w:t>
      </w:r>
      <w:r>
        <w:rPr>
          <w:rFonts w:ascii="David" w:hAnsi="David"/>
        </w:rPr>
        <w:t>כנגד</w:t>
      </w:r>
      <w:r>
        <w:t xml:space="preserve"> the </w:t>
      </w:r>
      <w:r>
        <w:rPr>
          <w:rFonts w:ascii="David" w:hAnsi="David"/>
        </w:rPr>
        <w:t>קרבן תמיד</w:t>
      </w:r>
      <w:r>
        <w:t xml:space="preserve">. So </w:t>
      </w:r>
      <w:r>
        <w:rPr>
          <w:rFonts w:ascii="David" w:hAnsi="David"/>
        </w:rPr>
        <w:t>שמונה עשרה</w:t>
      </w:r>
      <w:r>
        <w:t xml:space="preserve"> too begins with the </w:t>
      </w:r>
      <w:r>
        <w:rPr>
          <w:rFonts w:ascii="David" w:hAnsi="David"/>
        </w:rPr>
        <w:t>אבות</w:t>
      </w:r>
      <w:r>
        <w:t xml:space="preserve"> — exactly as the </w:t>
      </w:r>
      <w:r>
        <w:rPr>
          <w:rFonts w:ascii="David" w:hAnsi="David"/>
        </w:rPr>
        <w:t>עבודה</w:t>
      </w:r>
      <w:r>
        <w:t xml:space="preserve"> began with </w:t>
      </w:r>
      <w:r>
        <w:rPr>
          <w:rFonts w:ascii="David" w:hAnsi="David"/>
        </w:rPr>
        <w:t>חברון</w:t>
      </w:r>
      <w:r>
        <w:t xml:space="preserve">. The </w:t>
      </w:r>
      <w:r>
        <w:rPr>
          <w:rFonts w:ascii="David" w:hAnsi="David"/>
        </w:rPr>
        <w:t>סאדיגורער רבי</w:t>
      </w:r>
      <w:r>
        <w:rPr>
          <w:color w:val="B8860B"/>
          <w:sz w:val="16"/>
          <w:vertAlign w:val="superscript"/>
        </w:rPr>
        <w:t>[16]</w:t>
      </w:r>
      <w:r>
        <w:t xml:space="preserve"> taught: to be </w:t>
      </w:r>
      <w:r>
        <w:rPr>
          <w:rFonts w:ascii="David" w:hAnsi="David"/>
        </w:rPr>
        <w:t>מפעיל לטובה</w:t>
      </w:r>
      <w:r>
        <w:t xml:space="preserve"> in </w:t>
      </w:r>
      <w:r>
        <w:rPr>
          <w:rFonts w:ascii="David" w:hAnsi="David"/>
        </w:rPr>
        <w:t>שמים</w:t>
      </w:r>
      <w:r>
        <w:t xml:space="preserve">, one need not say a </w:t>
      </w:r>
      <w:r>
        <w:rPr>
          <w:rFonts w:ascii="David" w:hAnsi="David"/>
        </w:rPr>
        <w:t>צדיק</w:t>
      </w:r>
      <w:r>
        <w:t xml:space="preserve">'s entire name — just </w:t>
      </w:r>
      <w:r>
        <w:rPr>
          <w:i/>
        </w:rPr>
        <w:t>"</w:t>
      </w:r>
      <w:r>
        <w:rPr>
          <w:rFonts w:ascii="David" w:hAnsi="David"/>
          <w:i/>
        </w:rPr>
        <w:t>בערדיטשעב</w:t>
      </w:r>
      <w:r>
        <w:rPr>
          <w:i/>
        </w:rPr>
        <w:t>"</w:t>
      </w:r>
      <w:r>
        <w:t xml:space="preserve"> alone reminds </w:t>
      </w:r>
      <w:r>
        <w:rPr>
          <w:rFonts w:ascii="David" w:hAnsi="David"/>
        </w:rPr>
        <w:t>הקדוש ברוך הוא</w:t>
      </w:r>
      <w:r>
        <w:t xml:space="preserve"> of the </w:t>
      </w:r>
      <w:r>
        <w:rPr>
          <w:rFonts w:ascii="David" w:hAnsi="David"/>
        </w:rPr>
        <w:t>זכות</w:t>
      </w:r>
      <w:r>
        <w:t xml:space="preserve"> of the </w:t>
      </w:r>
      <w:r>
        <w:rPr>
          <w:rFonts w:ascii="David" w:hAnsi="David"/>
        </w:rPr>
        <w:t>רב</w:t>
      </w:r>
      <w:r>
        <w:t xml:space="preserve"> of Berditchev. So too the single word </w:t>
      </w:r>
      <w:r>
        <w:rPr>
          <w:i/>
        </w:rPr>
        <w:t>"</w:t>
      </w:r>
      <w:r>
        <w:rPr>
          <w:rFonts w:ascii="David" w:hAnsi="David"/>
          <w:i/>
        </w:rPr>
        <w:t>חברון</w:t>
      </w:r>
      <w:r>
        <w:rPr>
          <w:i/>
        </w:rPr>
        <w:t>"</w:t>
      </w:r>
      <w:r>
        <w:t xml:space="preserve">; so too the opening </w:t>
      </w:r>
      <w:r>
        <w:rPr>
          <w:i/>
        </w:rPr>
        <w:t>"</w:t>
      </w:r>
      <w:r>
        <w:rPr>
          <w:rFonts w:ascii="David" w:hAnsi="David"/>
          <w:i/>
        </w:rPr>
        <w:t>אלקי אברהם</w:t>
      </w:r>
      <w:r>
        <w:rPr>
          <w:i/>
        </w:rPr>
        <w:t>"</w:t>
      </w:r>
      <w:r>
        <w:t>.</w:t>
      </w:r>
    </w:p>
    <w:p>
      <w:r>
        <w:rPr>
          <w:b/>
          <w:color w:val="1E3A8A"/>
          <w:sz w:val="26"/>
        </w:rPr>
        <w:t>XII. SYNTHESIS</w:t>
      </w:r>
    </w:p>
    <w:p>
      <w:pPr>
        <w:pBdr>
          <w:bottom w:val="single" w:sz="6" w:space="1" w:color="B8860B"/>
        </w:pBdr>
      </w:pPr>
    </w:p>
    <w:p>
      <w:r>
        <w:t xml:space="preserve">The opening of </w:t>
      </w:r>
      <w:r>
        <w:rPr>
          <w:rFonts w:ascii="David" w:hAnsi="David"/>
        </w:rPr>
        <w:t>שמונה עשרה</w:t>
      </w:r>
      <w:r>
        <w:t xml:space="preserve"> is the gateway. The first three </w:t>
      </w:r>
      <w:r>
        <w:rPr>
          <w:rFonts w:ascii="David" w:hAnsi="David"/>
        </w:rPr>
        <w:t>ברכות</w:t>
      </w:r>
      <w:r>
        <w:t xml:space="preserve"> are not flattery — they are the </w:t>
      </w:r>
      <w:r>
        <w:rPr>
          <w:rFonts w:ascii="David" w:hAnsi="David"/>
        </w:rPr>
        <w:t>תיקון</w:t>
      </w:r>
      <w:r>
        <w:t xml:space="preserve"> of the </w:t>
      </w:r>
      <w:r>
        <w:rPr>
          <w:rFonts w:ascii="David" w:hAnsi="David"/>
        </w:rPr>
        <w:t>דעת</w:t>
      </w:r>
      <w:r>
        <w:t xml:space="preserve"> of the </w:t>
      </w:r>
      <w:r>
        <w:rPr>
          <w:rFonts w:ascii="David" w:hAnsi="David"/>
        </w:rPr>
        <w:t>מתפלל</w:t>
      </w:r>
      <w:r>
        <w:t xml:space="preserve"> (</w:t>
      </w:r>
      <w:r>
        <w:rPr>
          <w:rFonts w:ascii="David" w:hAnsi="David"/>
        </w:rPr>
        <w:t>מבי"ט</w:t>
      </w:r>
      <w:r>
        <w:t xml:space="preserve">) and the bypass past the </w:t>
      </w:r>
      <w:r>
        <w:rPr>
          <w:rFonts w:ascii="David" w:hAnsi="David"/>
        </w:rPr>
        <w:t>מקטרגים</w:t>
      </w:r>
      <w:r>
        <w:t xml:space="preserve"> (</w:t>
      </w:r>
      <w:r>
        <w:rPr>
          <w:rFonts w:ascii="David" w:hAnsi="David"/>
        </w:rPr>
        <w:t>תרומת הדשן</w:t>
      </w:r>
      <w:r>
        <w:t xml:space="preserve">). They are anchored in </w:t>
      </w:r>
      <w:r>
        <w:rPr>
          <w:rFonts w:ascii="David" w:hAnsi="David"/>
        </w:rPr>
        <w:t>משה רבינו</w:t>
      </w:r>
      <w:r>
        <w:t xml:space="preserve">'s precedent in </w:t>
      </w:r>
      <w:r>
        <w:rPr>
          <w:rFonts w:ascii="David" w:hAnsi="David"/>
        </w:rPr>
        <w:t>ואתחנן</w:t>
      </w:r>
      <w:r>
        <w:t xml:space="preserve"> and codified through the lone accepted </w:t>
      </w:r>
      <w:r>
        <w:rPr>
          <w:rFonts w:ascii="David" w:hAnsi="David"/>
        </w:rPr>
        <w:t>פסק</w:t>
      </w:r>
      <w:r>
        <w:t xml:space="preserve"> of </w:t>
      </w:r>
      <w:r>
        <w:rPr>
          <w:rFonts w:ascii="David" w:hAnsi="David"/>
        </w:rPr>
        <w:t>נחום המדי</w:t>
      </w:r>
      <w:r>
        <w:t>.</w:t>
      </w:r>
    </w:p>
    <w:p>
      <w:r>
        <w:t xml:space="preserve">Within them, </w:t>
      </w:r>
      <w:r>
        <w:rPr>
          <w:rFonts w:ascii="David" w:hAnsi="David"/>
        </w:rPr>
        <w:t>ברכת אבות</w:t>
      </w:r>
      <w:r>
        <w:t xml:space="preserve"> opens by invoking each </w:t>
      </w:r>
      <w:r>
        <w:rPr>
          <w:rFonts w:ascii="David" w:hAnsi="David"/>
        </w:rPr>
        <w:t>אב</w:t>
      </w:r>
      <w:r>
        <w:t xml:space="preserve"> separately: to model that each </w:t>
      </w:r>
      <w:r>
        <w:rPr>
          <w:rFonts w:ascii="David" w:hAnsi="David"/>
        </w:rPr>
        <w:t>יהודי</w:t>
      </w:r>
      <w:r>
        <w:t xml:space="preserve"> forge his own </w:t>
      </w:r>
      <w:r>
        <w:rPr>
          <w:i/>
        </w:rPr>
        <w:t>"</w:t>
      </w:r>
      <w:r>
        <w:rPr>
          <w:rFonts w:ascii="David" w:hAnsi="David"/>
          <w:i/>
        </w:rPr>
        <w:t>זה א-לי</w:t>
      </w:r>
      <w:r>
        <w:rPr>
          <w:i/>
        </w:rPr>
        <w:t>"</w:t>
      </w:r>
      <w:r>
        <w:t xml:space="preserve"> while standing on the inheritance of </w:t>
      </w:r>
      <w:r>
        <w:rPr>
          <w:i/>
        </w:rPr>
        <w:t>"</w:t>
      </w:r>
      <w:r>
        <w:rPr>
          <w:rFonts w:ascii="David" w:hAnsi="David"/>
          <w:i/>
        </w:rPr>
        <w:t>אלקי אבי</w:t>
      </w:r>
      <w:r>
        <w:rPr>
          <w:i/>
        </w:rPr>
        <w:t>"</w:t>
      </w:r>
      <w:r>
        <w:t xml:space="preserve">; and to keep the world standing, since the combined </w:t>
      </w:r>
      <w:r>
        <w:rPr>
          <w:rFonts w:ascii="David" w:hAnsi="David"/>
        </w:rPr>
        <w:t>כוח</w:t>
      </w:r>
      <w:r>
        <w:t xml:space="preserve"> of </w:t>
      </w:r>
      <w:r>
        <w:rPr>
          <w:rFonts w:ascii="David" w:hAnsi="David"/>
        </w:rPr>
        <w:t>אברהם, יצחק, ויעקב</w:t>
      </w:r>
      <w:r>
        <w:t xml:space="preserve"> in one breath — like </w:t>
      </w:r>
      <w:r>
        <w:rPr>
          <w:rFonts w:ascii="David" w:hAnsi="David"/>
        </w:rPr>
        <w:t>רבי חייא</w:t>
      </w:r>
      <w:r>
        <w:t xml:space="preserve"> and his sons — would tear open the natural order before its time. We open as the </w:t>
      </w:r>
      <w:r>
        <w:rPr>
          <w:rFonts w:ascii="David" w:hAnsi="David"/>
        </w:rPr>
        <w:t>עבודה</w:t>
      </w:r>
      <w:r>
        <w:t xml:space="preserve"> in the </w:t>
      </w:r>
      <w:r>
        <w:rPr>
          <w:rFonts w:ascii="David" w:hAnsi="David"/>
        </w:rPr>
        <w:t>בית המקדש</w:t>
      </w:r>
      <w:r>
        <w:t xml:space="preserve"> opened: with </w:t>
      </w:r>
      <w:r>
        <w:rPr>
          <w:rFonts w:ascii="David" w:hAnsi="David"/>
        </w:rPr>
        <w:t>חברון</w:t>
      </w:r>
      <w:r>
        <w:t xml:space="preserve">, with the </w:t>
      </w:r>
      <w:r>
        <w:rPr>
          <w:rFonts w:ascii="David" w:hAnsi="David"/>
        </w:rPr>
        <w:t>אבות</w:t>
      </w:r>
      <w:r>
        <w:t xml:space="preserve">, with the </w:t>
      </w:r>
      <w:r>
        <w:rPr>
          <w:rFonts w:ascii="David" w:hAnsi="David"/>
        </w:rPr>
        <w:t>זכות</w:t>
      </w:r>
      <w:r>
        <w:t xml:space="preserve"> that lifts everything that follows. </w:t>
      </w:r>
      <w:r>
        <w:rPr>
          <w:rFonts w:ascii="David" w:hAnsi="David"/>
        </w:rPr>
        <w:t>בעזרת השם</w:t>
      </w:r>
      <w:r>
        <w:t xml:space="preserve">, next week we continue into the body of the </w:t>
      </w:r>
      <w:r>
        <w:rPr>
          <w:rFonts w:ascii="David" w:hAnsi="David"/>
        </w:rPr>
        <w:t>ברכה</w:t>
      </w:r>
      <w:r>
        <w:t>.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rFonts w:ascii="David" w:hAnsi="David"/>
          <w:b/>
          <w:color w:val="1E3A8A"/>
        </w:rPr>
        <w:t>ברכות ל"ד ע"א</w:t>
      </w:r>
      <w:r>
        <w:rPr>
          <w:b/>
          <w:color w:val="1E3A8A"/>
        </w:rPr>
        <w:t>.</w:t>
      </w:r>
      <w:r>
        <w:t xml:space="preserve"> </w:t>
      </w:r>
      <w:r>
        <w:t xml:space="preserve">— The foundational </w:t>
      </w:r>
      <w:r>
        <w:rPr>
          <w:rFonts w:ascii="David" w:hAnsi="David"/>
        </w:rPr>
        <w:t>כלל</w:t>
      </w:r>
      <w:r>
        <w:t xml:space="preserve">: no personal </w:t>
      </w:r>
      <w:r>
        <w:rPr>
          <w:rFonts w:ascii="David" w:hAnsi="David"/>
        </w:rPr>
        <w:t>בקשות</w:t>
      </w:r>
      <w:r>
        <w:t xml:space="preserve"> in the first three </w:t>
      </w:r>
      <w:r>
        <w:rPr>
          <w:rFonts w:ascii="David" w:hAnsi="David"/>
        </w:rPr>
        <w:t>ברכות</w:t>
      </w:r>
      <w:r>
        <w:t xml:space="preserve"> nor in the last three. </w:t>
      </w:r>
      <w:r>
        <w:rPr>
          <w:rFonts w:ascii="David" w:hAnsi="David"/>
        </w:rPr>
        <w:t>רבי חנינא</w:t>
      </w:r>
      <w:r>
        <w:t xml:space="preserve">'s </w:t>
      </w:r>
      <w:r>
        <w:rPr>
          <w:rFonts w:ascii="David" w:hAnsi="David"/>
        </w:rPr>
        <w:t>משל</w:t>
      </w:r>
      <w:r>
        <w:t xml:space="preserve"> of a servant approaching his master. The </w:t>
      </w:r>
      <w:r>
        <w:rPr>
          <w:rFonts w:ascii="David" w:hAnsi="David"/>
        </w:rPr>
        <w:t>פסק</w:t>
      </w:r>
      <w:r>
        <w:t xml:space="preserve"> following </w:t>
      </w:r>
      <w:r>
        <w:rPr>
          <w:rFonts w:ascii="David" w:hAnsi="David"/>
        </w:rPr>
        <w:t>נחום המדי</w:t>
      </w:r>
      <w:r>
        <w:t xml:space="preserve"> on the order of </w:t>
      </w:r>
      <w:r>
        <w:rPr>
          <w:rFonts w:ascii="David" w:hAnsi="David"/>
        </w:rPr>
        <w:t>שבח</w:t>
      </w:r>
      <w:r>
        <w:t xml:space="preserve"> before </w:t>
      </w:r>
      <w:r>
        <w:rPr>
          <w:rFonts w:ascii="David" w:hAnsi="David"/>
        </w:rPr>
        <w:t>בקשה</w:t>
      </w:r>
      <w:r>
        <w:t>.</w:t>
      </w:r>
    </w:p>
    <w:p>
      <w:r>
        <w:rPr>
          <w:b/>
          <w:color w:val="1E3A8A"/>
        </w:rPr>
        <w:t xml:space="preserve">2. </w:t>
      </w:r>
      <w:r>
        <w:rPr>
          <w:rFonts w:ascii="David" w:hAnsi="David"/>
          <w:b/>
          <w:color w:val="1E3A8A"/>
        </w:rPr>
        <w:t>דברים ג':כ"ג–כ"ה</w:t>
      </w:r>
      <w:r>
        <w:rPr>
          <w:b/>
          <w:color w:val="1E3A8A"/>
        </w:rPr>
        <w:t xml:space="preserve"> (</w:t>
      </w:r>
      <w:r>
        <w:rPr>
          <w:rFonts w:ascii="David" w:hAnsi="David"/>
          <w:b/>
          <w:color w:val="1E3A8A"/>
        </w:rPr>
        <w:t>פרשת ואתחנן</w:t>
      </w:r>
      <w:r>
        <w:rPr>
          <w:b/>
          <w:color w:val="1E3A8A"/>
        </w:rPr>
        <w:t>).</w:t>
      </w:r>
      <w:r>
        <w:t xml:space="preserve"> </w:t>
      </w:r>
      <w:r>
        <w:t xml:space="preserve">— </w:t>
      </w:r>
      <w:r>
        <w:rPr>
          <w:rFonts w:ascii="David" w:hAnsi="David"/>
        </w:rPr>
        <w:t>משה רבינו</w:t>
      </w:r>
      <w:r>
        <w:t xml:space="preserve">'s </w:t>
      </w:r>
      <w:r>
        <w:rPr>
          <w:rFonts w:ascii="David" w:hAnsi="David"/>
        </w:rPr>
        <w:t>תפילה</w:t>
      </w:r>
      <w:r>
        <w:t xml:space="preserve"> at the opening of </w:t>
      </w:r>
      <w:r>
        <w:rPr>
          <w:rFonts w:ascii="David" w:hAnsi="David"/>
        </w:rPr>
        <w:t>ואתחנן</w:t>
      </w:r>
      <w:r>
        <w:t xml:space="preserve">: he opens with </w:t>
      </w:r>
      <w:r>
        <w:rPr>
          <w:rFonts w:ascii="David" w:hAnsi="David"/>
          <w:i/>
        </w:rPr>
        <w:t>ה' אלקים אתה החילות להראות את עבדך את גדלך</w:t>
      </w:r>
      <w:r>
        <w:t xml:space="preserve"> (</w:t>
      </w:r>
      <w:r>
        <w:rPr>
          <w:rFonts w:ascii="David" w:hAnsi="David"/>
        </w:rPr>
        <w:t>שבח</w:t>
      </w:r>
      <w:r>
        <w:t xml:space="preserve">) and only afterward asks </w:t>
      </w:r>
      <w:r>
        <w:rPr>
          <w:rFonts w:ascii="David" w:hAnsi="David"/>
          <w:i/>
        </w:rPr>
        <w:t>אעברה נא</w:t>
      </w:r>
      <w:r>
        <w:t xml:space="preserve"> (</w:t>
      </w:r>
      <w:r>
        <w:rPr>
          <w:rFonts w:ascii="David" w:hAnsi="David"/>
        </w:rPr>
        <w:t>בקשה</w:t>
      </w:r>
      <w:r>
        <w:t xml:space="preserve">). The Pentateuchal precedent for the three-block structure of </w:t>
      </w:r>
      <w:r>
        <w:rPr>
          <w:rFonts w:ascii="David" w:hAnsi="David"/>
        </w:rPr>
        <w:t>שמונה עשרה</w:t>
      </w:r>
      <w:r>
        <w:t>.</w:t>
      </w:r>
    </w:p>
    <w:p>
      <w:r>
        <w:rPr>
          <w:b/>
          <w:color w:val="1E3A8A"/>
        </w:rPr>
        <w:t xml:space="preserve">3. </w:t>
      </w:r>
      <w:r>
        <w:rPr>
          <w:b/>
          <w:color w:val="1E3A8A"/>
        </w:rPr>
        <w:t xml:space="preserve">Mabit (R' Moshe ben Yosef Trani), </w:t>
      </w:r>
      <w:r>
        <w:rPr>
          <w:b/>
          <w:i/>
          <w:color w:val="1E3A8A"/>
        </w:rPr>
        <w:t>Beis Elokim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Sha'ar HaTefillah</w:t>
      </w:r>
      <w:r>
        <w:rPr>
          <w:b/>
          <w:color w:val="1E3A8A"/>
        </w:rPr>
        <w:t>.</w:t>
      </w:r>
      <w:r>
        <w:t xml:space="preserve"> </w:t>
      </w:r>
      <w:r>
        <w:t xml:space="preserve">— First </w:t>
      </w:r>
      <w:r>
        <w:rPr>
          <w:rFonts w:ascii="David" w:hAnsi="David"/>
        </w:rPr>
        <w:t>תירוץ</w:t>
      </w:r>
      <w:r>
        <w:t xml:space="preserve"> on the </w:t>
      </w:r>
      <w:r>
        <w:rPr>
          <w:rFonts w:ascii="David" w:hAnsi="David"/>
        </w:rPr>
        <w:t>חנופה</w:t>
      </w:r>
      <w:r>
        <w:t xml:space="preserve"> question: </w:t>
      </w:r>
      <w:r>
        <w:rPr>
          <w:rFonts w:ascii="David" w:hAnsi="David"/>
        </w:rPr>
        <w:t>הקדוש ברוך הוא</w:t>
      </w:r>
      <w:r>
        <w:t xml:space="preserve"> is </w:t>
      </w:r>
      <w:r>
        <w:rPr>
          <w:rFonts w:ascii="David" w:hAnsi="David"/>
          <w:i/>
        </w:rPr>
        <w:t>שלם בכל מיני שלמות ולא חסר שום דבר</w:t>
      </w:r>
      <w:r>
        <w:t xml:space="preserve">; the praise is not for </w:t>
      </w:r>
      <w:r>
        <w:rPr>
          <w:i/>
        </w:rPr>
        <w:t>His</w:t>
      </w:r>
      <w:r>
        <w:t xml:space="preserve"> benefit but for the </w:t>
      </w:r>
      <w:r>
        <w:rPr>
          <w:rFonts w:ascii="David" w:hAnsi="David"/>
        </w:rPr>
        <w:t>מתפלל</w:t>
      </w:r>
      <w:r>
        <w:t xml:space="preserve">'s. The first three </w:t>
      </w:r>
      <w:r>
        <w:rPr>
          <w:rFonts w:ascii="David" w:hAnsi="David"/>
        </w:rPr>
        <w:t>ברכות</w:t>
      </w:r>
      <w:r>
        <w:t xml:space="preserve"> install in the </w:t>
      </w:r>
      <w:r>
        <w:rPr>
          <w:rFonts w:ascii="David" w:hAnsi="David"/>
        </w:rPr>
        <w:t>מתפלל</w:t>
      </w:r>
      <w:r>
        <w:t xml:space="preserve"> the recognition that </w:t>
      </w:r>
      <w:r>
        <w:rPr>
          <w:rFonts w:ascii="David" w:hAnsi="David"/>
        </w:rPr>
        <w:t>הקדוש ברוך הוא</w:t>
      </w:r>
      <w:r>
        <w:t xml:space="preserve"> alone can grant what he is about to ask for.</w:t>
      </w:r>
    </w:p>
    <w:p>
      <w:r>
        <w:rPr>
          <w:b/>
          <w:color w:val="1E3A8A"/>
        </w:rPr>
        <w:t xml:space="preserve">4. </w:t>
      </w:r>
      <w:r>
        <w:rPr>
          <w:b/>
          <w:color w:val="1E3A8A"/>
        </w:rPr>
        <w:t xml:space="preserve">Terumas HaDeshen, </w:t>
      </w:r>
      <w:r>
        <w:rPr>
          <w:rFonts w:ascii="David" w:hAnsi="David"/>
          <w:b/>
          <w:color w:val="1E3A8A"/>
        </w:rPr>
        <w:t>הקדמה</w:t>
      </w:r>
      <w:r>
        <w:rPr>
          <w:b/>
          <w:color w:val="1E3A8A"/>
        </w:rPr>
        <w:t xml:space="preserve"> (general reference).</w:t>
      </w:r>
      <w:r>
        <w:t xml:space="preserve"> </w:t>
      </w:r>
      <w:r>
        <w:t xml:space="preserve">— Kabbalistic </w:t>
      </w:r>
      <w:r>
        <w:rPr>
          <w:rFonts w:ascii="David" w:hAnsi="David"/>
        </w:rPr>
        <w:t>תירוץ</w:t>
      </w:r>
      <w:r>
        <w:t xml:space="preserve">: each </w:t>
      </w:r>
      <w:r>
        <w:rPr>
          <w:rFonts w:ascii="David" w:hAnsi="David"/>
        </w:rPr>
        <w:t>עברה</w:t>
      </w:r>
      <w:r>
        <w:t xml:space="preserve"> generates a </w:t>
      </w:r>
      <w:r>
        <w:rPr>
          <w:rFonts w:ascii="David" w:hAnsi="David"/>
        </w:rPr>
        <w:t>מקטרג</w:t>
      </w:r>
      <w:r>
        <w:t xml:space="preserve"> and a </w:t>
      </w:r>
      <w:r>
        <w:rPr>
          <w:rFonts w:ascii="David" w:hAnsi="David"/>
        </w:rPr>
        <w:t>משטין</w:t>
      </w:r>
      <w:r>
        <w:t xml:space="preserve"> who block the </w:t>
      </w:r>
      <w:r>
        <w:rPr>
          <w:rFonts w:ascii="David" w:hAnsi="David"/>
        </w:rPr>
        <w:t>תפילה</w:t>
      </w:r>
      <w:r>
        <w:t xml:space="preserve"> from ascending. Praise of </w:t>
      </w:r>
      <w:r>
        <w:rPr>
          <w:rFonts w:ascii="David" w:hAnsi="David"/>
        </w:rPr>
        <w:t>הקדוש ברוך הוא</w:t>
      </w:r>
      <w:r>
        <w:t xml:space="preserve"> in the first three </w:t>
      </w:r>
      <w:r>
        <w:rPr>
          <w:rFonts w:ascii="David" w:hAnsi="David"/>
        </w:rPr>
        <w:t>ברכות</w:t>
      </w:r>
      <w:r>
        <w:t xml:space="preserve"> opens a pathway the prosecutors cannot block, behind which the personal </w:t>
      </w:r>
      <w:r>
        <w:rPr>
          <w:rFonts w:ascii="David" w:hAnsi="David"/>
        </w:rPr>
        <w:t>בקשות</w:t>
      </w:r>
      <w:r>
        <w:t xml:space="preserve"> can ascend.</w:t>
      </w:r>
    </w:p>
    <w:p>
      <w:r>
        <w:rPr>
          <w:b/>
          <w:color w:val="1E3A8A"/>
        </w:rPr>
        <w:t xml:space="preserve">5.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i/>
          <w:color w:val="5A4B1A"/>
          <w:sz w:val="18"/>
        </w:rPr>
        <w:t>Source-type note (biographical):</w:t>
      </w:r>
      <w:r>
        <w:rPr>
          <w:color w:val="5A4B1A"/>
          <w:sz w:val="18"/>
        </w:rPr>
        <w:t xml:space="preserve"> The </w:t>
      </w:r>
      <w:r>
        <w:rPr>
          <w:i/>
          <w:color w:val="5A4B1A"/>
          <w:sz w:val="18"/>
        </w:rPr>
        <w:t>Terumas HaDeshen</w:t>
      </w:r>
      <w:r>
        <w:rPr>
          <w:color w:val="5A4B1A"/>
          <w:sz w:val="18"/>
        </w:rPr>
        <w:t xml:space="preserve"> cited above is the medieval work of R' Yisrael Isserlein (15th c., Austria). </w:t>
      </w:r>
      <w:r>
        <w:rPr>
          <w:i/>
          <w:color w:val="5A4B1A"/>
          <w:sz w:val="18"/>
        </w:rPr>
        <w:t>Ketzos HaChoshen</w:t>
      </w:r>
      <w:r>
        <w:rPr>
          <w:color w:val="5A4B1A"/>
          <w:sz w:val="18"/>
        </w:rPr>
        <w:t xml:space="preserve"> — a separate work referenced in the shiur — is by R' Aryeh Leib HaKohen Heller (c. 1745–1812, Stryi, Galicia); his elder brother R' Yehudah Kahana Heller authored </w:t>
      </w:r>
      <w:r>
        <w:rPr>
          <w:i/>
          <w:color w:val="5A4B1A"/>
          <w:sz w:val="18"/>
        </w:rPr>
        <w:t>Kuntras HaSefeikos</w:t>
      </w:r>
      <w:r>
        <w:rPr>
          <w:color w:val="5A4B1A"/>
          <w:sz w:val="18"/>
        </w:rPr>
        <w:t xml:space="preserve">, which is customarily printed together with </w:t>
      </w:r>
      <w:r>
        <w:rPr>
          <w:i/>
          <w:color w:val="5A4B1A"/>
          <w:sz w:val="18"/>
        </w:rPr>
        <w:t>Ketzos</w:t>
      </w:r>
      <w:r>
        <w:rPr>
          <w:color w:val="5A4B1A"/>
          <w:sz w:val="18"/>
        </w:rPr>
        <w:t>.</w:t>
      </w:r>
    </w:p>
    <w:p>
      <w:r>
        <w:rPr>
          <w:b/>
          <w:color w:val="1E3A8A"/>
        </w:rPr>
        <w:t xml:space="preserve">6. </w:t>
      </w:r>
      <w:r>
        <w:rPr>
          <w:b/>
          <w:i/>
          <w:color w:val="1E3A8A"/>
        </w:rPr>
        <w:t>Zohar HaKadosh</w:t>
      </w:r>
      <w:r>
        <w:rPr>
          <w:b/>
          <w:color w:val="1E3A8A"/>
        </w:rPr>
        <w:t xml:space="preserve"> (general reference; passages on </w:t>
      </w:r>
      <w:r>
        <w:rPr>
          <w:rFonts w:ascii="David" w:hAnsi="David"/>
          <w:b/>
          <w:color w:val="1E3A8A"/>
        </w:rPr>
        <w:t>המקטרגים</w:t>
      </w:r>
      <w:r>
        <w:rPr>
          <w:b/>
          <w:color w:val="1E3A8A"/>
        </w:rPr>
        <w:t>).</w:t>
      </w:r>
      <w:r>
        <w:t xml:space="preserve"> </w:t>
      </w:r>
      <w:r>
        <w:t xml:space="preserve">— The Zoharic source for the spiritual mechanics of </w:t>
      </w:r>
      <w:r>
        <w:rPr>
          <w:rFonts w:ascii="David" w:hAnsi="David"/>
        </w:rPr>
        <w:t>מקטרגים</w:t>
      </w:r>
      <w:r>
        <w:t xml:space="preserve"> and </w:t>
      </w:r>
      <w:r>
        <w:rPr>
          <w:rFonts w:ascii="David" w:hAnsi="David"/>
        </w:rPr>
        <w:t>משטינים</w:t>
      </w:r>
      <w:r>
        <w:t xml:space="preserve"> blocking </w:t>
      </w:r>
      <w:r>
        <w:rPr>
          <w:rFonts w:ascii="David" w:hAnsi="David"/>
        </w:rPr>
        <w:t>תפילה</w:t>
      </w:r>
      <w:r>
        <w:t xml:space="preserve">. The Baal Shem Tov's wry illustration in Apt — a </w:t>
      </w:r>
      <w:r>
        <w:rPr>
          <w:rFonts w:ascii="David" w:hAnsi="David"/>
        </w:rPr>
        <w:t>בית מדרש</w:t>
      </w:r>
      <w:r>
        <w:t xml:space="preserve"> "full of </w:t>
      </w:r>
      <w:r>
        <w:rPr>
          <w:rFonts w:ascii="David" w:hAnsi="David"/>
        </w:rPr>
        <w:t>תפילה</w:t>
      </w:r>
      <w:r>
        <w:t xml:space="preserve">" because the </w:t>
      </w:r>
      <w:r>
        <w:rPr>
          <w:rFonts w:ascii="David" w:hAnsi="David"/>
        </w:rPr>
        <w:t>תפילות</w:t>
      </w:r>
      <w:r>
        <w:t xml:space="preserve"> have no wings to leave the room — flows from the same framework.</w:t>
      </w:r>
    </w:p>
    <w:p>
      <w:r>
        <w:rPr>
          <w:b/>
          <w:color w:val="1E3A8A"/>
        </w:rPr>
        <w:t xml:space="preserve">7. </w:t>
      </w:r>
      <w:r>
        <w:rPr>
          <w:b/>
          <w:i/>
          <w:color w:val="1E3A8A"/>
        </w:rPr>
        <w:t>Bava Metzia</w:t>
      </w:r>
      <w:r>
        <w:rPr>
          <w:b/>
          <w:color w:val="1E3A8A"/>
        </w:rPr>
        <w:t xml:space="preserve"> 33b and parallels — </w:t>
      </w:r>
      <w:r>
        <w:rPr>
          <w:rFonts w:ascii="David" w:hAnsi="David"/>
          <w:b/>
          <w:i/>
          <w:color w:val="1E3A8A"/>
        </w:rPr>
        <w:t>תשתכח דברי מעיה</w:t>
      </w:r>
      <w:r>
        <w:rPr>
          <w:b/>
          <w:color w:val="1E3A8A"/>
        </w:rPr>
        <w:t>; the rejection of Nachum HaModi's positions.</w:t>
      </w:r>
      <w:r>
        <w:t xml:space="preserve"> </w:t>
      </w:r>
      <w:r>
        <w:t xml:space="preserve">— The remarkable </w:t>
      </w:r>
      <w:r>
        <w:rPr>
          <w:rFonts w:ascii="David" w:hAnsi="David"/>
        </w:rPr>
        <w:t>לשון</w:t>
      </w:r>
      <w:r>
        <w:t xml:space="preserve">: nearly all of </w:t>
      </w:r>
      <w:r>
        <w:rPr>
          <w:rFonts w:ascii="David" w:hAnsi="David"/>
        </w:rPr>
        <w:t>נחום המדי</w:t>
      </w:r>
      <w:r>
        <w:t xml:space="preserve">'s positions were rejected. </w:t>
      </w:r>
      <w:r>
        <w:rPr>
          <w:rFonts w:ascii="David" w:hAnsi="David"/>
        </w:rPr>
        <w:t>בר מניומי</w:t>
      </w:r>
      <w:r>
        <w:t xml:space="preserve">'s complaint to </w:t>
      </w:r>
      <w:r>
        <w:rPr>
          <w:rFonts w:ascii="David" w:hAnsi="David"/>
        </w:rPr>
        <w:t>אביי</w:t>
      </w:r>
      <w:r>
        <w:t xml:space="preserve">; the one accepted position is the structural rule of </w:t>
      </w:r>
      <w:r>
        <w:rPr>
          <w:rFonts w:ascii="David" w:hAnsi="David"/>
        </w:rPr>
        <w:t>שבח</w:t>
      </w:r>
      <w:r>
        <w:t xml:space="preserve"> before </w:t>
      </w:r>
      <w:r>
        <w:rPr>
          <w:rFonts w:ascii="David" w:hAnsi="David"/>
        </w:rPr>
        <w:t>בקשה</w:t>
      </w:r>
      <w:r>
        <w:t xml:space="preserve"> in </w:t>
      </w:r>
      <w:r>
        <w:rPr>
          <w:rFonts w:ascii="David" w:hAnsi="David"/>
        </w:rPr>
        <w:t>שמונה עשרה</w:t>
      </w:r>
      <w:r>
        <w:t>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Bava Metzia</w:t>
      </w:r>
      <w:r>
        <w:rPr>
          <w:b/>
          <w:color w:val="1E3A8A"/>
        </w:rPr>
        <w:t xml:space="preserve"> 59b — </w:t>
      </w:r>
      <w:r>
        <w:rPr>
          <w:rFonts w:ascii="David" w:hAnsi="David"/>
          <w:b/>
          <w:i/>
          <w:color w:val="1E3A8A"/>
        </w:rPr>
        <w:t>תנור של עכנאי</w:t>
      </w:r>
      <w:r>
        <w:rPr>
          <w:b/>
          <w:color w:val="1E3A8A"/>
        </w:rPr>
        <w:t>.</w:t>
      </w:r>
      <w:r>
        <w:t xml:space="preserve"> </w:t>
      </w:r>
      <w:r>
        <w:t xml:space="preserve">— The famous </w:t>
      </w:r>
      <w:r>
        <w:rPr>
          <w:rFonts w:ascii="David" w:hAnsi="David"/>
        </w:rPr>
        <w:t>סוגיא</w:t>
      </w:r>
      <w:r>
        <w:t xml:space="preserve"> of </w:t>
      </w:r>
      <w:r>
        <w:rPr>
          <w:rFonts w:ascii="David" w:hAnsi="David"/>
        </w:rPr>
        <w:t>רבי אליעזר בן הורקנוס</w:t>
      </w:r>
      <w:r>
        <w:t xml:space="preserve"> and the </w:t>
      </w:r>
      <w:r>
        <w:rPr>
          <w:rFonts w:ascii="David" w:hAnsi="David"/>
        </w:rPr>
        <w:t>חרם</w:t>
      </w:r>
      <w:r>
        <w:t xml:space="preserve"> placed on him. The parallel to </w:t>
      </w:r>
      <w:r>
        <w:rPr>
          <w:rFonts w:ascii="David" w:hAnsi="David"/>
        </w:rPr>
        <w:t>נחום המדי</w:t>
      </w:r>
      <w:r>
        <w:t xml:space="preserve">'s rejection: the only other </w:t>
      </w:r>
      <w:r>
        <w:rPr>
          <w:rFonts w:ascii="David" w:hAnsi="David"/>
        </w:rPr>
        <w:t>תנא</w:t>
      </w:r>
      <w:r>
        <w:t xml:space="preserve"> in </w:t>
      </w:r>
      <w:r>
        <w:rPr>
          <w:rFonts w:ascii="David" w:hAnsi="David"/>
        </w:rPr>
        <w:t>ש"ס</w:t>
      </w:r>
      <w:r>
        <w:t xml:space="preserve"> whose words receive systematic dismissal.</w:t>
      </w:r>
    </w:p>
    <w:p>
      <w:r>
        <w:rPr>
          <w:b/>
          <w:color w:val="1E3A8A"/>
        </w:rPr>
        <w:t xml:space="preserve">9. </w:t>
      </w:r>
      <w:r>
        <w:rPr>
          <w:b/>
          <w:i/>
          <w:color w:val="1E3A8A"/>
        </w:rPr>
        <w:t>Ta'anis</w:t>
      </w:r>
      <w:r>
        <w:rPr>
          <w:b/>
          <w:color w:val="1E3A8A"/>
        </w:rPr>
        <w:t xml:space="preserve"> 21a — Nachum Ish Gamzu (</w:t>
      </w:r>
      <w:r>
        <w:rPr>
          <w:rFonts w:ascii="David" w:hAnsi="David"/>
          <w:b/>
          <w:i/>
          <w:color w:val="1E3A8A"/>
        </w:rPr>
        <w:t>גם זו לטובה</w:t>
      </w:r>
      <w:r>
        <w:rPr>
          <w:b/>
          <w:color w:val="1E3A8A"/>
        </w:rPr>
        <w:t>); cf. R' Chananel ad loc.</w:t>
      </w:r>
      <w:r>
        <w:t xml:space="preserve"> </w:t>
      </w:r>
      <w:r>
        <w:t xml:space="preserve">— The </w:t>
      </w:r>
      <w:r>
        <w:rPr>
          <w:rFonts w:ascii="David" w:hAnsi="David"/>
        </w:rPr>
        <w:t>תנא</w:t>
      </w:r>
      <w:r>
        <w:t xml:space="preserve"> who said </w:t>
      </w:r>
      <w:r>
        <w:rPr>
          <w:rFonts w:ascii="David" w:hAnsi="David"/>
          <w:i/>
        </w:rPr>
        <w:t>גם זו לטובה</w:t>
      </w:r>
      <w:r>
        <w:t xml:space="preserve"> on every event; the </w:t>
      </w:r>
      <w:r>
        <w:rPr>
          <w:rFonts w:ascii="David" w:hAnsi="David"/>
        </w:rPr>
        <w:t>רבי</w:t>
      </w:r>
      <w:r>
        <w:t xml:space="preserve"> of </w:t>
      </w:r>
      <w:r>
        <w:rPr>
          <w:rFonts w:ascii="David" w:hAnsi="David"/>
        </w:rPr>
        <w:t>רבי עקיבא</w:t>
      </w:r>
      <w:r>
        <w:t xml:space="preserve">. R' Chananel notes the existence of a city </w:t>
      </w:r>
      <w:r>
        <w:rPr>
          <w:rFonts w:ascii="David" w:hAnsi="David"/>
        </w:rPr>
        <w:t>גמזו</w:t>
      </w:r>
      <w:r>
        <w:t xml:space="preserve"> in </w:t>
      </w:r>
      <w:r>
        <w:rPr>
          <w:rFonts w:ascii="David" w:hAnsi="David"/>
        </w:rPr>
        <w:t>ארץ ישראל</w:t>
      </w:r>
      <w:r>
        <w:t xml:space="preserve"> (today </w:t>
      </w:r>
      <w:r>
        <w:rPr>
          <w:rFonts w:ascii="David" w:hAnsi="David"/>
        </w:rPr>
        <w:t>מושב גמזו</w:t>
      </w:r>
      <w:r>
        <w:t xml:space="preserve"> between </w:t>
      </w:r>
      <w:r>
        <w:rPr>
          <w:rFonts w:ascii="David" w:hAnsi="David"/>
        </w:rPr>
        <w:t>לוד</w:t>
      </w:r>
      <w:r>
        <w:t xml:space="preserve"> and </w:t>
      </w:r>
      <w:r>
        <w:rPr>
          <w:rFonts w:ascii="David" w:hAnsi="David"/>
        </w:rPr>
        <w:t>מודיעין</w:t>
      </w:r>
      <w:r>
        <w:t xml:space="preserve">) — the title may be both geographic and dispositional. Some </w:t>
      </w:r>
      <w:r>
        <w:rPr>
          <w:rFonts w:ascii="David" w:hAnsi="David"/>
        </w:rPr>
        <w:t>ספרים</w:t>
      </w:r>
      <w:r>
        <w:t xml:space="preserve"> identify </w:t>
      </w:r>
      <w:r>
        <w:rPr>
          <w:rFonts w:ascii="David" w:hAnsi="David"/>
        </w:rPr>
        <w:t>נחום המדי</w:t>
      </w:r>
      <w:r>
        <w:t xml:space="preserve"> with </w:t>
      </w:r>
      <w:r>
        <w:rPr>
          <w:rFonts w:ascii="David" w:hAnsi="David"/>
        </w:rPr>
        <w:t>נחום איש גמזו</w:t>
      </w:r>
      <w:r>
        <w:t>.</w:t>
      </w:r>
    </w:p>
    <w:p>
      <w:r>
        <w:rPr>
          <w:b/>
          <w:color w:val="1E3A8A"/>
        </w:rPr>
        <w:t xml:space="preserve">10. </w:t>
      </w:r>
      <w:r>
        <w:rPr>
          <w:b/>
          <w:color w:val="1E3A8A"/>
        </w:rPr>
        <w:t xml:space="preserve">Tur and Shulchan Aruch, </w:t>
      </w:r>
      <w:r>
        <w:rPr>
          <w:rFonts w:ascii="David" w:hAnsi="David"/>
          <w:b/>
          <w:color w:val="1E3A8A"/>
        </w:rPr>
        <w:t>אורח חיים סימן תרי"ג</w:t>
      </w:r>
      <w:r>
        <w:rPr>
          <w:b/>
          <w:color w:val="1E3A8A"/>
        </w:rPr>
        <w:t>; cf. citation of Rav Hai Gaon.</w:t>
      </w:r>
      <w:r>
        <w:t xml:space="preserve"> </w:t>
      </w:r>
      <w:r>
        <w:t xml:space="preserve">— Rav Hai Gaon's </w:t>
      </w:r>
      <w:r>
        <w:rPr>
          <w:rFonts w:ascii="David" w:hAnsi="David"/>
        </w:rPr>
        <w:t>קושיא</w:t>
      </w:r>
      <w:r>
        <w:t xml:space="preserve"> on adding </w:t>
      </w:r>
      <w:r>
        <w:rPr>
          <w:rFonts w:ascii="David" w:hAnsi="David"/>
          <w:i/>
        </w:rPr>
        <w:t>זכרנו לחיים</w:t>
      </w:r>
      <w:r>
        <w:t xml:space="preserve"> in the first three </w:t>
      </w:r>
      <w:r>
        <w:rPr>
          <w:rFonts w:ascii="David" w:hAnsi="David"/>
        </w:rPr>
        <w:t>ברכות</w:t>
      </w:r>
      <w:r>
        <w:t xml:space="preserve"> during </w:t>
      </w:r>
      <w:r>
        <w:rPr>
          <w:rFonts w:ascii="David" w:hAnsi="David"/>
        </w:rPr>
        <w:t>עשרת ימי תשובה</w:t>
      </w:r>
      <w:r>
        <w:t xml:space="preserve">; the variation in his Pumbedisa </w:t>
      </w:r>
      <w:r>
        <w:rPr>
          <w:rFonts w:ascii="David" w:hAnsi="David"/>
        </w:rPr>
        <w:t>ישיבה</w:t>
      </w:r>
      <w:r>
        <w:t xml:space="preserve"> on whether to say it; the </w:t>
      </w:r>
      <w:r>
        <w:rPr>
          <w:rFonts w:ascii="David" w:hAnsi="David"/>
        </w:rPr>
        <w:t>פסק</w:t>
      </w:r>
      <w:r>
        <w:t xml:space="preserve">: it is a </w:t>
      </w:r>
      <w:r>
        <w:rPr>
          <w:rFonts w:ascii="David" w:hAnsi="David"/>
        </w:rPr>
        <w:t>צורך ציבור</w:t>
      </w:r>
      <w:r>
        <w:t xml:space="preserve">, not a private request, and may be added. The Chassidic reading: </w:t>
      </w:r>
      <w:r>
        <w:rPr>
          <w:rFonts w:ascii="David" w:hAnsi="David"/>
        </w:rPr>
        <w:t>חיים</w:t>
      </w:r>
      <w:r>
        <w:t xml:space="preserve"> as a vehicle for </w:t>
      </w:r>
      <w:r>
        <w:rPr>
          <w:rFonts w:ascii="David" w:hAnsi="David"/>
        </w:rPr>
        <w:t>עבודת ה'</w:t>
      </w:r>
      <w:r>
        <w:t xml:space="preserve"> reframes the </w:t>
      </w:r>
      <w:r>
        <w:rPr>
          <w:rFonts w:ascii="David" w:hAnsi="David"/>
        </w:rPr>
        <w:t>בקשה</w:t>
      </w:r>
      <w:r>
        <w:t xml:space="preserve"> as </w:t>
      </w:r>
      <w:r>
        <w:rPr>
          <w:rFonts w:ascii="David" w:hAnsi="David"/>
        </w:rPr>
        <w:t>שבח</w:t>
      </w:r>
      <w:r>
        <w:t>.</w:t>
      </w:r>
    </w:p>
    <w:p>
      <w:r>
        <w:rPr>
          <w:b/>
          <w:color w:val="1E3A8A"/>
        </w:rPr>
        <w:t xml:space="preserve">11. </w:t>
      </w:r>
      <w:r>
        <w:rPr>
          <w:b/>
          <w:color w:val="1E3A8A"/>
        </w:rPr>
        <w:t xml:space="preserve">Tosfos, </w:t>
      </w:r>
      <w:r>
        <w:rPr>
          <w:b/>
          <w:i/>
          <w:color w:val="1E3A8A"/>
        </w:rPr>
        <w:t>Berachos</w:t>
      </w:r>
      <w:r>
        <w:rPr>
          <w:b/>
          <w:color w:val="1E3A8A"/>
        </w:rPr>
        <w:t xml:space="preserve"> 40a, s.v. </w:t>
      </w:r>
      <w:r>
        <w:rPr>
          <w:rFonts w:ascii="David" w:hAnsi="David"/>
          <w:b/>
          <w:i/>
          <w:color w:val="1E3A8A"/>
        </w:rPr>
        <w:t>אמר רב</w:t>
      </w:r>
      <w:r>
        <w:rPr>
          <w:b/>
          <w:color w:val="1E3A8A"/>
        </w:rPr>
        <w:t>.</w:t>
      </w:r>
      <w:r>
        <w:t xml:space="preserve"> </w:t>
      </w:r>
      <w:r>
        <w:t xml:space="preserve">— On the principle </w:t>
      </w:r>
      <w:r>
        <w:rPr>
          <w:rFonts w:ascii="David" w:hAnsi="David"/>
          <w:i/>
        </w:rPr>
        <w:t>כל ברכה שאין בה מלכות אינה ברכה</w:t>
      </w:r>
      <w:r>
        <w:t xml:space="preserve"> and the absence of explicit </w:t>
      </w:r>
      <w:r>
        <w:rPr>
          <w:rFonts w:ascii="David" w:hAnsi="David"/>
          <w:i/>
        </w:rPr>
        <w:t>מלך העולם</w:t>
      </w:r>
      <w:r>
        <w:t xml:space="preserve"> in </w:t>
      </w:r>
      <w:r>
        <w:rPr>
          <w:rFonts w:ascii="David" w:hAnsi="David"/>
        </w:rPr>
        <w:t>ברכת אבות</w:t>
      </w:r>
      <w:r>
        <w:t xml:space="preserve">. Tosfos' answer: the mention of </w:t>
      </w:r>
      <w:r>
        <w:rPr>
          <w:rFonts w:ascii="David" w:hAnsi="David"/>
        </w:rPr>
        <w:t>אברהם אבינו</w:t>
      </w:r>
      <w:r>
        <w:t xml:space="preserve"> functions as the </w:t>
      </w:r>
      <w:r>
        <w:rPr>
          <w:rFonts w:ascii="David" w:hAnsi="David"/>
        </w:rPr>
        <w:t>מלכות</w:t>
      </w:r>
      <w:r>
        <w:t xml:space="preserve">, since he was the one who revealed the </w:t>
      </w:r>
      <w:r>
        <w:rPr>
          <w:rFonts w:ascii="David" w:hAnsi="David"/>
        </w:rPr>
        <w:t>מלכות שמים</w:t>
      </w:r>
      <w:r>
        <w:t xml:space="preserve"> to the world. Unique to </w:t>
      </w:r>
      <w:r>
        <w:rPr>
          <w:rFonts w:ascii="David" w:hAnsi="David"/>
        </w:rPr>
        <w:t>ברכת אבות</w:t>
      </w:r>
      <w:r>
        <w:t xml:space="preserve">; not a general substitute for </w:t>
      </w:r>
      <w:r>
        <w:rPr>
          <w:rFonts w:ascii="David" w:hAnsi="David"/>
          <w:i/>
        </w:rPr>
        <w:t>מלך</w:t>
      </w:r>
      <w:r>
        <w:t>.</w:t>
      </w:r>
    </w:p>
    <w:p>
      <w:r>
        <w:rPr>
          <w:b/>
          <w:color w:val="1E3A8A"/>
        </w:rPr>
        <w:t xml:space="preserve">12. </w:t>
      </w:r>
      <w:r>
        <w:rPr>
          <w:b/>
          <w:i/>
          <w:color w:val="1E3A8A"/>
        </w:rPr>
        <w:t>Yearos Devash</w:t>
      </w:r>
      <w:r>
        <w:rPr>
          <w:b/>
          <w:color w:val="1E3A8A"/>
        </w:rPr>
        <w:t xml:space="preserve"> (R' Yonasan Eybeschütz) — </w:t>
      </w:r>
      <w:r>
        <w:rPr>
          <w:rFonts w:ascii="David" w:hAnsi="David"/>
          <w:b/>
          <w:color w:val="1E3A8A"/>
        </w:rPr>
        <w:t>דרשות</w:t>
      </w:r>
      <w:r>
        <w:rPr>
          <w:b/>
          <w:color w:val="1E3A8A"/>
        </w:rPr>
        <w:t xml:space="preserve"> from Prague (general reference; the </w:t>
      </w:r>
      <w:r>
        <w:rPr>
          <w:rFonts w:ascii="David" w:hAnsi="David"/>
          <w:b/>
          <w:color w:val="1E3A8A"/>
        </w:rPr>
        <w:t>דרשה</w:t>
      </w:r>
      <w:r>
        <w:rPr>
          <w:b/>
          <w:color w:val="1E3A8A"/>
        </w:rPr>
        <w:t xml:space="preserve"> on </w:t>
      </w:r>
      <w:r>
        <w:rPr>
          <w:rFonts w:ascii="David" w:hAnsi="David"/>
          <w:b/>
          <w:color w:val="1E3A8A"/>
        </w:rPr>
        <w:t>חזנות</w:t>
      </w:r>
      <w:r>
        <w:rPr>
          <w:b/>
          <w:color w:val="1E3A8A"/>
        </w:rPr>
        <w:t xml:space="preserve"> on the </w:t>
      </w:r>
      <w:r>
        <w:rPr>
          <w:rFonts w:ascii="David" w:hAnsi="David"/>
          <w:b/>
          <w:color w:val="1E3A8A"/>
        </w:rPr>
        <w:t>ימים נוראים</w:t>
      </w:r>
      <w:r>
        <w:rPr>
          <w:b/>
          <w:color w:val="1E3A8A"/>
        </w:rPr>
        <w:t>).</w:t>
      </w:r>
      <w:r>
        <w:t xml:space="preserve"> </w:t>
      </w:r>
      <w:r>
        <w:t xml:space="preserve">— The sharp </w:t>
      </w:r>
      <w:r>
        <w:rPr>
          <w:rFonts w:ascii="David" w:hAnsi="David"/>
        </w:rPr>
        <w:t>קושיא</w:t>
      </w:r>
      <w:r>
        <w:t xml:space="preserve"> on elaborate </w:t>
      </w:r>
      <w:r>
        <w:rPr>
          <w:rFonts w:ascii="David" w:hAnsi="David"/>
        </w:rPr>
        <w:t>חזנות</w:t>
      </w:r>
      <w:r>
        <w:t xml:space="preserve"> on the </w:t>
      </w:r>
      <w:r>
        <w:rPr>
          <w:rFonts w:ascii="David" w:hAnsi="David"/>
        </w:rPr>
        <w:t>ימים נוראים</w:t>
      </w:r>
      <w:r>
        <w:t xml:space="preserve">: even the </w:t>
      </w:r>
      <w:r>
        <w:rPr>
          <w:rFonts w:ascii="David" w:hAnsi="David"/>
        </w:rPr>
        <w:t>מלאכי השרת</w:t>
      </w:r>
      <w:r>
        <w:t xml:space="preserve"> do not say </w:t>
      </w:r>
      <w:r>
        <w:rPr>
          <w:rFonts w:ascii="David" w:hAnsi="David"/>
        </w:rPr>
        <w:t>שירה</w:t>
      </w:r>
      <w:r>
        <w:t xml:space="preserve"> with </w:t>
      </w:r>
      <w:r>
        <w:rPr>
          <w:rFonts w:ascii="David" w:hAnsi="David"/>
        </w:rPr>
        <w:t>ספרי חיים וספרי מתים פתוחים</w:t>
      </w:r>
      <w:r>
        <w:t xml:space="preserve">. The resolution: when </w:t>
      </w:r>
      <w:r>
        <w:rPr>
          <w:rFonts w:ascii="David" w:hAnsi="David"/>
        </w:rPr>
        <w:t>חזנות</w:t>
      </w:r>
      <w:r>
        <w:t xml:space="preserve"> elevates the </w:t>
      </w:r>
      <w:r>
        <w:rPr>
          <w:rFonts w:ascii="David" w:hAnsi="David"/>
        </w:rPr>
        <w:t>כוונה</w:t>
      </w:r>
      <w:r>
        <w:t xml:space="preserve"> of the </w:t>
      </w:r>
      <w:r>
        <w:rPr>
          <w:rFonts w:ascii="David" w:hAnsi="David"/>
        </w:rPr>
        <w:t>קהל</w:t>
      </w:r>
      <w:r>
        <w:t xml:space="preserve">, it serves </w:t>
      </w:r>
      <w:r>
        <w:rPr>
          <w:rFonts w:ascii="David" w:hAnsi="David"/>
        </w:rPr>
        <w:t>תפילה</w:t>
      </w:r>
      <w:r>
        <w:t>; when it is performance, it is empty vessel.</w:t>
      </w:r>
    </w:p>
    <w:p>
      <w:r>
        <w:rPr>
          <w:b/>
          <w:color w:val="1E3A8A"/>
        </w:rPr>
        <w:t xml:space="preserve">13. </w:t>
      </w:r>
      <w:r>
        <w:rPr>
          <w:rFonts w:ascii="David" w:hAnsi="David"/>
          <w:b/>
          <w:color w:val="1E3A8A"/>
        </w:rPr>
        <w:t>שמות ט"ו:ב</w:t>
      </w:r>
      <w:r>
        <w:rPr>
          <w:b/>
          <w:color w:val="1E3A8A"/>
        </w:rPr>
        <w:t xml:space="preserve"> — </w:t>
      </w:r>
      <w:r>
        <w:rPr>
          <w:rFonts w:ascii="David" w:hAnsi="David"/>
          <w:b/>
          <w:i/>
          <w:color w:val="1E3A8A"/>
        </w:rPr>
        <w:t>זה א-לי ואנוהו אלקי אבי וארוממנהו</w:t>
      </w:r>
      <w:r>
        <w:rPr>
          <w:b/>
          <w:color w:val="1E3A8A"/>
        </w:rPr>
        <w:t>.</w:t>
      </w:r>
      <w:r>
        <w:t xml:space="preserve"> </w:t>
      </w:r>
      <w:r>
        <w:t xml:space="preserve">— The dual structure of </w:t>
      </w:r>
      <w:r>
        <w:rPr>
          <w:rFonts w:ascii="David" w:hAnsi="David"/>
        </w:rPr>
        <w:t>אמונה</w:t>
      </w:r>
      <w:r>
        <w:t xml:space="preserve">: </w:t>
      </w:r>
      <w:r>
        <w:rPr>
          <w:rFonts w:ascii="David" w:hAnsi="David"/>
          <w:i/>
        </w:rPr>
        <w:t>אלקי אבי</w:t>
      </w:r>
      <w:r>
        <w:t xml:space="preserve"> (the inherited </w:t>
      </w:r>
      <w:r>
        <w:rPr>
          <w:rFonts w:ascii="David" w:hAnsi="David"/>
        </w:rPr>
        <w:t>מסורה</w:t>
      </w:r>
      <w:r>
        <w:t xml:space="preserve">) and </w:t>
      </w:r>
      <w:r>
        <w:rPr>
          <w:rFonts w:ascii="David" w:hAnsi="David"/>
          <w:i/>
        </w:rPr>
        <w:t>זה א-לי</w:t>
      </w:r>
      <w:r>
        <w:t xml:space="preserve"> (the personally forged connection). Underwrites the separate </w:t>
      </w:r>
      <w:r>
        <w:rPr>
          <w:rFonts w:ascii="David" w:hAnsi="David"/>
          <w:i/>
        </w:rPr>
        <w:t>אלקי אברהם, אלקי יצחק, אלקי יעקב</w:t>
      </w:r>
      <w:r>
        <w:t xml:space="preserve">: each </w:t>
      </w:r>
      <w:r>
        <w:rPr>
          <w:rFonts w:ascii="David" w:hAnsi="David"/>
        </w:rPr>
        <w:t>אב</w:t>
      </w:r>
      <w:r>
        <w:t xml:space="preserve"> built his own personal connection, distinct from the others'.</w:t>
      </w:r>
    </w:p>
    <w:p>
      <w:r>
        <w:rPr>
          <w:b/>
          <w:color w:val="1E3A8A"/>
        </w:rPr>
        <w:t xml:space="preserve">14. </w:t>
      </w:r>
      <w:r>
        <w:rPr>
          <w:b/>
          <w:i/>
          <w:color w:val="1E3A8A"/>
        </w:rPr>
        <w:t>Bava Metzia</w:t>
      </w:r>
      <w:r>
        <w:rPr>
          <w:b/>
          <w:color w:val="1E3A8A"/>
        </w:rPr>
        <w:t xml:space="preserve"> 85b.</w:t>
      </w:r>
      <w:r>
        <w:t xml:space="preserve"> </w:t>
      </w:r>
      <w:r>
        <w:t xml:space="preserve">— </w:t>
      </w:r>
      <w:r>
        <w:rPr>
          <w:rFonts w:ascii="David" w:hAnsi="David"/>
        </w:rPr>
        <w:t>אליהו הנביא</w:t>
      </w:r>
      <w:r>
        <w:t xml:space="preserve"> waking the </w:t>
      </w:r>
      <w:r>
        <w:rPr>
          <w:rFonts w:ascii="David" w:hAnsi="David"/>
        </w:rPr>
        <w:t>אבות</w:t>
      </w:r>
      <w:r>
        <w:t xml:space="preserve"> separately rather than together; the explanation that combined </w:t>
      </w:r>
      <w:r>
        <w:rPr>
          <w:rFonts w:ascii="David" w:hAnsi="David"/>
        </w:rPr>
        <w:t>תפילה</w:t>
      </w:r>
      <w:r>
        <w:t xml:space="preserve"> would bring </w:t>
      </w:r>
      <w:r>
        <w:rPr>
          <w:rFonts w:ascii="David" w:hAnsi="David"/>
        </w:rPr>
        <w:t>משיח</w:t>
      </w:r>
      <w:r>
        <w:t xml:space="preserve"> before his time; </w:t>
      </w:r>
      <w:r>
        <w:rPr>
          <w:rFonts w:ascii="David" w:hAnsi="David"/>
        </w:rPr>
        <w:t>רבי</w:t>
      </w:r>
      <w:r>
        <w:t xml:space="preserve"> instructing </w:t>
      </w:r>
      <w:r>
        <w:rPr>
          <w:rFonts w:ascii="David" w:hAnsi="David"/>
        </w:rPr>
        <w:t>רבי חייא</w:t>
      </w:r>
      <w:r>
        <w:t xml:space="preserve"> and his sons to daven together; the wind felling trees at </w:t>
      </w:r>
      <w:r>
        <w:rPr>
          <w:rFonts w:ascii="David" w:hAnsi="David"/>
          <w:i/>
        </w:rPr>
        <w:t>משיב הרוח</w:t>
      </w:r>
      <w:r>
        <w:t xml:space="preserve">; the graves shaking at </w:t>
      </w:r>
      <w:r>
        <w:rPr>
          <w:rFonts w:ascii="David" w:hAnsi="David"/>
          <w:i/>
        </w:rPr>
        <w:t>מחיה מתים</w:t>
      </w:r>
      <w:r>
        <w:t xml:space="preserve">; </w:t>
      </w:r>
      <w:r>
        <w:rPr>
          <w:rFonts w:ascii="David" w:hAnsi="David"/>
        </w:rPr>
        <w:t>אליהו הנביא</w:t>
      </w:r>
      <w:r>
        <w:t xml:space="preserve">'s sixty lashes from a </w:t>
      </w:r>
      <w:r>
        <w:rPr>
          <w:rFonts w:ascii="David" w:hAnsi="David"/>
        </w:rPr>
        <w:t>פולסא דנורא</w:t>
      </w:r>
      <w:r>
        <w:t xml:space="preserve">. The deep reason for the separate </w:t>
      </w:r>
      <w:r>
        <w:rPr>
          <w:rFonts w:ascii="David" w:hAnsi="David"/>
          <w:i/>
        </w:rPr>
        <w:t>אלקי</w:t>
      </w:r>
      <w:r>
        <w:t xml:space="preserve"> for each </w:t>
      </w:r>
      <w:r>
        <w:rPr>
          <w:rFonts w:ascii="David" w:hAnsi="David"/>
        </w:rPr>
        <w:t>אב</w:t>
      </w:r>
      <w:r>
        <w:t xml:space="preserve">: the world cannot yet bear their combined </w:t>
      </w:r>
      <w:r>
        <w:rPr>
          <w:rFonts w:ascii="David" w:hAnsi="David"/>
        </w:rPr>
        <w:t>כוח תפילה</w:t>
      </w:r>
      <w:r>
        <w:t>.</w:t>
      </w:r>
    </w:p>
    <w:p>
      <w:r>
        <w:rPr>
          <w:b/>
          <w:color w:val="1E3A8A"/>
        </w:rPr>
        <w:t xml:space="preserve">15. </w:t>
      </w:r>
      <w:r>
        <w:rPr>
          <w:b/>
          <w:color w:val="1E3A8A"/>
        </w:rPr>
        <w:t xml:space="preserve">Mishnah </w:t>
      </w:r>
      <w:r>
        <w:rPr>
          <w:b/>
          <w:i/>
          <w:color w:val="1E3A8A"/>
        </w:rPr>
        <w:t>Yoma</w:t>
      </w:r>
      <w:r>
        <w:rPr>
          <w:b/>
          <w:color w:val="1E3A8A"/>
        </w:rPr>
        <w:t xml:space="preserve"> 3:1; cf. Gemara ad loc. on </w:t>
      </w:r>
      <w:r>
        <w:rPr>
          <w:rFonts w:ascii="David" w:hAnsi="David"/>
          <w:b/>
          <w:i/>
          <w:color w:val="1E3A8A"/>
        </w:rPr>
        <w:t>הפני מזרח מאירין עד חברון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rFonts w:ascii="David" w:hAnsi="David"/>
        </w:rPr>
        <w:t>משנה</w:t>
      </w:r>
      <w:r>
        <w:t xml:space="preserve"> on the watchman's call to begin the </w:t>
      </w:r>
      <w:r>
        <w:rPr>
          <w:rFonts w:ascii="David" w:hAnsi="David"/>
        </w:rPr>
        <w:t>תמיד של שחר</w:t>
      </w:r>
      <w:r>
        <w:t xml:space="preserve">: specifically </w:t>
      </w:r>
      <w:r>
        <w:rPr>
          <w:rFonts w:ascii="David" w:hAnsi="David"/>
        </w:rPr>
        <w:t>חברון</w:t>
      </w:r>
      <w:r>
        <w:t xml:space="preserve"> (where the </w:t>
      </w:r>
      <w:r>
        <w:rPr>
          <w:rFonts w:ascii="David" w:hAnsi="David"/>
        </w:rPr>
        <w:t>אבות</w:t>
      </w:r>
      <w:r>
        <w:t xml:space="preserve"> are buried) rather than a generic </w:t>
      </w:r>
      <w:r>
        <w:rPr>
          <w:i/>
        </w:rPr>
        <w:t>"is the east bright?"</w:t>
      </w:r>
      <w:r>
        <w:t xml:space="preserve"> The </w:t>
      </w:r>
      <w:r>
        <w:rPr>
          <w:rFonts w:ascii="David" w:hAnsi="David"/>
        </w:rPr>
        <w:t>עבודה</w:t>
      </w:r>
      <w:r>
        <w:t xml:space="preserve"> opens with </w:t>
      </w:r>
      <w:r>
        <w:rPr>
          <w:rFonts w:ascii="David" w:hAnsi="David"/>
        </w:rPr>
        <w:t>זכירת אבות</w:t>
      </w:r>
      <w:r>
        <w:t xml:space="preserve">; </w:t>
      </w:r>
      <w:r>
        <w:rPr>
          <w:rFonts w:ascii="David" w:hAnsi="David"/>
        </w:rPr>
        <w:t>שמונה עשרה</w:t>
      </w:r>
      <w:r>
        <w:t xml:space="preserve"> mirrors that opening because it stands </w:t>
      </w:r>
      <w:r>
        <w:rPr>
          <w:rFonts w:ascii="David" w:hAnsi="David"/>
        </w:rPr>
        <w:t>כנגד</w:t>
      </w:r>
      <w:r>
        <w:t xml:space="preserve"> the </w:t>
      </w:r>
      <w:r>
        <w:rPr>
          <w:rFonts w:ascii="David" w:hAnsi="David"/>
        </w:rPr>
        <w:t>תמיד</w:t>
      </w:r>
      <w:r>
        <w:t>.</w:t>
      </w:r>
    </w:p>
    <w:p>
      <w:r>
        <w:rPr>
          <w:b/>
          <w:color w:val="1E3A8A"/>
        </w:rPr>
        <w:t xml:space="preserve">16.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i/>
          <w:color w:val="5A4B1A"/>
          <w:sz w:val="18"/>
        </w:rPr>
        <w:t>Source-type note (Chassidic):</w:t>
      </w:r>
      <w:r>
        <w:rPr>
          <w:color w:val="5A4B1A"/>
          <w:sz w:val="18"/>
        </w:rPr>
        <w:t xml:space="preserve"> Sadigura Rebbe (Ruzhin dynasty) — the teaching that single-word invocation of a </w:t>
      </w:r>
      <w:r>
        <w:rPr>
          <w:rFonts w:ascii="David" w:hAnsi="David"/>
          <w:color w:val="5A4B1A"/>
          <w:sz w:val="18"/>
        </w:rPr>
        <w:t>צדיק</w:t>
      </w:r>
      <w:r>
        <w:rPr>
          <w:color w:val="5A4B1A"/>
          <w:sz w:val="18"/>
        </w:rPr>
        <w:t>'s name (</w:t>
      </w:r>
      <w:r>
        <w:rPr>
          <w:rFonts w:ascii="David" w:hAnsi="David"/>
          <w:i/>
          <w:color w:val="5A4B1A"/>
          <w:sz w:val="18"/>
        </w:rPr>
        <w:t>בערדיטשעב</w:t>
      </w:r>
      <w:r>
        <w:rPr>
          <w:color w:val="5A4B1A"/>
          <w:sz w:val="18"/>
        </w:rPr>
        <w:t xml:space="preserve">) suffices to activate that </w:t>
      </w:r>
      <w:r>
        <w:rPr>
          <w:rFonts w:ascii="David" w:hAnsi="David"/>
          <w:color w:val="5A4B1A"/>
          <w:sz w:val="18"/>
        </w:rPr>
        <w:t>צדיק</w:t>
      </w:r>
      <w:r>
        <w:rPr>
          <w:color w:val="5A4B1A"/>
          <w:sz w:val="18"/>
        </w:rPr>
        <w:t xml:space="preserve">'s </w:t>
      </w:r>
      <w:r>
        <w:rPr>
          <w:rFonts w:ascii="David" w:hAnsi="David"/>
          <w:color w:val="5A4B1A"/>
          <w:sz w:val="18"/>
        </w:rPr>
        <w:t>זכות</w:t>
      </w:r>
      <w:r>
        <w:rPr>
          <w:color w:val="5A4B1A"/>
          <w:sz w:val="18"/>
        </w:rPr>
        <w:t xml:space="preserve"> in </w:t>
      </w:r>
      <w:r>
        <w:rPr>
          <w:rFonts w:ascii="David" w:hAnsi="David"/>
          <w:color w:val="5A4B1A"/>
          <w:sz w:val="18"/>
        </w:rPr>
        <w:t>שמים</w:t>
      </w:r>
      <w:r>
        <w:rPr>
          <w:color w:val="5A4B1A"/>
          <w:sz w:val="18"/>
        </w:rPr>
        <w:t xml:space="preserve">. Preserved as oral Chassidic tradition; the principle parallels the single-word </w:t>
      </w:r>
      <w:r>
        <w:rPr>
          <w:rFonts w:ascii="David" w:hAnsi="David"/>
          <w:i/>
          <w:color w:val="5A4B1A"/>
          <w:sz w:val="18"/>
        </w:rPr>
        <w:t>חברון</w:t>
      </w:r>
      <w:r>
        <w:rPr>
          <w:color w:val="5A4B1A"/>
          <w:sz w:val="18"/>
        </w:rPr>
        <w:t xml:space="preserve"> in the </w:t>
      </w:r>
      <w:r>
        <w:rPr>
          <w:rFonts w:ascii="David" w:hAnsi="David"/>
          <w:color w:val="5A4B1A"/>
          <w:sz w:val="18"/>
        </w:rPr>
        <w:t>תמיד</w:t>
      </w:r>
      <w:r>
        <w:rPr>
          <w:color w:val="5A4B1A"/>
          <w:sz w:val="18"/>
        </w:rPr>
        <w:t xml:space="preserve"> opening and </w:t>
      </w:r>
      <w:r>
        <w:rPr>
          <w:rFonts w:ascii="David" w:hAnsi="David"/>
          <w:i/>
          <w:color w:val="5A4B1A"/>
          <w:sz w:val="18"/>
        </w:rPr>
        <w:t>אלקי אברהם</w:t>
      </w:r>
      <w:r>
        <w:rPr>
          <w:color w:val="5A4B1A"/>
          <w:sz w:val="18"/>
        </w:rPr>
        <w:t xml:space="preserve"> at the head of </w:t>
      </w:r>
      <w:r>
        <w:rPr>
          <w:rFonts w:ascii="David" w:hAnsi="David"/>
          <w:color w:val="5A4B1A"/>
          <w:sz w:val="18"/>
        </w:rPr>
        <w:t>שמונה עשרה</w:t>
      </w:r>
      <w:r>
        <w:rPr>
          <w:color w:val="5A4B1A"/>
          <w:sz w:val="18"/>
        </w:rPr>
        <w:t>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  Reworked summary of Rabbi Ephrati's </w:t>
      </w:r>
      <w:r>
        <w:rPr>
          <w:rFonts w:ascii="David" w:hAnsi="David"/>
          <w:i/>
          <w:color w:val="5A4B1A"/>
          <w:sz w:val="18"/>
        </w:rPr>
        <w:t>שיעור</w:t>
      </w:r>
      <w:r>
        <w:rPr>
          <w:i/>
          <w:color w:val="5A4B1A"/>
          <w:sz w:val="18"/>
        </w:rPr>
        <w:t xml:space="preserve"> dated 23 February 2025 — the three-part structure of </w:t>
      </w:r>
      <w:r>
        <w:rPr>
          <w:rFonts w:ascii="David" w:hAnsi="David"/>
          <w:i/>
          <w:color w:val="5A4B1A"/>
          <w:sz w:val="18"/>
        </w:rPr>
        <w:t>שמונה עשרה</w:t>
      </w:r>
      <w:r>
        <w:rPr>
          <w:i/>
          <w:color w:val="5A4B1A"/>
          <w:sz w:val="18"/>
        </w:rPr>
        <w:t xml:space="preserve">; the </w:t>
      </w:r>
      <w:r>
        <w:rPr>
          <w:rFonts w:ascii="David" w:hAnsi="David"/>
          <w:i/>
          <w:color w:val="5A4B1A"/>
          <w:sz w:val="18"/>
        </w:rPr>
        <w:t>מבי"ט</w:t>
      </w:r>
      <w:r>
        <w:rPr>
          <w:i/>
          <w:color w:val="5A4B1A"/>
          <w:sz w:val="18"/>
        </w:rPr>
        <w:t xml:space="preserve">'s and </w:t>
      </w:r>
      <w:r>
        <w:rPr>
          <w:rFonts w:ascii="David" w:hAnsi="David"/>
          <w:i/>
          <w:color w:val="5A4B1A"/>
          <w:sz w:val="18"/>
        </w:rPr>
        <w:t>תרומת הדשן</w:t>
      </w:r>
      <w:r>
        <w:rPr>
          <w:i/>
          <w:color w:val="5A4B1A"/>
          <w:sz w:val="18"/>
        </w:rPr>
        <w:t xml:space="preserve">'s answers to the </w:t>
      </w:r>
      <w:r>
        <w:rPr>
          <w:rFonts w:ascii="David" w:hAnsi="David"/>
          <w:i/>
          <w:color w:val="5A4B1A"/>
          <w:sz w:val="18"/>
        </w:rPr>
        <w:t>חנופה</w:t>
      </w:r>
      <w:r>
        <w:rPr>
          <w:i/>
          <w:color w:val="5A4B1A"/>
          <w:sz w:val="18"/>
        </w:rPr>
        <w:t xml:space="preserve"> question; </w:t>
      </w:r>
      <w:r>
        <w:rPr>
          <w:rFonts w:ascii="David" w:hAnsi="David"/>
          <w:i/>
          <w:color w:val="5A4B1A"/>
          <w:sz w:val="18"/>
        </w:rPr>
        <w:t>נחום המדי</w:t>
      </w:r>
      <w:r>
        <w:rPr>
          <w:i/>
          <w:color w:val="5A4B1A"/>
          <w:sz w:val="18"/>
        </w:rPr>
        <w:t xml:space="preserve"> as a </w:t>
      </w:r>
      <w:r>
        <w:rPr>
          <w:rFonts w:ascii="David" w:hAnsi="David"/>
          <w:i/>
          <w:color w:val="5A4B1A"/>
          <w:sz w:val="18"/>
        </w:rPr>
        <w:t>תנא</w:t>
      </w:r>
      <w:r>
        <w:rPr>
          <w:i/>
          <w:color w:val="5A4B1A"/>
          <w:sz w:val="18"/>
        </w:rPr>
        <w:t xml:space="preserve"> almost universally rejected; </w:t>
      </w:r>
      <w:r>
        <w:rPr>
          <w:rFonts w:ascii="David" w:hAnsi="David"/>
          <w:i/>
          <w:color w:val="5A4B1A"/>
          <w:sz w:val="18"/>
        </w:rPr>
        <w:t>ברכת אבות</w:t>
      </w:r>
      <w:r>
        <w:rPr>
          <w:i/>
          <w:color w:val="5A4B1A"/>
          <w:sz w:val="18"/>
        </w:rPr>
        <w:t xml:space="preserve">, the </w:t>
      </w:r>
      <w:r>
        <w:rPr>
          <w:rFonts w:ascii="David" w:hAnsi="David"/>
          <w:i/>
          <w:color w:val="5A4B1A"/>
          <w:sz w:val="18"/>
        </w:rPr>
        <w:t>תוספות</w:t>
      </w:r>
      <w:r>
        <w:rPr>
          <w:i/>
          <w:color w:val="5A4B1A"/>
          <w:sz w:val="18"/>
        </w:rPr>
        <w:t xml:space="preserve"> on </w:t>
      </w:r>
      <w:r>
        <w:rPr>
          <w:rFonts w:ascii="David" w:hAnsi="David"/>
          <w:i/>
          <w:color w:val="5A4B1A"/>
          <w:sz w:val="18"/>
        </w:rPr>
        <w:t>מלכות</w:t>
      </w:r>
      <w:r>
        <w:rPr>
          <w:i/>
          <w:color w:val="5A4B1A"/>
          <w:sz w:val="18"/>
        </w:rPr>
        <w:t xml:space="preserve">, and the </w:t>
      </w:r>
      <w:r>
        <w:rPr>
          <w:rFonts w:ascii="David" w:hAnsi="David"/>
          <w:i/>
          <w:color w:val="5A4B1A"/>
          <w:sz w:val="18"/>
        </w:rPr>
        <w:t>גמרא</w:t>
      </w:r>
      <w:r>
        <w:rPr>
          <w:i/>
          <w:color w:val="5A4B1A"/>
          <w:sz w:val="18"/>
        </w:rPr>
        <w:t xml:space="preserve"> in </w:t>
      </w:r>
      <w:r>
        <w:rPr>
          <w:rFonts w:ascii="David" w:hAnsi="David"/>
          <w:i/>
          <w:color w:val="5A4B1A"/>
          <w:sz w:val="18"/>
        </w:rPr>
        <w:t>בבא מציעא</w:t>
      </w:r>
      <w:r>
        <w:rPr>
          <w:i/>
          <w:color w:val="5A4B1A"/>
          <w:sz w:val="18"/>
        </w:rPr>
        <w:t xml:space="preserve"> on </w:t>
      </w:r>
      <w:r>
        <w:rPr>
          <w:rFonts w:ascii="David" w:hAnsi="David"/>
          <w:i/>
          <w:color w:val="5A4B1A"/>
          <w:sz w:val="18"/>
        </w:rPr>
        <w:t>אליהו</w:t>
      </w:r>
      <w:r>
        <w:rPr>
          <w:i/>
          <w:color w:val="5A4B1A"/>
          <w:sz w:val="18"/>
        </w:rPr>
        <w:t xml:space="preserve">, </w:t>
      </w:r>
      <w:r>
        <w:rPr>
          <w:rFonts w:ascii="David" w:hAnsi="David"/>
          <w:i/>
          <w:color w:val="5A4B1A"/>
          <w:sz w:val="18"/>
        </w:rPr>
        <w:t>רבי חייא</w:t>
      </w:r>
      <w:r>
        <w:rPr>
          <w:i/>
          <w:color w:val="5A4B1A"/>
          <w:sz w:val="18"/>
        </w:rPr>
        <w:t xml:space="preserve">, and the </w:t>
      </w:r>
      <w:r>
        <w:rPr>
          <w:rFonts w:ascii="David" w:hAnsi="David"/>
          <w:i/>
          <w:color w:val="5A4B1A"/>
          <w:sz w:val="18"/>
        </w:rPr>
        <w:t>פולסא דנורא</w:t>
      </w:r>
      <w:r>
        <w:rPr>
          <w:i/>
          <w:color w:val="5A4B1A"/>
          <w:sz w:val="18"/>
        </w:rPr>
        <w:t>. Hebrew terms preserved in the Hebrew alphabet; personal asides have been omitted; biographical and source content from the transcript has been integrated. Mareh Mekomos upgraded with dual-layer (short + expanded) footnotes.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