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B8860B"/>
        </w:pBdr>
      </w:pPr>
    </w:p>
    <w:p>
      <w:pPr>
        <w:jc w:val="center"/>
      </w:pPr>
      <w:r>
        <w:rPr>
          <w:rFonts w:ascii="David" w:hAnsi="David"/>
          <w:b/>
          <w:color w:val="1E3A8A"/>
          <w:sz w:val="36"/>
        </w:rPr>
        <w:t>הָאֵל הַגָּדוֹל הַגִּבּוֹר וְהַנּוֹרָא — שְׁתֵּי הַכְּרִיעוֹת וּבִרְכַּת גְּבוּרוֹת</w:t>
      </w:r>
    </w:p>
    <w:p>
      <w:pPr>
        <w:pBdr>
          <w:bottom w:val="single" w:sz="6" w:space="1" w:color="B8860B"/>
        </w:pBdr>
      </w:pPr>
    </w:p>
    <w:p>
      <w:r>
        <w:rPr>
          <w:i/>
        </w:rPr>
        <w:t xml:space="preserve">Continuing the body of </w:t>
      </w:r>
      <w:r>
        <w:rPr>
          <w:i/>
        </w:rPr>
        <w:t>Birkas Avos</w:t>
      </w:r>
      <w:r>
        <w:rPr>
          <w:i/>
        </w:rPr>
        <w:t xml:space="preserve"> (</w:t>
      </w:r>
      <w:r>
        <w:rPr>
          <w:rFonts w:ascii="David" w:hAnsi="David"/>
          <w:i/>
        </w:rPr>
        <w:t>ברכת אבות</w:t>
      </w:r>
      <w:r>
        <w:rPr>
          <w:i/>
        </w:rPr>
        <w:t xml:space="preserve">) and turning to </w:t>
      </w:r>
      <w:r>
        <w:rPr>
          <w:i/>
        </w:rPr>
        <w:t>Birkas Gevuros</w:t>
      </w:r>
      <w:r>
        <w:rPr>
          <w:i/>
        </w:rPr>
        <w:t xml:space="preserve"> (</w:t>
      </w:r>
      <w:r>
        <w:rPr>
          <w:rFonts w:ascii="David" w:hAnsi="David"/>
          <w:i/>
        </w:rPr>
        <w:t>ברכת גבורות</w:t>
      </w:r>
      <w:r>
        <w:rPr>
          <w:i/>
        </w:rPr>
        <w:t xml:space="preserve">): the identity of the </w:t>
      </w:r>
      <w:r>
        <w:rPr>
          <w:i/>
        </w:rPr>
        <w:t>Anshei Knesses HaGedolah</w:t>
      </w:r>
      <w:r>
        <w:rPr>
          <w:i/>
        </w:rPr>
        <w:t xml:space="preserve">, the great </w:t>
      </w:r>
      <w:r>
        <w:rPr>
          <w:i/>
        </w:rPr>
        <w:t>sugya</w:t>
      </w:r>
      <w:r>
        <w:rPr>
          <w:i/>
        </w:rPr>
        <w:t xml:space="preserve"> in </w:t>
      </w:r>
      <w:r>
        <w:rPr>
          <w:i/>
        </w:rPr>
        <w:t>Yoma</w:t>
      </w:r>
      <w:r>
        <w:rPr>
          <w:i/>
        </w:rPr>
        <w:t xml:space="preserve">, the two </w:t>
      </w:r>
      <w:r>
        <w:rPr>
          <w:i/>
        </w:rPr>
        <w:t>keriyos</w:t>
      </w:r>
      <w:r>
        <w:rPr>
          <w:i/>
        </w:rPr>
        <w:t>, and the grammar of rain.</w:t>
      </w:r>
    </w:p>
    <w:p>
      <w:r>
        <w:rPr>
          <w:b/>
          <w:color w:val="1E3A8A"/>
          <w:sz w:val="26"/>
        </w:rPr>
        <w:t>I. THE ANSHEI KNESSES HAGEDOLAH — THE BODY BEHIND THE SIDDUR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Why This Body Governs Every Berachah</w:t>
      </w:r>
    </w:p>
    <w:p>
      <w:r>
        <w:t xml:space="preserve">The </w:t>
      </w:r>
      <w:r>
        <w:rPr>
          <w:i/>
        </w:rPr>
        <w:t>Anshei Knesses HaGedolah</w:t>
      </w:r>
      <w:r>
        <w:t xml:space="preserve"> (</w:t>
      </w:r>
      <w:r>
        <w:rPr>
          <w:rFonts w:ascii="David" w:hAnsi="David"/>
        </w:rPr>
        <w:t>אנשי כנסת הגדולה</w:t>
      </w:r>
      <w:r>
        <w:t xml:space="preserve">) — the Men of the Great Assembly — are the institution that stands behind every </w:t>
      </w:r>
      <w:r>
        <w:rPr>
          <w:i/>
        </w:rPr>
        <w:t>berachah</w:t>
      </w:r>
      <w:r>
        <w:t xml:space="preserve"> (</w:t>
      </w:r>
      <w:r>
        <w:rPr>
          <w:rFonts w:ascii="David" w:hAnsi="David"/>
        </w:rPr>
        <w:t>ברכה</w:t>
      </w:r>
      <w:r>
        <w:t xml:space="preserve">) and every </w:t>
      </w:r>
      <w:r>
        <w:rPr>
          <w:i/>
        </w:rPr>
        <w:t>tefillah</w:t>
      </w:r>
      <w:r>
        <w:t xml:space="preserve"> (</w:t>
      </w:r>
      <w:r>
        <w:rPr>
          <w:rFonts w:ascii="David" w:hAnsi="David"/>
        </w:rPr>
        <w:t>תפילה</w:t>
      </w:r>
      <w:r>
        <w:t xml:space="preserve">) that has come down to </w:t>
      </w:r>
      <w:r>
        <w:rPr>
          <w:i/>
        </w:rPr>
        <w:t>Klal Yisrael</w:t>
      </w:r>
      <w:r>
        <w:t xml:space="preserve">. The </w:t>
      </w:r>
      <w:r>
        <w:rPr>
          <w:i/>
        </w:rPr>
        <w:t>Gemara</w:t>
      </w:r>
      <w:r>
        <w:t xml:space="preserve"> (</w:t>
      </w:r>
      <w:r>
        <w:rPr>
          <w:rFonts w:ascii="David" w:hAnsi="David"/>
        </w:rPr>
        <w:t>גמרא</w:t>
      </w:r>
      <w:r>
        <w:t xml:space="preserve">) formulates the point with the economy characteristic of </w:t>
      </w:r>
      <w:r>
        <w:rPr>
          <w:i/>
        </w:rPr>
        <w:t>Chazal</w:t>
      </w:r>
      <w:r>
        <w:t xml:space="preserve"> (</w:t>
      </w:r>
      <w:r>
        <w:rPr>
          <w:rFonts w:ascii="David" w:hAnsi="David"/>
        </w:rPr>
        <w:t>חז"ל</w:t>
      </w:r>
      <w:r>
        <w:t xml:space="preserve">): </w:t>
      </w:r>
      <w:r>
        <w:rPr>
          <w:i/>
        </w:rPr>
        <w:t>heim tiknu berachos u’tefillos u’kedushos</w:t>
      </w:r>
      <w:r>
        <w:t xml:space="preserve"> (</w:t>
      </w:r>
      <w:r>
        <w:rPr>
          <w:rFonts w:ascii="David" w:hAnsi="David"/>
        </w:rPr>
        <w:t>הם תיקנו ברכות ותפילות וקדושות</w:t>
      </w:r>
      <w:r>
        <w:t xml:space="preserve">). Every syllable in the </w:t>
      </w:r>
      <w:r>
        <w:rPr>
          <w:i/>
        </w:rPr>
        <w:t>siddur</w:t>
      </w:r>
      <w:r>
        <w:t xml:space="preserve"> (</w:t>
      </w:r>
      <w:r>
        <w:rPr>
          <w:rFonts w:ascii="David" w:hAnsi="David"/>
        </w:rPr>
        <w:t>סידור</w:t>
      </w:r>
      <w:r>
        <w:t xml:space="preserve">), from the opening </w:t>
      </w:r>
      <w:r>
        <w:rPr>
          <w:i/>
        </w:rPr>
        <w:t>Modeh Ani</w:t>
      </w:r>
      <w:r>
        <w:t xml:space="preserve"> through the concluding </w:t>
      </w:r>
      <w:r>
        <w:rPr>
          <w:i/>
        </w:rPr>
        <w:t>Aleinu</w:t>
      </w:r>
      <w:r>
        <w:t xml:space="preserve">, traces its </w:t>
      </w:r>
      <w:r>
        <w:rPr>
          <w:i/>
        </w:rPr>
        <w:t>nusach</w:t>
      </w:r>
      <w:r>
        <w:t xml:space="preserve"> (</w:t>
      </w:r>
      <w:r>
        <w:rPr>
          <w:rFonts w:ascii="David" w:hAnsi="David"/>
        </w:rPr>
        <w:t>נוסח</w:t>
      </w:r>
      <w:r>
        <w:t xml:space="preserve">) to their formulation. To study the meaning of any </w:t>
      </w:r>
      <w:r>
        <w:rPr>
          <w:i/>
        </w:rPr>
        <w:t>berachah</w:t>
      </w:r>
      <w:r>
        <w:t xml:space="preserve"> of </w:t>
      </w:r>
      <w:r>
        <w:rPr>
          <w:i/>
        </w:rPr>
        <w:t>Shemoneh Esrei</w:t>
      </w:r>
      <w:r>
        <w:t xml:space="preserve"> (</w:t>
      </w:r>
      <w:r>
        <w:rPr>
          <w:rFonts w:ascii="David" w:hAnsi="David"/>
        </w:rPr>
        <w:t>שמונה עשרה</w:t>
      </w:r>
      <w:r>
        <w:t xml:space="preserve">) is, in the end, to enter the beis midrash of the </w:t>
      </w:r>
      <w:r>
        <w:rPr>
          <w:i/>
        </w:rPr>
        <w:t>Anshei Knesses HaGedolah</w:t>
      </w:r>
      <w:r>
        <w:t xml:space="preserve"> and to receive its teaching.</w:t>
      </w:r>
    </w:p>
    <w:p>
      <w:r>
        <w:rPr>
          <w:i/>
          <w:color w:val="B8860B"/>
          <w:sz w:val="24"/>
        </w:rPr>
        <w:t>Era and Membership</w:t>
      </w:r>
    </w:p>
    <w:p>
      <w:r>
        <w:t xml:space="preserve">From </w:t>
      </w:r>
      <w:r>
        <w:rPr>
          <w:i/>
        </w:rPr>
        <w:t>Moshe Rabbeinu</w:t>
      </w:r>
      <w:r>
        <w:t xml:space="preserve"> (</w:t>
      </w:r>
      <w:r>
        <w:rPr>
          <w:rFonts w:ascii="David" w:hAnsi="David"/>
        </w:rPr>
        <w:t>משה רבינו</w:t>
      </w:r>
      <w:r>
        <w:t xml:space="preserve">) onward there had stood a body of </w:t>
      </w:r>
      <w:r>
        <w:rPr>
          <w:i/>
        </w:rPr>
        <w:t>shivim zekeinim</w:t>
      </w:r>
      <w:r>
        <w:t xml:space="preserve"> (</w:t>
      </w:r>
      <w:r>
        <w:rPr>
          <w:rFonts w:ascii="David" w:hAnsi="David"/>
        </w:rPr>
        <w:t>שבעים זקנים</w:t>
      </w:r>
      <w:r>
        <w:t xml:space="preserve">) — the seventy elders — and when one died another was appointed in his place. With the close of the era of </w:t>
      </w:r>
      <w:r>
        <w:rPr>
          <w:i/>
        </w:rPr>
        <w:t>nevi’im</w:t>
      </w:r>
      <w:r>
        <w:t xml:space="preserve"> (</w:t>
      </w:r>
      <w:r>
        <w:rPr>
          <w:rFonts w:ascii="David" w:hAnsi="David"/>
        </w:rPr>
        <w:t>נביאים</w:t>
      </w:r>
      <w:r>
        <w:t xml:space="preserve">) — </w:t>
      </w:r>
      <w:r>
        <w:rPr>
          <w:i/>
        </w:rPr>
        <w:t>Chagai, Zecharyah,</w:t>
      </w:r>
      <w:r>
        <w:t xml:space="preserve"> and </w:t>
      </w:r>
      <w:r>
        <w:rPr>
          <w:i/>
        </w:rPr>
        <w:t>Malachi</w:t>
      </w:r>
      <w:r>
        <w:t xml:space="preserve"> (</w:t>
      </w:r>
      <w:r>
        <w:rPr>
          <w:rFonts w:ascii="David" w:hAnsi="David"/>
        </w:rPr>
        <w:t>חגי, זכריה, ומלאכי</w:t>
      </w:r>
      <w:r>
        <w:t xml:space="preserve">) — and with the long stretch reaching from </w:t>
      </w:r>
      <w:r>
        <w:rPr>
          <w:i/>
        </w:rPr>
        <w:t>Churban Bayis Rishon</w:t>
      </w:r>
      <w:r>
        <w:t xml:space="preserve"> (</w:t>
      </w:r>
      <w:r>
        <w:rPr>
          <w:rFonts w:ascii="David" w:hAnsi="David"/>
        </w:rPr>
        <w:t>חורבן בית ראשון</w:t>
      </w:r>
      <w:r>
        <w:t xml:space="preserve">) through </w:t>
      </w:r>
      <w:r>
        <w:rPr>
          <w:i/>
        </w:rPr>
        <w:t>Galus Bavel</w:t>
      </w:r>
      <w:r>
        <w:t xml:space="preserve"> (</w:t>
      </w:r>
      <w:r>
        <w:rPr>
          <w:rFonts w:ascii="David" w:hAnsi="David"/>
        </w:rPr>
        <w:t>גלות בבל</w:t>
      </w:r>
      <w:r>
        <w:t xml:space="preserve">) and into the era of </w:t>
      </w:r>
      <w:r>
        <w:rPr>
          <w:i/>
        </w:rPr>
        <w:t>Bayis Sheni</w:t>
      </w:r>
      <w:r>
        <w:t xml:space="preserve"> (</w:t>
      </w:r>
      <w:r>
        <w:rPr>
          <w:rFonts w:ascii="David" w:hAnsi="David"/>
        </w:rPr>
        <w:t>בית שני</w:t>
      </w:r>
      <w:r>
        <w:t xml:space="preserve">), a shift occurred: the older </w:t>
      </w:r>
      <w:r>
        <w:rPr>
          <w:i/>
        </w:rPr>
        <w:t>guf</w:t>
      </w:r>
      <w:r>
        <w:t xml:space="preserve"> of the </w:t>
      </w:r>
      <w:r>
        <w:rPr>
          <w:i/>
        </w:rPr>
        <w:t>zekeinim</w:t>
      </w:r>
      <w:r>
        <w:t xml:space="preserve"> expanded and reconstituted itself as the </w:t>
      </w:r>
      <w:r>
        <w:rPr>
          <w:i/>
        </w:rPr>
        <w:t>Anshei Knesses HaGedolah</w:t>
      </w:r>
      <w:r>
        <w:t xml:space="preserve">. The opening </w:t>
      </w:r>
      <w:r>
        <w:rPr>
          <w:i/>
        </w:rPr>
        <w:t>mishnah</w:t>
      </w:r>
      <w:r>
        <w:t xml:space="preserve"> of </w:t>
      </w:r>
      <w:r>
        <w:rPr>
          <w:i/>
        </w:rPr>
        <w:t>Pirkei Avos</w:t>
      </w:r>
      <w:r>
        <w:rPr>
          <w:color w:val="B8860B"/>
          <w:sz w:val="16"/>
          <w:vertAlign w:val="superscript"/>
        </w:rPr>
        <w:t>[1]</w:t>
      </w:r>
      <w:r>
        <w:t xml:space="preserve"> attests to this transition in its terse formula: </w:t>
      </w:r>
      <w:r>
        <w:rPr>
          <w:i/>
        </w:rPr>
        <w:t>Shimon HaTzaddik hayah mi’she’yarei Knesses HaGedolah</w:t>
      </w:r>
      <w:r>
        <w:t xml:space="preserve"> (</w:t>
      </w:r>
      <w:r>
        <w:rPr>
          <w:rFonts w:ascii="David" w:hAnsi="David"/>
        </w:rPr>
        <w:t>שמעון הצדיק היה משיירי כנסת הגדולה</w:t>
      </w:r>
      <w:r>
        <w:t xml:space="preserve">) — </w:t>
      </w:r>
      <w:r>
        <w:rPr>
          <w:i/>
        </w:rPr>
        <w:t>Shimon HaTzaddik was of the remnant of the Great Assembly</w:t>
      </w:r>
      <w:r>
        <w:t xml:space="preserve">. He is identified as the last of them; with his passing the era closed and the era of the </w:t>
      </w:r>
      <w:r>
        <w:rPr>
          <w:i/>
        </w:rPr>
        <w:t>zugos</w:t>
      </w:r>
      <w:r>
        <w:t xml:space="preserve"> and the </w:t>
      </w:r>
      <w:r>
        <w:rPr>
          <w:i/>
        </w:rPr>
        <w:t>tannaim</w:t>
      </w:r>
      <w:r>
        <w:t xml:space="preserve"> commenced.</w:t>
      </w:r>
    </w:p>
    <w:p>
      <w:r>
        <w:t xml:space="preserve">Among the identified members of the </w:t>
      </w:r>
      <w:r>
        <w:rPr>
          <w:i/>
        </w:rPr>
        <w:t>Assembly</w:t>
      </w:r>
      <w:r>
        <w:t xml:space="preserve">: the greatest </w:t>
      </w:r>
      <w:r>
        <w:rPr>
          <w:i/>
        </w:rPr>
        <w:t>talmidei chachomim</w:t>
      </w:r>
      <w:r>
        <w:t xml:space="preserve"> of the generation; the three closing </w:t>
      </w:r>
      <w:r>
        <w:rPr>
          <w:i/>
        </w:rPr>
        <w:t>nevi’im</w:t>
      </w:r>
      <w:r>
        <w:t xml:space="preserve"> — </w:t>
      </w:r>
      <w:r>
        <w:rPr>
          <w:i/>
        </w:rPr>
        <w:t>Chagai, Zecharyah,</w:t>
      </w:r>
      <w:r>
        <w:t xml:space="preserve"> and </w:t>
      </w:r>
      <w:r>
        <w:rPr>
          <w:i/>
        </w:rPr>
        <w:t>Malachi</w:t>
      </w:r>
      <w:r>
        <w:t xml:space="preserve">; </w:t>
      </w:r>
      <w:r>
        <w:rPr>
          <w:i/>
        </w:rPr>
        <w:t>Mordechai</w:t>
      </w:r>
      <w:r>
        <w:t xml:space="preserve"> (</w:t>
      </w:r>
      <w:r>
        <w:rPr>
          <w:rFonts w:ascii="David" w:hAnsi="David"/>
        </w:rPr>
        <w:t>מרדכי</w:t>
      </w:r>
      <w:r>
        <w:t xml:space="preserve">) of </w:t>
      </w:r>
      <w:r>
        <w:rPr>
          <w:i/>
        </w:rPr>
        <w:t>Purim</w:t>
      </w:r>
      <w:r>
        <w:t xml:space="preserve">; and </w:t>
      </w:r>
      <w:r>
        <w:rPr>
          <w:i/>
        </w:rPr>
        <w:t>Daniel</w:t>
      </w:r>
      <w:r>
        <w:t xml:space="preserve"> (</w:t>
      </w:r>
      <w:r>
        <w:rPr>
          <w:rFonts w:ascii="David" w:hAnsi="David"/>
        </w:rPr>
        <w:t>דניאל</w:t>
      </w:r>
      <w:r>
        <w:t xml:space="preserve">) together with his three companions </w:t>
      </w:r>
      <w:r>
        <w:rPr>
          <w:i/>
        </w:rPr>
        <w:t>Chananyah, Mishael,</w:t>
      </w:r>
      <w:r>
        <w:t xml:space="preserve"> and </w:t>
      </w:r>
      <w:r>
        <w:rPr>
          <w:i/>
        </w:rPr>
        <w:t>Azaryah</w:t>
      </w:r>
      <w:r>
        <w:t xml:space="preserve"> (</w:t>
      </w:r>
      <w:r>
        <w:rPr>
          <w:rFonts w:ascii="David" w:hAnsi="David"/>
        </w:rPr>
        <w:t>חנניה, מישאל, ועזריה</w:t>
      </w:r>
      <w:r>
        <w:t>).</w:t>
      </w:r>
    </w:p>
    <w:p>
      <w:r>
        <w:rPr>
          <w:i/>
          <w:color w:val="B8860B"/>
          <w:sz w:val="24"/>
        </w:rPr>
        <w:t>The Number — 120 or 85?</w:t>
      </w:r>
    </w:p>
    <w:p>
      <w:r>
        <w:t xml:space="preserve">The number of the </w:t>
      </w:r>
      <w:r>
        <w:rPr>
          <w:i/>
        </w:rPr>
        <w:t>Anshei Knesses HaGedolah</w:t>
      </w:r>
      <w:r>
        <w:t xml:space="preserve"> is itself the subject of a </w:t>
      </w:r>
      <w:r>
        <w:rPr>
          <w:i/>
        </w:rPr>
        <w:t>machlokes</w:t>
      </w:r>
      <w:r>
        <w:t xml:space="preserve"> between the two </w:t>
      </w:r>
      <w:r>
        <w:rPr>
          <w:i/>
        </w:rPr>
        <w:t>Talmuds</w:t>
      </w:r>
      <w:r>
        <w:t xml:space="preserve">. The </w:t>
      </w:r>
      <w:r>
        <w:rPr>
          <w:i/>
        </w:rPr>
        <w:t>Bavli</w:t>
      </w:r>
      <w:r>
        <w:t xml:space="preserve"> (</w:t>
      </w:r>
      <w:r>
        <w:rPr>
          <w:rFonts w:ascii="David" w:hAnsi="David"/>
        </w:rPr>
        <w:t>בבלי</w:t>
      </w:r>
      <w:r>
        <w:t xml:space="preserve">) records the number as </w:t>
      </w:r>
      <w:r>
        <w:rPr>
          <w:b/>
        </w:rPr>
        <w:t>120</w:t>
      </w:r>
      <w:r>
        <w:t xml:space="preserve">. The </w:t>
      </w:r>
      <w:r>
        <w:rPr>
          <w:i/>
        </w:rPr>
        <w:t>Yerushalmi</w:t>
      </w:r>
      <w:r>
        <w:t xml:space="preserve"> (</w:t>
      </w:r>
      <w:r>
        <w:rPr>
          <w:rFonts w:ascii="David" w:hAnsi="David"/>
        </w:rPr>
        <w:t>ירושלמי</w:t>
      </w:r>
      <w:r>
        <w:t xml:space="preserve">) records it as </w:t>
      </w:r>
      <w:r>
        <w:rPr>
          <w:b/>
        </w:rPr>
        <w:t>85</w:t>
      </w:r>
      <w:r>
        <w:t xml:space="preserve">. Without entering the full </w:t>
      </w:r>
      <w:r>
        <w:rPr>
          <w:i/>
        </w:rPr>
        <w:t>sugya</w:t>
      </w:r>
      <w:r>
        <w:t xml:space="preserve"> here, it is the </w:t>
      </w:r>
      <w:r>
        <w:rPr>
          <w:i/>
        </w:rPr>
        <w:t>Bavli</w:t>
      </w:r>
      <w:r>
        <w:t xml:space="preserve">’s count of 120 that entered the collective consciousness of </w:t>
      </w:r>
      <w:r>
        <w:rPr>
          <w:i/>
        </w:rPr>
        <w:t>Klal Yisrael</w:t>
      </w:r>
      <w:r>
        <w:t xml:space="preserve"> and that stands behind the historical resonance of the number in later ages.</w:t>
      </w:r>
    </w:p>
    <w:p>
      <w:r>
        <w:rPr>
          <w:i/>
          <w:color w:val="B8860B"/>
          <w:sz w:val="24"/>
        </w:rPr>
        <w:t>The Arithmetic Behind 120 — and Its Modern Echo</w:t>
      </w:r>
    </w:p>
    <w:p>
      <w:r>
        <w:t xml:space="preserve">The </w:t>
      </w:r>
      <w:r>
        <w:rPr>
          <w:i/>
        </w:rPr>
        <w:t>mishnah</w:t>
      </w:r>
      <w:r>
        <w:t xml:space="preserve">’s arithmetic yielding the number 120 rests on the tripartite structure of the </w:t>
      </w:r>
      <w:r>
        <w:rPr>
          <w:i/>
        </w:rPr>
        <w:t>bottei din</w:t>
      </w:r>
      <w:r>
        <w:t xml:space="preserve"> of </w:t>
      </w:r>
      <w:r>
        <w:rPr>
          <w:i/>
        </w:rPr>
        <w:t>Yerushalayim</w:t>
      </w:r>
      <w:r>
        <w:t xml:space="preserve">: the </w:t>
      </w:r>
      <w:r>
        <w:rPr>
          <w:i/>
        </w:rPr>
        <w:t>Sanhedrin Gedolah</w:t>
      </w:r>
      <w:r>
        <w:t xml:space="preserve"> (</w:t>
      </w:r>
      <w:r>
        <w:rPr>
          <w:rFonts w:ascii="David" w:hAnsi="David"/>
        </w:rPr>
        <w:t>סנהדרין גדולה</w:t>
      </w:r>
      <w:r>
        <w:t xml:space="preserve">) of seventy-one sitting in the </w:t>
      </w:r>
      <w:r>
        <w:rPr>
          <w:i/>
        </w:rPr>
        <w:t>Lishkas HaGazis</w:t>
      </w:r>
      <w:r>
        <w:t xml:space="preserve"> (</w:t>
      </w:r>
      <w:r>
        <w:rPr>
          <w:rFonts w:ascii="David" w:hAnsi="David"/>
        </w:rPr>
        <w:t>לשכת הגזית</w:t>
      </w:r>
      <w:r>
        <w:t xml:space="preserve">), and two </w:t>
      </w:r>
      <w:r>
        <w:rPr>
          <w:i/>
        </w:rPr>
        <w:t>Sanhedraos Ketanos</w:t>
      </w:r>
      <w:r>
        <w:t xml:space="preserve"> (</w:t>
      </w:r>
      <w:r>
        <w:rPr>
          <w:rFonts w:ascii="David" w:hAnsi="David"/>
        </w:rPr>
        <w:t>סנהדראות קטנות</w:t>
      </w:r>
      <w:r>
        <w:t xml:space="preserve">) of twenty-three each at the entrances to </w:t>
      </w:r>
      <w:r>
        <w:rPr>
          <w:i/>
        </w:rPr>
        <w:t>Har HaBayis</w:t>
      </w:r>
      <w:r>
        <w:t xml:space="preserve"> (</w:t>
      </w:r>
      <w:r>
        <w:rPr>
          <w:rFonts w:ascii="David" w:hAnsi="David"/>
        </w:rPr>
        <w:t>הר הבית</w:t>
      </w:r>
      <w:r>
        <w:t xml:space="preserve">) and to the </w:t>
      </w:r>
      <w:r>
        <w:rPr>
          <w:i/>
        </w:rPr>
        <w:t>Azarah</w:t>
      </w:r>
      <w:r>
        <w:t xml:space="preserve"> (</w:t>
      </w:r>
      <w:r>
        <w:rPr>
          <w:rFonts w:ascii="David" w:hAnsi="David"/>
        </w:rPr>
        <w:t>עזרה</w:t>
      </w:r>
      <w:r>
        <w:t xml:space="preserve">). The sum: 71 + 23 + 23 = 117. To this is added the three closing </w:t>
      </w:r>
      <w:r>
        <w:rPr>
          <w:i/>
        </w:rPr>
        <w:t>nevi’im</w:t>
      </w:r>
      <w:r>
        <w:t xml:space="preserve"> — </w:t>
      </w:r>
      <w:r>
        <w:rPr>
          <w:i/>
        </w:rPr>
        <w:t>Chagai, Zecharyah,</w:t>
      </w:r>
      <w:r>
        <w:t xml:space="preserve"> and </w:t>
      </w:r>
      <w:r>
        <w:rPr>
          <w:i/>
        </w:rPr>
        <w:t>Malachi</w:t>
      </w:r>
      <w:r>
        <w:t xml:space="preserve"> — producing the total of 120.</w:t>
      </w:r>
      <w:r>
        <w:rPr>
          <w:color w:val="B8860B"/>
          <w:sz w:val="16"/>
          <w:vertAlign w:val="superscript"/>
        </w:rPr>
        <w:t>[2]</w:t>
      </w:r>
      <w:r>
        <w:t xml:space="preserve"> The </w:t>
      </w:r>
      <w:r>
        <w:rPr>
          <w:i/>
        </w:rPr>
        <w:t>Anshei Knesses HaGedolah</w:t>
      </w:r>
      <w:r>
        <w:t xml:space="preserve"> were not, in the working sense, a </w:t>
      </w:r>
      <w:r>
        <w:rPr>
          <w:i/>
        </w:rPr>
        <w:t>beis din</w:t>
      </w:r>
      <w:r>
        <w:t xml:space="preserve"> (</w:t>
      </w:r>
      <w:r>
        <w:rPr>
          <w:rFonts w:ascii="David" w:hAnsi="David"/>
        </w:rPr>
        <w:t>בית דין</w:t>
      </w:r>
      <w:r>
        <w:t xml:space="preserve">): a body of 120 cannot function as a </w:t>
      </w:r>
      <w:r>
        <w:rPr>
          <w:i/>
        </w:rPr>
        <w:t>beis din shakul</w:t>
      </w:r>
      <w:r>
        <w:t xml:space="preserve"> (</w:t>
      </w:r>
      <w:r>
        <w:rPr>
          <w:rFonts w:ascii="David" w:hAnsi="David"/>
        </w:rPr>
        <w:t>בית דין שקול</w:t>
      </w:r>
      <w:r>
        <w:t xml:space="preserve">), a court whose composition allows for the resolution of votes. Their function was rather institutional and constitutional: the enactment of </w:t>
      </w:r>
      <w:r>
        <w:rPr>
          <w:i/>
        </w:rPr>
        <w:t>takkanos</w:t>
      </w:r>
      <w:r>
        <w:t xml:space="preserve"> (</w:t>
      </w:r>
      <w:r>
        <w:rPr>
          <w:rFonts w:ascii="David" w:hAnsi="David"/>
        </w:rPr>
        <w:t>תקנות</w:t>
      </w:r>
      <w:r>
        <w:t xml:space="preserve">), the composition of </w:t>
      </w:r>
      <w:r>
        <w:rPr>
          <w:i/>
        </w:rPr>
        <w:t>berachos</w:t>
      </w:r>
      <w:r>
        <w:t xml:space="preserve">, and the fixing of the </w:t>
      </w:r>
      <w:r>
        <w:rPr>
          <w:i/>
        </w:rPr>
        <w:t>nusach</w:t>
      </w:r>
      <w:r>
        <w:t xml:space="preserve"> of </w:t>
      </w:r>
      <w:r>
        <w:rPr>
          <w:i/>
        </w:rPr>
        <w:t>tefillah</w:t>
      </w:r>
      <w:r>
        <w:t>.</w:t>
      </w:r>
    </w:p>
    <w:p>
      <w:r>
        <w:t xml:space="preserve">The number 120 casts a long historical shadow. When the State of </w:t>
      </w:r>
      <w:r>
        <w:rPr>
          <w:i/>
        </w:rPr>
        <w:t>Yisrael</w:t>
      </w:r>
      <w:r>
        <w:t xml:space="preserve"> was founded in 1948, a </w:t>
      </w:r>
      <w:r>
        <w:rPr>
          <w:i/>
        </w:rPr>
        <w:t>machlokes</w:t>
      </w:r>
      <w:r>
        <w:t xml:space="preserve"> arose over the size of the parliament. Some proposed 70 or 71, mirroring the </w:t>
      </w:r>
      <w:r>
        <w:rPr>
          <w:i/>
        </w:rPr>
        <w:t>Sanhedrin</w:t>
      </w:r>
      <w:r>
        <w:t xml:space="preserve">. This proposal met sharp objection: to compare a body whose members were largely not </w:t>
      </w:r>
      <w:r>
        <w:rPr>
          <w:i/>
        </w:rPr>
        <w:t>yirei shamayim</w:t>
      </w:r>
      <w:r>
        <w:t xml:space="preserve"> to the </w:t>
      </w:r>
      <w:r>
        <w:rPr>
          <w:i/>
        </w:rPr>
        <w:t>Sanhedrin</w:t>
      </w:r>
      <w:r>
        <w:t xml:space="preserve"> was felt inappropriate. </w:t>
      </w:r>
      <w:r>
        <w:rPr>
          <w:i/>
        </w:rPr>
        <w:t>Dr. Zerach Warhaftig</w:t>
      </w:r>
      <w:r>
        <w:t xml:space="preserve"> (</w:t>
      </w:r>
      <w:r>
        <w:rPr>
          <w:rFonts w:ascii="David" w:hAnsi="David"/>
        </w:rPr>
        <w:t>ד"ר זרח ורהפטיג</w:t>
      </w:r>
      <w:r>
        <w:t xml:space="preserve">) — a signatory of </w:t>
      </w:r>
      <w:r>
        <w:rPr>
          <w:i/>
        </w:rPr>
        <w:t>Megillas HaAtzma’us</w:t>
      </w:r>
      <w:r>
        <w:t xml:space="preserve"> (</w:t>
      </w:r>
      <w:r>
        <w:rPr>
          <w:rFonts w:ascii="David" w:hAnsi="David"/>
        </w:rPr>
        <w:t>מגילת העצמאות</w:t>
      </w:r>
      <w:r>
        <w:t xml:space="preserve">), and at once a legal scholar of academic standing and a </w:t>
      </w:r>
      <w:r>
        <w:rPr>
          <w:i/>
        </w:rPr>
        <w:t>talmid chochom</w:t>
      </w:r>
      <w:r>
        <w:t xml:space="preserve"> learned in </w:t>
      </w:r>
      <w:r>
        <w:rPr>
          <w:i/>
        </w:rPr>
        <w:t>Maseches Sanhedrin</w:t>
      </w:r>
      <w:r>
        <w:t xml:space="preserve"> (</w:t>
      </w:r>
      <w:r>
        <w:rPr>
          <w:rFonts w:ascii="David" w:hAnsi="David"/>
        </w:rPr>
        <w:t>מסכת סנהדרין</w:t>
      </w:r>
      <w:r>
        <w:t xml:space="preserve">) — proposed instead 120, mirroring the </w:t>
      </w:r>
      <w:r>
        <w:rPr>
          <w:i/>
        </w:rPr>
        <w:t>Anshei Knesses HaGedolah</w:t>
      </w:r>
      <w:r>
        <w:t xml:space="preserve">. To this day the Knesset sits with 120 members. Whatever one’s judgment of the body itself, the number is an echo audible only against the background of the </w:t>
      </w:r>
      <w:r>
        <w:rPr>
          <w:i/>
        </w:rPr>
        <w:t>mishnah</w:t>
      </w:r>
      <w:r>
        <w:t>’s arithmetic.</w:t>
      </w:r>
    </w:p>
    <w:p>
      <w:r>
        <w:rPr>
          <w:b/>
          <w:color w:val="1E3A8A"/>
          <w:sz w:val="26"/>
        </w:rPr>
        <w:t>II. YOMA 69B — THE RESTORATION OF THE CROWN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Moshe Rabbeinu’s Formula in Va’eschanan</w:t>
      </w:r>
    </w:p>
    <w:p>
      <w:r>
        <w:t xml:space="preserve">The name </w:t>
      </w:r>
      <w:r>
        <w:rPr>
          <w:i/>
        </w:rPr>
        <w:t>Knesses HaGedolah</w:t>
      </w:r>
      <w:r>
        <w:t xml:space="preserve"> is itself explained by the </w:t>
      </w:r>
      <w:r>
        <w:rPr>
          <w:i/>
        </w:rPr>
        <w:t>Gemara</w:t>
      </w:r>
      <w:r>
        <w:t xml:space="preserve"> in one of the most stirring </w:t>
      </w:r>
      <w:r>
        <w:rPr>
          <w:i/>
        </w:rPr>
        <w:t>sugyos</w:t>
      </w:r>
      <w:r>
        <w:t xml:space="preserve"> in </w:t>
      </w:r>
      <w:r>
        <w:rPr>
          <w:i/>
        </w:rPr>
        <w:t>Shas</w:t>
      </w:r>
      <w:r>
        <w:t xml:space="preserve">: </w:t>
      </w:r>
      <w:r>
        <w:rPr>
          <w:i/>
        </w:rPr>
        <w:t>Yoma</w:t>
      </w:r>
      <w:r>
        <w:t xml:space="preserve"> 69b.</w:t>
      </w:r>
      <w:r>
        <w:rPr>
          <w:color w:val="B8860B"/>
          <w:sz w:val="16"/>
          <w:vertAlign w:val="superscript"/>
        </w:rPr>
        <w:t>[3]</w:t>
      </w:r>
      <w:r>
        <w:t xml:space="preserve"> The </w:t>
      </w:r>
      <w:r>
        <w:rPr>
          <w:i/>
        </w:rPr>
        <w:t>sugya</w:t>
      </w:r>
      <w:r>
        <w:t xml:space="preserve"> unfolds in three historical stations.</w:t>
      </w:r>
    </w:p>
    <w:p>
      <w:r>
        <w:t xml:space="preserve">The first station is </w:t>
      </w:r>
      <w:r>
        <w:rPr>
          <w:i/>
        </w:rPr>
        <w:t>Moshe Rabbeinu</w:t>
      </w:r>
      <w:r>
        <w:t xml:space="preserve">. In </w:t>
      </w:r>
      <w:r>
        <w:rPr>
          <w:i/>
        </w:rPr>
        <w:t>Parshas Va’eschanan</w:t>
      </w:r>
      <w:r>
        <w:t xml:space="preserve"> (</w:t>
      </w:r>
      <w:r>
        <w:rPr>
          <w:rFonts w:ascii="David" w:hAnsi="David"/>
        </w:rPr>
        <w:t>פרשת ואתחנן</w:t>
      </w:r>
      <w:r>
        <w:t xml:space="preserve">) he coined the canonical formula for addressing the </w:t>
      </w:r>
      <w:r>
        <w:rPr>
          <w:i/>
        </w:rPr>
        <w:t>Ribbono Shel Olam</w:t>
      </w:r>
      <w:r>
        <w:t xml:space="preserve"> (</w:t>
      </w:r>
      <w:r>
        <w:rPr>
          <w:rFonts w:ascii="David" w:hAnsi="David"/>
        </w:rPr>
        <w:t>רבונו של עולם</w:t>
      </w:r>
      <w:r>
        <w:t>):</w:t>
      </w:r>
      <w:r>
        <w:rPr>
          <w:color w:val="B8860B"/>
          <w:sz w:val="16"/>
          <w:vertAlign w:val="superscript"/>
        </w:rPr>
        <w:t>[4]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כִּי ה' אֱלֹקֵיכֶם הוּא אֱלֹקֵי הָאֱלֹהִים וַאֲדֹנֵי הָאֲדֹנִים, הָאֵל הַגָּדֹל הַגִּבֹּר וְהַנּוֹרָא, אֲשֶׁר לֹא יִשָּׂא פָנִים וְלֹא יִקַּח שֹׁחַד.</w:t>
      </w:r>
      <w:r>
        <w:rPr>
          <w:i/>
        </w:rPr>
        <w:br/>
      </w:r>
      <w:r>
        <w:rPr>
          <w:i/>
        </w:rPr>
        <w:t>Devarim</w:t>
      </w:r>
      <w:r>
        <w:rPr>
          <w:i/>
        </w:rPr>
        <w:t xml:space="preserve"> 10:17</w:t>
      </w:r>
      <w:r>
        <w:rPr>
          <w:i/>
        </w:rPr>
        <w:br/>
      </w:r>
    </w:p>
    <w:p>
      <w:r>
        <w:t xml:space="preserve">This became the standard opening frame for addressing </w:t>
      </w:r>
      <w:r>
        <w:rPr>
          <w:i/>
        </w:rPr>
        <w:t>HaKadosh Baruch Hu</w:t>
      </w:r>
      <w:r>
        <w:t xml:space="preserve"> (</w:t>
      </w:r>
      <w:r>
        <w:rPr>
          <w:rFonts w:ascii="David" w:hAnsi="David"/>
        </w:rPr>
        <w:t>הקדוש ברוך הוא</w:t>
      </w:r>
      <w:r>
        <w:t xml:space="preserve">) in </w:t>
      </w:r>
      <w:r>
        <w:rPr>
          <w:i/>
        </w:rPr>
        <w:t>tefillah</w:t>
      </w:r>
      <w:r>
        <w:t xml:space="preserve">. That </w:t>
      </w:r>
      <w:r>
        <w:rPr>
          <w:i/>
        </w:rPr>
        <w:t>Klal Yisrael</w:t>
      </w:r>
      <w:r>
        <w:t xml:space="preserve"> did not extend the frame beyond what </w:t>
      </w:r>
      <w:r>
        <w:rPr>
          <w:i/>
        </w:rPr>
        <w:t>Moshe Rabbeinu</w:t>
      </w:r>
      <w:r>
        <w:t xml:space="preserve"> established is a matter of settled halachic gravity. The </w:t>
      </w:r>
      <w:r>
        <w:rPr>
          <w:i/>
        </w:rPr>
        <w:t>Gemara</w:t>
      </w:r>
      <w:r>
        <w:t xml:space="preserve"> in </w:t>
      </w:r>
      <w:r>
        <w:rPr>
          <w:i/>
        </w:rPr>
        <w:t>Berachos</w:t>
      </w:r>
      <w:r>
        <w:t xml:space="preserve"> 33b</w:t>
      </w:r>
      <w:r>
        <w:rPr>
          <w:color w:val="B8860B"/>
          <w:sz w:val="16"/>
          <w:vertAlign w:val="superscript"/>
        </w:rPr>
        <w:t>[5]</w:t>
      </w:r>
      <w:r>
        <w:t xml:space="preserve"> preserves the incident of a </w:t>
      </w:r>
      <w:r>
        <w:rPr>
          <w:i/>
        </w:rPr>
        <w:t>shaliach tzibbur</w:t>
      </w:r>
      <w:r>
        <w:t xml:space="preserve"> (</w:t>
      </w:r>
      <w:r>
        <w:rPr>
          <w:rFonts w:ascii="David" w:hAnsi="David"/>
        </w:rPr>
        <w:t>שליח ציבור</w:t>
      </w:r>
      <w:r>
        <w:t xml:space="preserve">) who stood before </w:t>
      </w:r>
      <w:r>
        <w:rPr>
          <w:i/>
        </w:rPr>
        <w:t>Rabbi Chanina</w:t>
      </w:r>
      <w:r>
        <w:t xml:space="preserve"> (</w:t>
      </w:r>
      <w:r>
        <w:rPr>
          <w:rFonts w:ascii="David" w:hAnsi="David"/>
        </w:rPr>
        <w:t>רבי חנינא</w:t>
      </w:r>
      <w:r>
        <w:t xml:space="preserve">) and heaped further and further praises upon </w:t>
      </w:r>
      <w:r>
        <w:rPr>
          <w:i/>
        </w:rPr>
        <w:t>HaKadosh Baruch Hu</w:t>
      </w:r>
      <w:r>
        <w:t xml:space="preserve">. Rabbi Chanina let him finish, then asked him: </w:t>
      </w:r>
      <w:r>
        <w:rPr>
          <w:i/>
        </w:rPr>
        <w:t>have you completed all the praises of your Master?</w:t>
      </w:r>
      <w:r>
        <w:t xml:space="preserve"> The </w:t>
      </w:r>
      <w:r>
        <w:rPr>
          <w:i/>
        </w:rPr>
        <w:t>mashal</w:t>
      </w:r>
      <w:r>
        <w:t xml:space="preserve"> he delivered is famous. A king whose treasuries are filled with thousands of coins of gold — do you praise him by listing his coins of silver? To do so is not to praise but to diminish. So too </w:t>
      </w:r>
      <w:r>
        <w:rPr>
          <w:i/>
        </w:rPr>
        <w:t>HaKadosh Baruch Hu</w:t>
      </w:r>
      <w:r>
        <w:t xml:space="preserve"> is infinite; every additional praise is by definition a limitation. Therefore </w:t>
      </w:r>
      <w:r>
        <w:rPr>
          <w:i/>
        </w:rPr>
        <w:t>Chazal</w:t>
      </w:r>
      <w:r>
        <w:t xml:space="preserve"> did not extemporize beyond the formula given by </w:t>
      </w:r>
      <w:r>
        <w:rPr>
          <w:i/>
        </w:rPr>
        <w:t>Moshe Rabbeinu</w:t>
      </w:r>
      <w:r>
        <w:t xml:space="preserve"> — </w:t>
      </w:r>
      <w:r>
        <w:rPr>
          <w:i/>
        </w:rPr>
        <w:t>HaKel HaGadol HaGibor v’HaNorah</w:t>
      </w:r>
      <w:r>
        <w:t>.</w:t>
      </w:r>
    </w:p>
    <w:p>
      <w:r>
        <w:rPr>
          <w:i/>
          <w:color w:val="B8860B"/>
          <w:sz w:val="24"/>
        </w:rPr>
        <w:t>Yirmiyahu’s Omission and Daniel’s Further Omission</w:t>
      </w:r>
    </w:p>
    <w:p>
      <w:r>
        <w:t xml:space="preserve">Then came the </w:t>
      </w:r>
      <w:r>
        <w:rPr>
          <w:i/>
        </w:rPr>
        <w:t>Churban</w:t>
      </w:r>
      <w:r>
        <w:t xml:space="preserve">. </w:t>
      </w:r>
      <w:r>
        <w:rPr>
          <w:i/>
        </w:rPr>
        <w:t>Yirmiyahu HaNavi</w:t>
      </w:r>
      <w:r>
        <w:t xml:space="preserve"> (</w:t>
      </w:r>
      <w:r>
        <w:rPr>
          <w:rFonts w:ascii="David" w:hAnsi="David"/>
        </w:rPr>
        <w:t>ירמיהו הנביא</w:t>
      </w:r>
      <w:r>
        <w:t xml:space="preserve">) beheld </w:t>
      </w:r>
      <w:r>
        <w:rPr>
          <w:i/>
        </w:rPr>
        <w:t>goyim</w:t>
      </w:r>
      <w:r>
        <w:t xml:space="preserve"> mocking </w:t>
      </w:r>
      <w:r>
        <w:rPr>
          <w:i/>
        </w:rPr>
        <w:t>HaKadosh Baruch Hu</w:t>
      </w:r>
      <w:r>
        <w:t xml:space="preserve"> in His own Sanctuary — slaughtering pigs on the </w:t>
      </w:r>
      <w:r>
        <w:rPr>
          <w:i/>
        </w:rPr>
        <w:t>Mizbeach</w:t>
      </w:r>
      <w:r>
        <w:t xml:space="preserve"> (</w:t>
      </w:r>
      <w:r>
        <w:rPr>
          <w:rFonts w:ascii="David" w:hAnsi="David"/>
        </w:rPr>
        <w:t>מזבח</w:t>
      </w:r>
      <w:r>
        <w:t xml:space="preserve">) and casting the blood upon the </w:t>
      </w:r>
      <w:r>
        <w:rPr>
          <w:i/>
        </w:rPr>
        <w:t>Paroches</w:t>
      </w:r>
      <w:r>
        <w:t xml:space="preserve"> (</w:t>
      </w:r>
      <w:r>
        <w:rPr>
          <w:rFonts w:ascii="David" w:hAnsi="David"/>
        </w:rPr>
        <w:t>פרוכת</w:t>
      </w:r>
      <w:r>
        <w:t xml:space="preserve">). Confronted with this desecration, </w:t>
      </w:r>
      <w:r>
        <w:rPr>
          <w:i/>
        </w:rPr>
        <w:t>Yirmiyahu</w:t>
      </w:r>
      <w:r>
        <w:t xml:space="preserve"> could not bring himself to say </w:t>
      </w:r>
      <w:r>
        <w:rPr>
          <w:i/>
        </w:rPr>
        <w:t>HaNorah</w:t>
      </w:r>
      <w:r>
        <w:t xml:space="preserve"> (</w:t>
      </w:r>
      <w:r>
        <w:rPr>
          <w:rFonts w:ascii="David" w:hAnsi="David"/>
        </w:rPr>
        <w:t>הנורא</w:t>
      </w:r>
      <w:r>
        <w:t xml:space="preserve">). His question, as the </w:t>
      </w:r>
      <w:r>
        <w:rPr>
          <w:i/>
        </w:rPr>
        <w:t>Gemara</w:t>
      </w:r>
      <w:r>
        <w:t xml:space="preserve"> formulates it, is unavoidable: </w:t>
      </w:r>
      <w:r>
        <w:rPr>
          <w:i/>
        </w:rPr>
        <w:t>where are His nora’os when this is happening in His Heichal?</w:t>
      </w:r>
      <w:r>
        <w:t xml:space="preserve"> From </w:t>
      </w:r>
      <w:r>
        <w:rPr>
          <w:i/>
        </w:rPr>
        <w:t>Yirmiyahu</w:t>
      </w:r>
      <w:r>
        <w:t xml:space="preserve"> forward, </w:t>
      </w:r>
      <w:r>
        <w:rPr>
          <w:i/>
        </w:rPr>
        <w:t>Klal Yisrael</w:t>
      </w:r>
      <w:r>
        <w:t xml:space="preserve"> omitted </w:t>
      </w:r>
      <w:r>
        <w:rPr>
          <w:i/>
        </w:rPr>
        <w:t>HaNorah</w:t>
      </w:r>
      <w:r>
        <w:t xml:space="preserve"> from the formula.</w:t>
      </w:r>
    </w:p>
    <w:p>
      <w:r>
        <w:t xml:space="preserve">Then came </w:t>
      </w:r>
      <w:r>
        <w:rPr>
          <w:i/>
        </w:rPr>
        <w:t>Daniel</w:t>
      </w:r>
      <w:r>
        <w:t xml:space="preserve"> in </w:t>
      </w:r>
      <w:r>
        <w:rPr>
          <w:i/>
        </w:rPr>
        <w:t>Galus Bavel</w:t>
      </w:r>
      <w:r>
        <w:t xml:space="preserve">. He omitted not only </w:t>
      </w:r>
      <w:r>
        <w:rPr>
          <w:i/>
        </w:rPr>
        <w:t>HaNorah</w:t>
      </w:r>
      <w:r>
        <w:t xml:space="preserve"> but also </w:t>
      </w:r>
      <w:r>
        <w:rPr>
          <w:i/>
        </w:rPr>
        <w:t>HaGibor</w:t>
      </w:r>
      <w:r>
        <w:t xml:space="preserve"> (</w:t>
      </w:r>
      <w:r>
        <w:rPr>
          <w:rFonts w:ascii="David" w:hAnsi="David"/>
        </w:rPr>
        <w:t>הגבור</w:t>
      </w:r>
      <w:r>
        <w:t xml:space="preserve">). His question: </w:t>
      </w:r>
      <w:r>
        <w:rPr>
          <w:i/>
        </w:rPr>
        <w:t>with Klal Yisrael scattered and persecuted, with sinas Yisrael pervading every land where His children reside — where are His gevuros?</w:t>
      </w:r>
      <w:r>
        <w:t xml:space="preserve"> From </w:t>
      </w:r>
      <w:r>
        <w:rPr>
          <w:i/>
        </w:rPr>
        <w:t>Daniel</w:t>
      </w:r>
      <w:r>
        <w:t xml:space="preserve"> forward, only </w:t>
      </w:r>
      <w:r>
        <w:rPr>
          <w:i/>
        </w:rPr>
        <w:t>HaKel HaGadol</w:t>
      </w:r>
      <w:r>
        <w:t xml:space="preserve"> was said.</w:t>
      </w:r>
    </w:p>
    <w:p>
      <w:r>
        <w:rPr>
          <w:i/>
          <w:color w:val="B8860B"/>
          <w:sz w:val="24"/>
        </w:rPr>
        <w:t>The Restoration by the Anshei Knesses HaGedolah</w:t>
      </w:r>
    </w:p>
    <w:p>
      <w:r>
        <w:t xml:space="preserve">Then came the </w:t>
      </w:r>
      <w:r>
        <w:rPr>
          <w:i/>
        </w:rPr>
        <w:t>Anshei Knesses HaGedolah</w:t>
      </w:r>
      <w:r>
        <w:t xml:space="preserve">. They restored the formula in full: </w:t>
      </w:r>
      <w:r>
        <w:rPr>
          <w:i/>
        </w:rPr>
        <w:t>HaKel HaGadol, HaGibor, v’HaNorah</w:t>
      </w:r>
      <w:r>
        <w:t xml:space="preserve">. Their </w:t>
      </w:r>
      <w:r>
        <w:rPr>
          <w:i/>
        </w:rPr>
        <w:t>sevara</w:t>
      </w:r>
      <w:r>
        <w:t xml:space="preserve"> (</w:t>
      </w:r>
      <w:r>
        <w:rPr>
          <w:rFonts w:ascii="David" w:hAnsi="David"/>
        </w:rPr>
        <w:t>סברא</w:t>
      </w:r>
      <w:r>
        <w:t xml:space="preserve">) is a chiddush that recasts the entire question. Precisely the fact that </w:t>
      </w:r>
      <w:r>
        <w:rPr>
          <w:i/>
        </w:rPr>
        <w:t>Klal Yisrael</w:t>
      </w:r>
      <w:r>
        <w:t xml:space="preserve"> continues to exist — under the mockery of the nations, through the defilement of the Sanctuary, through the long </w:t>
      </w:r>
      <w:r>
        <w:rPr>
          <w:i/>
        </w:rPr>
        <w:t>galus</w:t>
      </w:r>
      <w:r>
        <w:t xml:space="preserve"> — </w:t>
      </w:r>
      <w:r>
        <w:rPr>
          <w:i/>
        </w:rPr>
        <w:t>that itself</w:t>
      </w:r>
      <w:r>
        <w:t xml:space="preserve"> is the content of His </w:t>
      </w:r>
      <w:r>
        <w:rPr>
          <w:i/>
        </w:rPr>
        <w:t>gevuros</w:t>
      </w:r>
      <w:r>
        <w:t xml:space="preserve"> and His </w:t>
      </w:r>
      <w:r>
        <w:rPr>
          <w:i/>
        </w:rPr>
        <w:t>nora’os</w:t>
      </w:r>
      <w:r>
        <w:t xml:space="preserve">. That the nations of the world have not consumed us, that we still stand and daven and rebuild, is not evidence against the </w:t>
      </w:r>
      <w:r>
        <w:rPr>
          <w:i/>
        </w:rPr>
        <w:t>gevurah</w:t>
      </w:r>
      <w:r>
        <w:t xml:space="preserve">: it </w:t>
      </w:r>
      <w:r>
        <w:rPr>
          <w:i/>
        </w:rPr>
        <w:t>is</w:t>
      </w:r>
      <w:r>
        <w:t xml:space="preserve"> the </w:t>
      </w:r>
      <w:r>
        <w:rPr>
          <w:i/>
        </w:rPr>
        <w:t>gevurah</w:t>
      </w:r>
      <w:r>
        <w:t xml:space="preserve">. That a single people, alone and hated, endures against the current of history — this is the </w:t>
      </w:r>
      <w:r>
        <w:rPr>
          <w:i/>
        </w:rPr>
        <w:t>nora’os</w:t>
      </w:r>
      <w:r>
        <w:t xml:space="preserve">. The </w:t>
      </w:r>
      <w:r>
        <w:rPr>
          <w:i/>
        </w:rPr>
        <w:t>Anshei Knesses HaGedolah</w:t>
      </w:r>
      <w:r>
        <w:t xml:space="preserve"> read the survival of </w:t>
      </w:r>
      <w:r>
        <w:rPr>
          <w:i/>
        </w:rPr>
        <w:t>Klal Yisrael</w:t>
      </w:r>
      <w:r>
        <w:t xml:space="preserve"> not as a puzzle for the formula but as its very content.</w:t>
      </w:r>
    </w:p>
    <w:p>
      <w:r>
        <w:t xml:space="preserve">From this restoration the </w:t>
      </w:r>
      <w:r>
        <w:rPr>
          <w:i/>
        </w:rPr>
        <w:t>Gemara</w:t>
      </w:r>
      <w:r>
        <w:t xml:space="preserve"> derives the name itself: </w:t>
      </w:r>
      <w:r>
        <w:rPr>
          <w:i/>
        </w:rPr>
        <w:t>Knesses HaGedolah</w:t>
      </w:r>
      <w:r>
        <w:t xml:space="preserve">. There is no </w:t>
      </w:r>
      <w:r>
        <w:rPr>
          <w:i/>
        </w:rPr>
        <w:t>gedulah</w:t>
      </w:r>
      <w:r>
        <w:t xml:space="preserve"> greater than the restoration of the original glory of </w:t>
      </w:r>
      <w:r>
        <w:rPr>
          <w:i/>
        </w:rPr>
        <w:t>Moshe Rabbeinu</w:t>
      </w:r>
      <w:r>
        <w:t xml:space="preserve">’s </w:t>
      </w:r>
      <w:r>
        <w:rPr>
          <w:i/>
        </w:rPr>
        <w:t>toarim</w:t>
      </w:r>
      <w:r>
        <w:t xml:space="preserve">. When the </w:t>
      </w:r>
      <w:r>
        <w:rPr>
          <w:i/>
        </w:rPr>
        <w:t>mispallel</w:t>
      </w:r>
      <w:r>
        <w:t xml:space="preserve"> says </w:t>
      </w:r>
      <w:r>
        <w:rPr>
          <w:i/>
        </w:rPr>
        <w:t>HaKel HaGadol HaGibor v’HaNorah</w:t>
      </w:r>
      <w:r>
        <w:t xml:space="preserve"> in </w:t>
      </w:r>
      <w:r>
        <w:rPr>
          <w:i/>
        </w:rPr>
        <w:t>Shemoneh Esrei</w:t>
      </w:r>
      <w:r>
        <w:t xml:space="preserve">, the </w:t>
      </w:r>
      <w:r>
        <w:rPr>
          <w:i/>
        </w:rPr>
        <w:t>kavvanah</w:t>
      </w:r>
      <w:r>
        <w:t xml:space="preserve"> installed by the </w:t>
      </w:r>
      <w:r>
        <w:rPr>
          <w:i/>
        </w:rPr>
        <w:t>Anshei Knesses HaGedolah</w:t>
      </w:r>
      <w:r>
        <w:t xml:space="preserve"> is precisely this: to declare that through </w:t>
      </w:r>
      <w:r>
        <w:rPr>
          <w:i/>
        </w:rPr>
        <w:t>galus</w:t>
      </w:r>
      <w:r>
        <w:t xml:space="preserve"> and through </w:t>
      </w:r>
      <w:r>
        <w:rPr>
          <w:i/>
        </w:rPr>
        <w:t>hester panim</w:t>
      </w:r>
      <w:r>
        <w:t xml:space="preserve"> (</w:t>
      </w:r>
      <w:r>
        <w:rPr>
          <w:rFonts w:ascii="David" w:hAnsi="David"/>
        </w:rPr>
        <w:t>הסתר פנים</w:t>
      </w:r>
      <w:r>
        <w:t xml:space="preserve">), He remains </w:t>
      </w:r>
      <w:r>
        <w:rPr>
          <w:i/>
        </w:rPr>
        <w:t>Gibor</w:t>
      </w:r>
      <w:r>
        <w:t xml:space="preserve"> and </w:t>
      </w:r>
      <w:r>
        <w:rPr>
          <w:i/>
        </w:rPr>
        <w:t>Norah</w:t>
      </w:r>
      <w:r>
        <w:t xml:space="preserve"> — because </w:t>
      </w:r>
      <w:r>
        <w:rPr>
          <w:i/>
        </w:rPr>
        <w:t>we are still here</w:t>
      </w:r>
      <w:r>
        <w:t>.</w:t>
      </w:r>
    </w:p>
    <w:p>
      <w:r>
        <w:rPr>
          <w:b/>
          <w:color w:val="1E3A8A"/>
          <w:sz w:val="26"/>
        </w:rPr>
        <w:t>III. AL ELYON — THE REGISTER OF HESTER PANIM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Rav Schwab on the Word</w:t>
      </w:r>
    </w:p>
    <w:p>
      <w:r>
        <w:t xml:space="preserve">Immediately following </w:t>
      </w:r>
      <w:r>
        <w:rPr>
          <w:i/>
        </w:rPr>
        <w:t>HaKel HaGadol HaGibor v’HaNorah</w:t>
      </w:r>
      <w:r>
        <w:t xml:space="preserve">, the </w:t>
      </w:r>
      <w:r>
        <w:rPr>
          <w:i/>
        </w:rPr>
        <w:t>berachah</w:t>
      </w:r>
      <w:r>
        <w:t xml:space="preserve"> continues: </w:t>
      </w:r>
      <w:r>
        <w:rPr>
          <w:i/>
        </w:rPr>
        <w:t>Kel Elyon</w:t>
      </w:r>
      <w:r>
        <w:t xml:space="preserve"> (</w:t>
      </w:r>
      <w:r>
        <w:rPr>
          <w:rFonts w:ascii="David" w:hAnsi="David"/>
        </w:rPr>
        <w:t>א-ל עליון</w:t>
      </w:r>
      <w:r>
        <w:t xml:space="preserve">). The phrase originates with </w:t>
      </w:r>
      <w:r>
        <w:rPr>
          <w:i/>
        </w:rPr>
        <w:t>Avraham Avinu</w:t>
      </w:r>
      <w:r>
        <w:t xml:space="preserve"> in his encounter with </w:t>
      </w:r>
      <w:r>
        <w:rPr>
          <w:i/>
        </w:rPr>
        <w:t>Malki-Tzedek</w:t>
      </w:r>
      <w:r>
        <w:t xml:space="preserve"> (</w:t>
      </w:r>
      <w:r>
        <w:rPr>
          <w:rFonts w:ascii="David" w:hAnsi="David"/>
        </w:rPr>
        <w:t>מלכי-צדק</w:t>
      </w:r>
      <w:r>
        <w:t xml:space="preserve">) at the conclusion of the war of the four kings against the five. </w:t>
      </w:r>
      <w:r>
        <w:rPr>
          <w:i/>
        </w:rPr>
        <w:t>Elyon</w:t>
      </w:r>
      <w:r>
        <w:t xml:space="preserve"> is </w:t>
      </w:r>
      <w:r>
        <w:rPr>
          <w:i/>
        </w:rPr>
        <w:t>upper</w:t>
      </w:r>
      <w:r>
        <w:t xml:space="preserve">, </w:t>
      </w:r>
      <w:r>
        <w:rPr>
          <w:i/>
        </w:rPr>
        <w:t>supreme</w:t>
      </w:r>
      <w:r>
        <w:t xml:space="preserve">. But this raises a simple question: </w:t>
      </w:r>
      <w:r>
        <w:rPr>
          <w:i/>
        </w:rPr>
        <w:t>above</w:t>
      </w:r>
      <w:r>
        <w:t xml:space="preserve"> what? </w:t>
      </w:r>
      <w:r>
        <w:rPr>
          <w:i/>
        </w:rPr>
        <w:t>Above</w:t>
      </w:r>
      <w:r>
        <w:t xml:space="preserve"> whom?</w:t>
      </w:r>
    </w:p>
    <w:p>
      <w:r>
        <w:rPr>
          <w:i/>
        </w:rPr>
        <w:t>Rav Shimon Schwab</w:t>
      </w:r>
      <w:r>
        <w:t xml:space="preserve">, </w:t>
      </w:r>
      <w:r>
        <w:rPr>
          <w:i/>
        </w:rPr>
        <w:t>zt”l</w:t>
      </w:r>
      <w:r>
        <w:t xml:space="preserve"> (</w:t>
      </w:r>
      <w:r>
        <w:rPr>
          <w:rFonts w:ascii="David" w:hAnsi="David"/>
        </w:rPr>
        <w:t>רבי שמעון שוואב זצ"ל</w:t>
      </w:r>
      <w:r>
        <w:t>),</w:t>
      </w:r>
      <w:r>
        <w:rPr>
          <w:color w:val="B8860B"/>
          <w:sz w:val="16"/>
          <w:vertAlign w:val="superscript"/>
        </w:rPr>
        <w:t>[6]</w:t>
      </w:r>
      <w:r>
        <w:t xml:space="preserve"> wrote extensively on this phrase, and his reading is a piece of </w:t>
      </w:r>
      <w:r>
        <w:rPr>
          <w:i/>
        </w:rPr>
        <w:t>hashkafah</w:t>
      </w:r>
      <w:r>
        <w:t xml:space="preserve"> (</w:t>
      </w:r>
      <w:r>
        <w:rPr>
          <w:rFonts w:ascii="David" w:hAnsi="David"/>
        </w:rPr>
        <w:t>השקפה</w:t>
      </w:r>
      <w:r>
        <w:t xml:space="preserve">) that has entered the mainstream of contemporary </w:t>
      </w:r>
      <w:r>
        <w:rPr>
          <w:i/>
        </w:rPr>
        <w:t>machshavah</w:t>
      </w:r>
      <w:r>
        <w:t xml:space="preserve">. Many of his pieces first appeared in </w:t>
      </w:r>
      <w:r>
        <w:rPr>
          <w:i/>
        </w:rPr>
        <w:t>The Jewish Observer</w:t>
      </w:r>
      <w:r>
        <w:t xml:space="preserve">, the English-language publication of </w:t>
      </w:r>
      <w:r>
        <w:rPr>
          <w:i/>
        </w:rPr>
        <w:t>Agudas Yisrael</w:t>
      </w:r>
      <w:r>
        <w:t xml:space="preserve"> of America from 1963 to 2008, in which the mature </w:t>
      </w:r>
      <w:r>
        <w:rPr>
          <w:i/>
        </w:rPr>
        <w:t>hashkafah</w:t>
      </w:r>
      <w:r>
        <w:t xml:space="preserve"> of </w:t>
      </w:r>
      <w:r>
        <w:rPr>
          <w:i/>
        </w:rPr>
        <w:t>gedolei Yisrael</w:t>
      </w:r>
      <w:r>
        <w:t xml:space="preserve"> reached a broad readership. In the decades following the </w:t>
      </w:r>
      <w:r>
        <w:rPr>
          <w:i/>
        </w:rPr>
        <w:t>Shoah</w:t>
      </w:r>
      <w:r>
        <w:t xml:space="preserve"> (</w:t>
      </w:r>
      <w:r>
        <w:rPr>
          <w:rFonts w:ascii="David" w:hAnsi="David"/>
        </w:rPr>
        <w:t>שואה</w:t>
      </w:r>
      <w:r>
        <w:t xml:space="preserve">), various figures — sometimes even significant figures — were assigning specific reasons to specific tragedies, each in the service of an antecedent agenda. Rav Schwab wrote sharply against this posture. No person has been granted the </w:t>
      </w:r>
      <w:r>
        <w:rPr>
          <w:i/>
        </w:rPr>
        <w:t>reshus</w:t>
      </w:r>
      <w:r>
        <w:t xml:space="preserve"> (</w:t>
      </w:r>
      <w:r>
        <w:rPr>
          <w:rFonts w:ascii="David" w:hAnsi="David"/>
        </w:rPr>
        <w:t>רשות</w:t>
      </w:r>
      <w:r>
        <w:t xml:space="preserve">) to explain the tragedies of Jewish history unless </w:t>
      </w:r>
      <w:r>
        <w:rPr>
          <w:i/>
        </w:rPr>
        <w:t>Chazal</w:t>
      </w:r>
      <w:r>
        <w:t xml:space="preserve"> themselves supplied the explanation. This is a </w:t>
      </w:r>
      <w:r>
        <w:rPr>
          <w:i/>
        </w:rPr>
        <w:t>halachic-hashkafic</w:t>
      </w:r>
      <w:r>
        <w:t xml:space="preserve"> stricture, not a matter of taste. The </w:t>
      </w:r>
      <w:r>
        <w:rPr>
          <w:i/>
        </w:rPr>
        <w:t>Shoah</w:t>
      </w:r>
      <w:r>
        <w:t xml:space="preserve"> in particular admits of no such explanation; anyone who begins to construct one has already erred.</w:t>
      </w:r>
    </w:p>
    <w:p>
      <w:r>
        <w:rPr>
          <w:i/>
          <w:color w:val="B8860B"/>
          <w:sz w:val="24"/>
        </w:rPr>
        <w:t>The Meaning of Elyon in Shemoneh Esrei</w:t>
      </w:r>
    </w:p>
    <w:p>
      <w:r>
        <w:t xml:space="preserve">The </w:t>
      </w:r>
      <w:r>
        <w:rPr>
          <w:i/>
        </w:rPr>
        <w:t>Shoah</w:t>
      </w:r>
      <w:r>
        <w:t xml:space="preserve">, on Rav Schwab’s reading, is precisely the register of </w:t>
      </w:r>
      <w:r>
        <w:rPr>
          <w:i/>
        </w:rPr>
        <w:t>Kel Elyon</w:t>
      </w:r>
      <w:r>
        <w:t xml:space="preserve">. </w:t>
      </w:r>
      <w:r>
        <w:rPr>
          <w:i/>
        </w:rPr>
        <w:t>HaKadosh Baruch Hu</w:t>
      </w:r>
      <w:r>
        <w:t xml:space="preserve"> is showing His </w:t>
      </w:r>
      <w:r>
        <w:rPr>
          <w:i/>
        </w:rPr>
        <w:t>hanhagah</w:t>
      </w:r>
      <w:r>
        <w:t xml:space="preserve"> (</w:t>
      </w:r>
      <w:r>
        <w:rPr>
          <w:rFonts w:ascii="David" w:hAnsi="David"/>
        </w:rPr>
        <w:t>הנהגה</w:t>
      </w:r>
      <w:r>
        <w:t xml:space="preserve">) in a mode that human </w:t>
      </w:r>
      <w:r>
        <w:rPr>
          <w:i/>
        </w:rPr>
        <w:t>hasagah</w:t>
      </w:r>
      <w:r>
        <w:t xml:space="preserve"> (</w:t>
      </w:r>
      <w:r>
        <w:rPr>
          <w:rFonts w:ascii="David" w:hAnsi="David"/>
        </w:rPr>
        <w:t>השגה</w:t>
      </w:r>
      <w:r>
        <w:t xml:space="preserve">) cannot reach. The message of the </w:t>
      </w:r>
      <w:r>
        <w:rPr>
          <w:i/>
        </w:rPr>
        <w:t>toar</w:t>
      </w:r>
      <w:r>
        <w:t xml:space="preserve">, as it stands in the </w:t>
      </w:r>
      <w:r>
        <w:rPr>
          <w:i/>
        </w:rPr>
        <w:t>berachah</w:t>
      </w:r>
      <w:r>
        <w:t xml:space="preserve">, is: </w:t>
      </w:r>
      <w:r>
        <w:rPr>
          <w:i/>
        </w:rPr>
        <w:t>I am above. I am infinite. You are finite creatures. Do your avodah. Do not attempt to comprehend Mine.</w:t>
      </w:r>
      <w:r>
        <w:t xml:space="preserve"> This is </w:t>
      </w:r>
      <w:r>
        <w:rPr>
          <w:i/>
        </w:rPr>
        <w:t>hester panim</w:t>
      </w:r>
      <w:r>
        <w:t xml:space="preserve"> in its fullness — not the absence of God but the presence of God in a register above the reach of the limited creature. The </w:t>
      </w:r>
      <w:r>
        <w:rPr>
          <w:i/>
        </w:rPr>
        <w:t>mispallel</w:t>
      </w:r>
      <w:r>
        <w:t xml:space="preserve"> stands ready to ask the </w:t>
      </w:r>
      <w:r>
        <w:rPr>
          <w:i/>
        </w:rPr>
        <w:t>Ribbono Shel Olam</w:t>
      </w:r>
      <w:r>
        <w:t xml:space="preserve"> for everything he needs in the middle </w:t>
      </w:r>
      <w:r>
        <w:rPr>
          <w:i/>
        </w:rPr>
        <w:t>berachos</w:t>
      </w:r>
      <w:r>
        <w:t xml:space="preserve"> of </w:t>
      </w:r>
      <w:r>
        <w:rPr>
          <w:i/>
        </w:rPr>
        <w:t>Shemoneh Esrei</w:t>
      </w:r>
      <w:r>
        <w:t xml:space="preserve">; before he does, he acknowledges through </w:t>
      </w:r>
      <w:r>
        <w:rPr>
          <w:i/>
        </w:rPr>
        <w:t>Kel Elyon</w:t>
      </w:r>
      <w:r>
        <w:t xml:space="preserve"> that the </w:t>
      </w:r>
      <w:r>
        <w:rPr>
          <w:i/>
        </w:rPr>
        <w:t>Meshiv</w:t>
      </w:r>
      <w:r>
        <w:t xml:space="preserve"> to those requests operates in a register above his comprehension. He comes; he asks; he does not insist on understanding the ways in which his tefillos are answered.</w:t>
      </w:r>
    </w:p>
    <w:p>
      <w:r>
        <w:rPr>
          <w:b/>
          <w:color w:val="1E3A8A"/>
          <w:sz w:val="26"/>
        </w:rPr>
        <w:t>IV. THE TWO KERIYOS OF BIRKAS AVOS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Halachic Frame</w:t>
      </w:r>
    </w:p>
    <w:p>
      <w:r>
        <w:rPr>
          <w:i/>
        </w:rPr>
        <w:t>L’halachah</w:t>
      </w:r>
      <w:r>
        <w:t xml:space="preserve">, in </w:t>
      </w:r>
      <w:r>
        <w:rPr>
          <w:i/>
        </w:rPr>
        <w:t>Birkas Avos</w:t>
      </w:r>
      <w:r>
        <w:t xml:space="preserve"> the </w:t>
      </w:r>
      <w:r>
        <w:rPr>
          <w:i/>
        </w:rPr>
        <w:t>mispallel</w:t>
      </w:r>
      <w:r>
        <w:t xml:space="preserve"> bows at two stations: at the opening — </w:t>
      </w:r>
      <w:r>
        <w:rPr>
          <w:i/>
        </w:rPr>
        <w:t>Baruch Atah Hashem</w:t>
      </w:r>
      <w:r>
        <w:t xml:space="preserve"> (</w:t>
      </w:r>
      <w:r>
        <w:rPr>
          <w:rFonts w:ascii="David" w:hAnsi="David"/>
        </w:rPr>
        <w:t>ברוך אתה ה'</w:t>
      </w:r>
      <w:r>
        <w:t xml:space="preserve">) — and at the close — </w:t>
      </w:r>
      <w:r>
        <w:rPr>
          <w:i/>
        </w:rPr>
        <w:t>Magen Avraham, Baruch Atah Hashem</w:t>
      </w:r>
      <w:r>
        <w:t xml:space="preserve"> (</w:t>
      </w:r>
      <w:r>
        <w:rPr>
          <w:rFonts w:ascii="David" w:hAnsi="David"/>
        </w:rPr>
        <w:t>מגן אברהם, ברוך אתה ה'</w:t>
      </w:r>
      <w:r>
        <w:t xml:space="preserve">). Two </w:t>
      </w:r>
      <w:r>
        <w:rPr>
          <w:i/>
        </w:rPr>
        <w:t>keriyos</w:t>
      </w:r>
      <w:r>
        <w:t xml:space="preserve"> (</w:t>
      </w:r>
      <w:r>
        <w:rPr>
          <w:rFonts w:ascii="David" w:hAnsi="David"/>
        </w:rPr>
        <w:t>כריעות</w:t>
      </w:r>
      <w:r>
        <w:t xml:space="preserve">); two distinct frames. The two bows are not a duplication of a single act but the marking of two distinct modes of relationship between the </w:t>
      </w:r>
      <w:r>
        <w:rPr>
          <w:i/>
        </w:rPr>
        <w:t>Yid</w:t>
      </w:r>
      <w:r>
        <w:t xml:space="preserve"> and </w:t>
      </w:r>
      <w:r>
        <w:rPr>
          <w:i/>
        </w:rPr>
        <w:t>HaKadosh Baruch Hu</w:t>
      </w:r>
      <w:r>
        <w:t>.</w:t>
      </w:r>
    </w:p>
    <w:p>
      <w:r>
        <w:rPr>
          <w:i/>
          <w:color w:val="B8860B"/>
          <w:sz w:val="24"/>
        </w:rPr>
        <w:t>Two Modes of Relationship — Ze Keili and Elokei Avi</w:t>
      </w:r>
    </w:p>
    <w:p>
      <w:r>
        <w:t xml:space="preserve">Every </w:t>
      </w:r>
      <w:r>
        <w:rPr>
          <w:i/>
        </w:rPr>
        <w:t>Yid</w:t>
      </w:r>
      <w:r>
        <w:t xml:space="preserve"> stands, at every moment, in two distinct relationships with </w:t>
      </w:r>
      <w:r>
        <w:rPr>
          <w:i/>
        </w:rPr>
        <w:t>HaKadosh Baruch Hu</w:t>
      </w:r>
      <w:r>
        <w:t xml:space="preserve"> simultaneously. The </w:t>
      </w:r>
      <w:r>
        <w:rPr>
          <w:i/>
        </w:rPr>
        <w:t>pasuk</w:t>
      </w:r>
      <w:r>
        <w:t xml:space="preserve"> (</w:t>
      </w:r>
      <w:r>
        <w:rPr>
          <w:rFonts w:ascii="David" w:hAnsi="David"/>
        </w:rPr>
        <w:t>פסוק</w:t>
      </w:r>
      <w:r>
        <w:t xml:space="preserve">) in </w:t>
      </w:r>
      <w:r>
        <w:rPr>
          <w:i/>
        </w:rPr>
        <w:t>Shiras HaYam</w:t>
      </w:r>
      <w:r>
        <w:t xml:space="preserve"> (</w:t>
      </w:r>
      <w:r>
        <w:rPr>
          <w:rFonts w:ascii="David" w:hAnsi="David"/>
        </w:rPr>
        <w:t>שירת הים</w:t>
      </w:r>
      <w:r>
        <w:t>)</w:t>
      </w:r>
      <w:r>
        <w:rPr>
          <w:color w:val="B8860B"/>
          <w:sz w:val="16"/>
          <w:vertAlign w:val="superscript"/>
        </w:rPr>
        <w:t>[7]</w:t>
      </w:r>
      <w:r>
        <w:t xml:space="preserve"> couples the two in a single line: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זֶה אֵלִי וְאַנְוֵהוּ, אֱלֹקֵי אָבִי וַאֲרֹמְמֶנְהוּ.</w:t>
      </w:r>
      <w:r>
        <w:rPr>
          <w:i/>
        </w:rPr>
        <w:br/>
      </w:r>
      <w:r>
        <w:rPr>
          <w:i/>
        </w:rPr>
        <w:t>This is my God, and I will beautify Him; the God of my father, and I will exalt Him.</w:t>
      </w:r>
      <w:r>
        <w:rPr>
          <w:i/>
        </w:rPr>
        <w:br/>
      </w:r>
      <w:r>
        <w:rPr>
          <w:i/>
        </w:rPr>
        <w:t>Shemos</w:t>
      </w:r>
      <w:r>
        <w:rPr>
          <w:i/>
        </w:rPr>
        <w:t xml:space="preserve"> 15:2</w:t>
      </w:r>
      <w:r>
        <w:rPr>
          <w:i/>
        </w:rPr>
        <w:br/>
      </w:r>
    </w:p>
    <w:p>
      <w:r>
        <w:t xml:space="preserve">The two clauses mark the two modes. </w:t>
      </w:r>
      <w:r>
        <w:rPr>
          <w:i/>
        </w:rPr>
        <w:t>Elokei Avi</w:t>
      </w:r>
      <w:r>
        <w:t xml:space="preserve"> — </w:t>
      </w:r>
      <w:r>
        <w:rPr>
          <w:i/>
        </w:rPr>
        <w:t>God of my father</w:t>
      </w:r>
      <w:r>
        <w:t xml:space="preserve"> — is the </w:t>
      </w:r>
      <w:r>
        <w:rPr>
          <w:i/>
        </w:rPr>
        <w:t>kav ha’avos</w:t>
      </w:r>
      <w:r>
        <w:t xml:space="preserve"> (</w:t>
      </w:r>
      <w:r>
        <w:rPr>
          <w:rFonts w:ascii="David" w:hAnsi="David"/>
        </w:rPr>
        <w:t>קו אבות</w:t>
      </w:r>
      <w:r>
        <w:t xml:space="preserve">), the transmitted </w:t>
      </w:r>
      <w:r>
        <w:rPr>
          <w:i/>
        </w:rPr>
        <w:t>mesorah</w:t>
      </w:r>
      <w:r>
        <w:t xml:space="preserve"> (</w:t>
      </w:r>
      <w:r>
        <w:rPr>
          <w:rFonts w:ascii="David" w:hAnsi="David"/>
        </w:rPr>
        <w:t>מסורה</w:t>
      </w:r>
      <w:r>
        <w:t xml:space="preserve">) that reaches the </w:t>
      </w:r>
      <w:r>
        <w:rPr>
          <w:i/>
        </w:rPr>
        <w:t>mispallel</w:t>
      </w:r>
      <w:r>
        <w:t xml:space="preserve"> through his father, his grandfather, and back to </w:t>
      </w:r>
      <w:r>
        <w:rPr>
          <w:i/>
        </w:rPr>
        <w:t>Avraham, Yitzchak,</w:t>
      </w:r>
      <w:r>
        <w:t xml:space="preserve"> and </w:t>
      </w:r>
      <w:r>
        <w:rPr>
          <w:i/>
        </w:rPr>
        <w:t>Yaakov</w:t>
      </w:r>
      <w:r>
        <w:t xml:space="preserve">. This is the emunah he inherited. </w:t>
      </w:r>
      <w:r>
        <w:rPr>
          <w:i/>
        </w:rPr>
        <w:t>Ze Keili</w:t>
      </w:r>
      <w:r>
        <w:t xml:space="preserve"> — </w:t>
      </w:r>
      <w:r>
        <w:rPr>
          <w:i/>
        </w:rPr>
        <w:t>this is my God</w:t>
      </w:r>
      <w:r>
        <w:t xml:space="preserve"> — is the direct, immediate, personal encounter, in which the </w:t>
      </w:r>
      <w:r>
        <w:rPr>
          <w:i/>
        </w:rPr>
        <w:t>Yid</w:t>
      </w:r>
      <w:r>
        <w:t xml:space="preserve"> forges his own relationship with the </w:t>
      </w:r>
      <w:r>
        <w:rPr>
          <w:i/>
        </w:rPr>
        <w:t>Ribbono Shel Olam</w:t>
      </w:r>
      <w:r>
        <w:t xml:space="preserve">. Chazal remark on </w:t>
      </w:r>
      <w:r>
        <w:rPr>
          <w:i/>
        </w:rPr>
        <w:t>Ze Keili</w:t>
      </w:r>
      <w:r>
        <w:t xml:space="preserve"> that at the </w:t>
      </w:r>
      <w:r>
        <w:rPr>
          <w:i/>
        </w:rPr>
        <w:t>Yam</w:t>
      </w:r>
      <w:r>
        <w:t xml:space="preserve"> every </w:t>
      </w:r>
      <w:r>
        <w:rPr>
          <w:i/>
        </w:rPr>
        <w:t>Yid</w:t>
      </w:r>
      <w:r>
        <w:t xml:space="preserve"> pointed with his finger and said </w:t>
      </w:r>
      <w:r>
        <w:rPr>
          <w:i/>
        </w:rPr>
        <w:t>this</w:t>
      </w:r>
      <w:r>
        <w:t xml:space="preserve">: the recognition was direct, personal, unmediated. This is </w:t>
      </w:r>
      <w:r>
        <w:rPr>
          <w:i/>
        </w:rPr>
        <w:t>my</w:t>
      </w:r>
      <w:r>
        <w:t xml:space="preserve"> </w:t>
      </w:r>
      <w:r>
        <w:rPr>
          <w:i/>
        </w:rPr>
        <w:t>Elokim</w:t>
      </w:r>
      <w:r>
        <w:t>, not merely my father’s.</w:t>
      </w:r>
    </w:p>
    <w:p>
      <w:r>
        <w:rPr>
          <w:i/>
          <w:color w:val="B8860B"/>
          <w:sz w:val="24"/>
        </w:rPr>
        <w:t>Rav Schwab on the Two Bows</w:t>
      </w:r>
    </w:p>
    <w:p>
      <w:r>
        <w:t xml:space="preserve">Rav Schwab, drawing on the </w:t>
      </w:r>
      <w:r>
        <w:rPr>
          <w:i/>
        </w:rPr>
        <w:t>rishonim</w:t>
      </w:r>
      <w:r>
        <w:t xml:space="preserve">, ties the two </w:t>
      </w:r>
      <w:r>
        <w:rPr>
          <w:i/>
        </w:rPr>
        <w:t>keriyos</w:t>
      </w:r>
      <w:r>
        <w:t xml:space="preserve"> of </w:t>
      </w:r>
      <w:r>
        <w:rPr>
          <w:i/>
        </w:rPr>
        <w:t>Birkas Avos</w:t>
      </w:r>
      <w:r>
        <w:t xml:space="preserve"> to these two modes. The </w:t>
      </w:r>
      <w:r>
        <w:rPr>
          <w:b/>
        </w:rPr>
        <w:t xml:space="preserve">opening </w:t>
      </w:r>
      <w:r>
        <w:rPr>
          <w:b/>
          <w:i/>
        </w:rPr>
        <w:t>keriyah</w:t>
      </w:r>
      <w:r>
        <w:t xml:space="preserve">, at </w:t>
      </w:r>
      <w:r>
        <w:rPr>
          <w:i/>
        </w:rPr>
        <w:t>Baruch Atah Hashem Elokeinu v’Elokei Avoseinu</w:t>
      </w:r>
      <w:r>
        <w:t xml:space="preserve"> (</w:t>
      </w:r>
      <w:r>
        <w:rPr>
          <w:rFonts w:ascii="David" w:hAnsi="David"/>
        </w:rPr>
        <w:t>ברוך אתה ה' אלקינו ואלקי אבותינו</w:t>
      </w:r>
      <w:r>
        <w:t xml:space="preserve">), is the </w:t>
      </w:r>
      <w:r>
        <w:rPr>
          <w:i/>
        </w:rPr>
        <w:t>hishtabdus</w:t>
      </w:r>
      <w:r>
        <w:t xml:space="preserve"> (</w:t>
      </w:r>
      <w:r>
        <w:rPr>
          <w:rFonts w:ascii="David" w:hAnsi="David"/>
        </w:rPr>
        <w:t>השתעבדות</w:t>
      </w:r>
      <w:r>
        <w:t xml:space="preserve">) to the </w:t>
      </w:r>
      <w:r>
        <w:rPr>
          <w:i/>
        </w:rPr>
        <w:t>mesorah</w:t>
      </w:r>
      <w:r>
        <w:t xml:space="preserve"> of the </w:t>
      </w:r>
      <w:r>
        <w:rPr>
          <w:i/>
        </w:rPr>
        <w:t>avos</w:t>
      </w:r>
      <w:r>
        <w:t xml:space="preserve">: </w:t>
      </w:r>
      <w:r>
        <w:rPr>
          <w:i/>
        </w:rPr>
        <w:t>I am the inheritor of Avraham, Yitzchak, and Yaakov.</w:t>
      </w:r>
      <w:r>
        <w:t xml:space="preserve"> The </w:t>
      </w:r>
      <w:r>
        <w:rPr>
          <w:b/>
        </w:rPr>
        <w:t xml:space="preserve">closing </w:t>
      </w:r>
      <w:r>
        <w:rPr>
          <w:b/>
          <w:i/>
        </w:rPr>
        <w:t>keriyah</w:t>
      </w:r>
      <w:r>
        <w:t xml:space="preserve">, at </w:t>
      </w:r>
      <w:r>
        <w:rPr>
          <w:i/>
        </w:rPr>
        <w:t>Magen Avraham, Baruch Atah Hashem</w:t>
      </w:r>
      <w:r>
        <w:t xml:space="preserve">, is directed to </w:t>
      </w:r>
      <w:r>
        <w:rPr>
          <w:i/>
        </w:rPr>
        <w:t>Avraham</w:t>
      </w:r>
      <w:r>
        <w:t xml:space="preserve"> as he </w:t>
      </w:r>
      <w:r>
        <w:rPr>
          <w:i/>
        </w:rPr>
        <w:t>began</w:t>
      </w:r>
      <w:r>
        <w:t xml:space="preserve"> — alone, standing </w:t>
      </w:r>
      <w:r>
        <w:rPr>
          <w:i/>
        </w:rPr>
        <w:t>b’ever echad</w:t>
      </w:r>
      <w:r>
        <w:t xml:space="preserve"> (</w:t>
      </w:r>
      <w:r>
        <w:rPr>
          <w:rFonts w:ascii="David" w:hAnsi="David"/>
        </w:rPr>
        <w:t>בעבר אחד</w:t>
      </w:r>
      <w:r>
        <w:t xml:space="preserve">) against his father </w:t>
      </w:r>
      <w:r>
        <w:rPr>
          <w:i/>
        </w:rPr>
        <w:t>Terach</w:t>
      </w:r>
      <w:r>
        <w:t xml:space="preserve"> (</w:t>
      </w:r>
      <w:r>
        <w:rPr>
          <w:rFonts w:ascii="David" w:hAnsi="David"/>
        </w:rPr>
        <w:t>תרח</w:t>
      </w:r>
      <w:r>
        <w:t xml:space="preserve">), against </w:t>
      </w:r>
      <w:r>
        <w:rPr>
          <w:i/>
        </w:rPr>
        <w:t>Dor HaPalagah</w:t>
      </w:r>
      <w:r>
        <w:t xml:space="preserve"> (</w:t>
      </w:r>
      <w:r>
        <w:rPr>
          <w:rFonts w:ascii="David" w:hAnsi="David"/>
        </w:rPr>
        <w:t>דור הפלגה</w:t>
      </w:r>
      <w:r>
        <w:t xml:space="preserve">), against an entire civilization. The two bows together install both dimensions: the inheritance, and the personal </w:t>
      </w:r>
      <w:r>
        <w:rPr>
          <w:i/>
        </w:rPr>
        <w:t>avodah</w:t>
      </w:r>
      <w:r>
        <w:t>.</w:t>
      </w:r>
    </w:p>
    <w:p>
      <w:r>
        <w:rPr>
          <w:i/>
          <w:color w:val="B8860B"/>
          <w:sz w:val="24"/>
        </w:rPr>
        <w:t>Avraham HaIvri and the Chiddushei HaRim</w:t>
      </w:r>
    </w:p>
    <w:p>
      <w:r>
        <w:rPr>
          <w:i/>
        </w:rPr>
        <w:t>Chazal</w:t>
      </w:r>
      <w:r>
        <w:t xml:space="preserve"> ask why </w:t>
      </w:r>
      <w:r>
        <w:rPr>
          <w:i/>
        </w:rPr>
        <w:t>Avraham</w:t>
      </w:r>
      <w:r>
        <w:t xml:space="preserve"> is called </w:t>
      </w:r>
      <w:r>
        <w:rPr>
          <w:i/>
        </w:rPr>
        <w:t>Avraham HaIvri</w:t>
      </w:r>
      <w:r>
        <w:t xml:space="preserve"> (</w:t>
      </w:r>
      <w:r>
        <w:rPr>
          <w:rFonts w:ascii="David" w:hAnsi="David"/>
        </w:rPr>
        <w:t>אברהם העברי</w:t>
      </w:r>
      <w:r>
        <w:t xml:space="preserve">). The answer given: because he stood on one side, </w:t>
      </w:r>
      <w:r>
        <w:rPr>
          <w:i/>
        </w:rPr>
        <w:t>b’ever echad</w:t>
      </w:r>
      <w:r>
        <w:t xml:space="preserve">, while the entire world stood on the other. To stand alone against </w:t>
      </w:r>
      <w:r>
        <w:rPr>
          <w:i/>
        </w:rPr>
        <w:t>sheker</w:t>
      </w:r>
      <w:r>
        <w:t xml:space="preserve"> (</w:t>
      </w:r>
      <w:r>
        <w:rPr>
          <w:rFonts w:ascii="David" w:hAnsi="David"/>
        </w:rPr>
        <w:t>שקר</w:t>
      </w:r>
      <w:r>
        <w:t xml:space="preserve">) for the sake of </w:t>
      </w:r>
      <w:r>
        <w:rPr>
          <w:i/>
        </w:rPr>
        <w:t>emes</w:t>
      </w:r>
      <w:r>
        <w:t xml:space="preserve"> (</w:t>
      </w:r>
      <w:r>
        <w:rPr>
          <w:rFonts w:ascii="David" w:hAnsi="David"/>
        </w:rPr>
        <w:t>אמת</w:t>
      </w:r>
      <w:r>
        <w:t xml:space="preserve">) is the essence of what it means to be </w:t>
      </w:r>
      <w:r>
        <w:rPr>
          <w:i/>
        </w:rPr>
        <w:t>Avraham Avinu</w:t>
      </w:r>
      <w:r>
        <w:t xml:space="preserve">. Every </w:t>
      </w:r>
      <w:r>
        <w:rPr>
          <w:i/>
        </w:rPr>
        <w:t>Yid</w:t>
      </w:r>
      <w:r>
        <w:t xml:space="preserve">, at some moment in his life, is placed by </w:t>
      </w:r>
      <w:r>
        <w:rPr>
          <w:i/>
        </w:rPr>
        <w:t>hashgachah</w:t>
      </w:r>
      <w:r>
        <w:t xml:space="preserve"> in precisely such a position; at that moment he is being asked to be a fragment of </w:t>
      </w:r>
      <w:r>
        <w:rPr>
          <w:i/>
        </w:rPr>
        <w:t>Avraham Avinu</w:t>
      </w:r>
      <w:r>
        <w:t>.</w:t>
      </w:r>
    </w:p>
    <w:p>
      <w:r>
        <w:t xml:space="preserve">The </w:t>
      </w:r>
      <w:r>
        <w:rPr>
          <w:i/>
        </w:rPr>
        <w:t>Chiddushei HaRim</w:t>
      </w:r>
      <w:r>
        <w:t xml:space="preserve">, </w:t>
      </w:r>
      <w:r>
        <w:rPr>
          <w:i/>
        </w:rPr>
        <w:t>zt”l</w:t>
      </w:r>
      <w:r>
        <w:t xml:space="preserve"> (</w:t>
      </w:r>
      <w:r>
        <w:rPr>
          <w:rFonts w:ascii="David" w:hAnsi="David"/>
        </w:rPr>
        <w:t>חידושי הרי"ם זצ"ל</w:t>
      </w:r>
      <w:r>
        <w:t xml:space="preserve">) — whose </w:t>
      </w:r>
      <w:r>
        <w:rPr>
          <w:i/>
        </w:rPr>
        <w:t>yahrzeit</w:t>
      </w:r>
      <w:r>
        <w:t xml:space="preserve"> falls on the calendar day of the delivered </w:t>
      </w:r>
      <w:r>
        <w:rPr>
          <w:i/>
        </w:rPr>
        <w:t>shiur</w:t>
      </w:r>
      <w:r>
        <w:t xml:space="preserve"> — writes in </w:t>
      </w:r>
      <w:r>
        <w:rPr>
          <w:i/>
        </w:rPr>
        <w:t>Sefer Alzachos</w:t>
      </w:r>
      <w:r>
        <w:t>,</w:t>
      </w:r>
      <w:r>
        <w:rPr>
          <w:color w:val="B8860B"/>
          <w:sz w:val="16"/>
          <w:vertAlign w:val="superscript"/>
        </w:rPr>
        <w:t>[8]</w:t>
      </w:r>
      <w:r>
        <w:t xml:space="preserve"> the principal </w:t>
      </w:r>
      <w:r>
        <w:rPr>
          <w:i/>
        </w:rPr>
        <w:t>sefer</w:t>
      </w:r>
      <w:r>
        <w:t xml:space="preserve"> that Gerrer </w:t>
      </w:r>
      <w:r>
        <w:rPr>
          <w:i/>
        </w:rPr>
        <w:t>chassidim</w:t>
      </w:r>
      <w:r>
        <w:t xml:space="preserve"> possess from him on </w:t>
      </w:r>
      <w:r>
        <w:rPr>
          <w:i/>
        </w:rPr>
        <w:t>chumash</w:t>
      </w:r>
      <w:r>
        <w:t xml:space="preserve">, a formulation that has become famous in </w:t>
      </w:r>
      <w:r>
        <w:rPr>
          <w:i/>
        </w:rPr>
        <w:t>Ger</w:t>
      </w:r>
      <w:r>
        <w:t xml:space="preserve"> and in </w:t>
      </w:r>
      <w:r>
        <w:rPr>
          <w:i/>
        </w:rPr>
        <w:t>Kotzk</w:t>
      </w:r>
      <w:r>
        <w:t xml:space="preserve">: </w:t>
      </w:r>
      <w:r>
        <w:rPr>
          <w:i/>
        </w:rPr>
        <w:t>kol Yehudi hu Magen Avraham</w:t>
      </w:r>
      <w:r>
        <w:t xml:space="preserve"> (</w:t>
      </w:r>
      <w:r>
        <w:rPr>
          <w:rFonts w:ascii="David" w:hAnsi="David"/>
        </w:rPr>
        <w:t>כל יהודי הוא מגן אברהם</w:t>
      </w:r>
      <w:r>
        <w:t xml:space="preserve">) — </w:t>
      </w:r>
      <w:r>
        <w:rPr>
          <w:i/>
        </w:rPr>
        <w:t>every Yid is a Magen Avraham; every Yid is, at his moment, an Avraham Avinu.</w:t>
      </w:r>
      <w:r>
        <w:t xml:space="preserve"> The closing </w:t>
      </w:r>
      <w:r>
        <w:rPr>
          <w:i/>
        </w:rPr>
        <w:t>chasimah</w:t>
      </w:r>
      <w:r>
        <w:t xml:space="preserve"> (</w:t>
      </w:r>
      <w:r>
        <w:rPr>
          <w:rFonts w:ascii="David" w:hAnsi="David"/>
        </w:rPr>
        <w:t>חתימה</w:t>
      </w:r>
      <w:r>
        <w:t xml:space="preserve">) of </w:t>
      </w:r>
      <w:r>
        <w:rPr>
          <w:i/>
        </w:rPr>
        <w:t>Birkas Avos</w:t>
      </w:r>
      <w:r>
        <w:t xml:space="preserve"> on </w:t>
      </w:r>
      <w:r>
        <w:rPr>
          <w:i/>
        </w:rPr>
        <w:t>Magen Avraham</w:t>
      </w:r>
      <w:r>
        <w:t xml:space="preserve"> alone, without the other </w:t>
      </w:r>
      <w:r>
        <w:rPr>
          <w:i/>
        </w:rPr>
        <w:t>avos</w:t>
      </w:r>
      <w:r>
        <w:t xml:space="preserve">, is on this reading the flag under which every </w:t>
      </w:r>
      <w:r>
        <w:rPr>
          <w:i/>
        </w:rPr>
        <w:t>Yid</w:t>
      </w:r>
      <w:r>
        <w:t xml:space="preserve">’s personal </w:t>
      </w:r>
      <w:r>
        <w:rPr>
          <w:i/>
        </w:rPr>
        <w:t>avodah</w:t>
      </w:r>
      <w:r>
        <w:t xml:space="preserve"> stands. The second </w:t>
      </w:r>
      <w:r>
        <w:rPr>
          <w:i/>
        </w:rPr>
        <w:t>keriyah</w:t>
      </w:r>
      <w:r>
        <w:t xml:space="preserve"> is thereby not the marking of an inheritance but the acknowledgment of a personal call: </w:t>
      </w:r>
      <w:r>
        <w:rPr>
          <w:i/>
        </w:rPr>
        <w:t>I, too, like Avraham, stand against the sheker of my world for the emes of HaKadosh Baruch Hu — and in that standing, the second bow finds its place.</w:t>
      </w:r>
    </w:p>
    <w:p>
      <w:r>
        <w:rPr>
          <w:b/>
          <w:color w:val="1E3A8A"/>
          <w:sz w:val="26"/>
        </w:rPr>
        <w:t>V. BIRKAS GEVUROS — WHY RAIN IS CALLED GEVUROS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Text of the Berachah</w:t>
      </w:r>
    </w:p>
    <w:p>
      <w:r>
        <w:t xml:space="preserve">The second </w:t>
      </w:r>
      <w:r>
        <w:rPr>
          <w:i/>
        </w:rPr>
        <w:t>berachah</w:t>
      </w:r>
      <w:r>
        <w:t xml:space="preserve"> of </w:t>
      </w:r>
      <w:r>
        <w:rPr>
          <w:i/>
        </w:rPr>
        <w:t>Shemoneh Esrei</w:t>
      </w:r>
      <w:r>
        <w:t xml:space="preserve"> opens: </w:t>
      </w:r>
      <w:r>
        <w:rPr>
          <w:i/>
        </w:rPr>
        <w:t>Atah Gibor l’olam Hashem, m’chayeh meisim atah, rav l’hoshi’a. Mashiv haruach u’morid ha’geshem</w:t>
      </w:r>
      <w:r>
        <w:t xml:space="preserve"> — or, in the summer season, </w:t>
      </w:r>
      <w:r>
        <w:rPr>
          <w:i/>
        </w:rPr>
        <w:t>morid ha’tal</w:t>
      </w:r>
      <w:r>
        <w:t xml:space="preserve"> (</w:t>
      </w:r>
      <w:r>
        <w:rPr>
          <w:rFonts w:ascii="David" w:hAnsi="David"/>
        </w:rPr>
        <w:t>מוריד הטל</w:t>
      </w:r>
      <w:r>
        <w:t xml:space="preserve">). At the head of the </w:t>
      </w:r>
      <w:r>
        <w:rPr>
          <w:i/>
        </w:rPr>
        <w:t>berachah</w:t>
      </w:r>
      <w:r>
        <w:t xml:space="preserve"> stands the </w:t>
      </w:r>
      <w:r>
        <w:rPr>
          <w:i/>
        </w:rPr>
        <w:t>toar</w:t>
      </w:r>
      <w:r>
        <w:t xml:space="preserve"> of </w:t>
      </w:r>
      <w:r>
        <w:rPr>
          <w:i/>
        </w:rPr>
        <w:t>gevurah</w:t>
      </w:r>
      <w:r>
        <w:t>; immediately following it stands the invocation of rain.</w:t>
      </w:r>
    </w:p>
    <w:p>
      <w:r>
        <w:rPr>
          <w:i/>
          <w:color w:val="B8860B"/>
          <w:sz w:val="24"/>
        </w:rPr>
        <w:t>The Question of the Gemara</w:t>
      </w:r>
    </w:p>
    <w:p>
      <w:r>
        <w:t xml:space="preserve">The </w:t>
      </w:r>
      <w:r>
        <w:rPr>
          <w:i/>
        </w:rPr>
        <w:t>Gemara</w:t>
      </w:r>
      <w:r>
        <w:t xml:space="preserve"> at the opening of </w:t>
      </w:r>
      <w:r>
        <w:rPr>
          <w:i/>
        </w:rPr>
        <w:t>Ta’anis</w:t>
      </w:r>
      <w:r>
        <w:rPr>
          <w:color w:val="B8860B"/>
          <w:sz w:val="16"/>
          <w:vertAlign w:val="superscript"/>
        </w:rPr>
        <w:t>[9]</w:t>
      </w:r>
      <w:r>
        <w:t xml:space="preserve"> raises the question: </w:t>
      </w:r>
      <w:r>
        <w:rPr>
          <w:i/>
        </w:rPr>
        <w:t>gishmei berachah</w:t>
      </w:r>
      <w:r>
        <w:t xml:space="preserve"> (</w:t>
      </w:r>
      <w:r>
        <w:rPr>
          <w:rFonts w:ascii="David" w:hAnsi="David"/>
        </w:rPr>
        <w:t>גשמי ברכה</w:t>
      </w:r>
      <w:r>
        <w:t xml:space="preserve">) are designated </w:t>
      </w:r>
      <w:r>
        <w:rPr>
          <w:i/>
        </w:rPr>
        <w:t>gevuros</w:t>
      </w:r>
      <w:r>
        <w:t xml:space="preserve"> (</w:t>
      </w:r>
      <w:r>
        <w:rPr>
          <w:rFonts w:ascii="David" w:hAnsi="David"/>
        </w:rPr>
        <w:t>גבורות</w:t>
      </w:r>
      <w:r>
        <w:t xml:space="preserve">). Why? What is it about rain that constitutes a demonstration of the </w:t>
      </w:r>
      <w:r>
        <w:rPr>
          <w:i/>
        </w:rPr>
        <w:t>Ribbono Shel Olam</w:t>
      </w:r>
      <w:r>
        <w:t xml:space="preserve">’s </w:t>
      </w:r>
      <w:r>
        <w:rPr>
          <w:i/>
        </w:rPr>
        <w:t>gevurah</w:t>
      </w:r>
      <w:r>
        <w:t xml:space="preserve">? Rain, viewed superficially, is the most ordinary of natural phenomena; its designation as </w:t>
      </w:r>
      <w:r>
        <w:rPr>
          <w:i/>
        </w:rPr>
        <w:t>gevurah</w:t>
      </w:r>
      <w:r>
        <w:t xml:space="preserve"> demands explanation.</w:t>
      </w:r>
    </w:p>
    <w:p>
      <w:r>
        <w:rPr>
          <w:i/>
          <w:color w:val="B8860B"/>
          <w:sz w:val="24"/>
        </w:rPr>
        <w:t>The Gra — Every Drop to Its Address</w:t>
      </w:r>
    </w:p>
    <w:p>
      <w:r>
        <w:t xml:space="preserve">The </w:t>
      </w:r>
      <w:r>
        <w:rPr>
          <w:i/>
        </w:rPr>
        <w:t>Gra</w:t>
      </w:r>
      <w:r>
        <w:t xml:space="preserve"> (</w:t>
      </w:r>
      <w:r>
        <w:rPr>
          <w:rFonts w:ascii="David" w:hAnsi="David"/>
        </w:rPr>
        <w:t>גר"א</w:t>
      </w:r>
      <w:r>
        <w:t>)</w:t>
      </w:r>
      <w:r>
        <w:rPr>
          <w:color w:val="B8860B"/>
          <w:sz w:val="16"/>
          <w:vertAlign w:val="superscript"/>
        </w:rPr>
        <w:t>[10]</w:t>
      </w:r>
      <w:r>
        <w:t xml:space="preserve"> supplies the reading that has become the standard </w:t>
      </w:r>
      <w:r>
        <w:rPr>
          <w:i/>
        </w:rPr>
        <w:t>pshat</w:t>
      </w:r>
      <w:r>
        <w:t xml:space="preserve"> in the </w:t>
      </w:r>
      <w:r>
        <w:rPr>
          <w:i/>
        </w:rPr>
        <w:t>berachah</w:t>
      </w:r>
      <w:r>
        <w:t xml:space="preserve">. The fact that every single drop of rain descends precisely to its appointed location — every field, every furrow, every root — is itself the demonstration of </w:t>
      </w:r>
      <w:r>
        <w:rPr>
          <w:i/>
        </w:rPr>
        <w:t>gevurah</w:t>
      </w:r>
      <w:r>
        <w:t xml:space="preserve">. What appears to the natural eye as random precipitation is, in </w:t>
      </w:r>
      <w:r>
        <w:rPr>
          <w:i/>
        </w:rPr>
        <w:t>emes</w:t>
      </w:r>
      <w:r>
        <w:t xml:space="preserve">, the most exact expression of </w:t>
      </w:r>
      <w:r>
        <w:rPr>
          <w:i/>
        </w:rPr>
        <w:t>hashgachah pratis</w:t>
      </w:r>
      <w:r>
        <w:t xml:space="preserve"> (</w:t>
      </w:r>
      <w:r>
        <w:rPr>
          <w:rFonts w:ascii="David" w:hAnsi="David"/>
        </w:rPr>
        <w:t>השגחה פרטית</w:t>
      </w:r>
      <w:r>
        <w:t xml:space="preserve">) over the finest details of </w:t>
      </w:r>
      <w:r>
        <w:rPr>
          <w:i/>
        </w:rPr>
        <w:t>bri’ah</w:t>
      </w:r>
      <w:r>
        <w:t xml:space="preserve"> (</w:t>
      </w:r>
      <w:r>
        <w:rPr>
          <w:rFonts w:ascii="David" w:hAnsi="David"/>
        </w:rPr>
        <w:t>בריאה</w:t>
      </w:r>
      <w:r>
        <w:t xml:space="preserve">). There is no </w:t>
      </w:r>
      <w:r>
        <w:rPr>
          <w:i/>
        </w:rPr>
        <w:t>seder</w:t>
      </w:r>
      <w:r>
        <w:t xml:space="preserve"> (</w:t>
      </w:r>
      <w:r>
        <w:rPr>
          <w:rFonts w:ascii="David" w:hAnsi="David"/>
        </w:rPr>
        <w:t>סדר</w:t>
      </w:r>
      <w:r>
        <w:t xml:space="preserve">) more intricate than this </w:t>
      </w:r>
      <w:r>
        <w:rPr>
          <w:i/>
        </w:rPr>
        <w:t>seder</w:t>
      </w:r>
      <w:r>
        <w:t xml:space="preserve">, and there is no </w:t>
      </w:r>
      <w:r>
        <w:rPr>
          <w:i/>
        </w:rPr>
        <w:t>gevurah</w:t>
      </w:r>
      <w:r>
        <w:t xml:space="preserve"> more exact than the direction of every drop of rain to its address. On the </w:t>
      </w:r>
      <w:r>
        <w:rPr>
          <w:i/>
        </w:rPr>
        <w:t>Gra</w:t>
      </w:r>
      <w:r>
        <w:t xml:space="preserve">’s reading, the placement of </w:t>
      </w:r>
      <w:r>
        <w:rPr>
          <w:i/>
        </w:rPr>
        <w:t>gishmei berachah</w:t>
      </w:r>
      <w:r>
        <w:t xml:space="preserve"> at the head of the </w:t>
      </w:r>
      <w:r>
        <w:rPr>
          <w:i/>
        </w:rPr>
        <w:t>berachah</w:t>
      </w:r>
      <w:r>
        <w:t xml:space="preserve"> of </w:t>
      </w:r>
      <w:r>
        <w:rPr>
          <w:i/>
        </w:rPr>
        <w:t>gevuros</w:t>
      </w:r>
      <w:r>
        <w:t xml:space="preserve"> is not a stylistic accident but a doctrinal statement.</w:t>
      </w:r>
    </w:p>
    <w:p>
      <w:r>
        <w:rPr>
          <w:b/>
          <w:color w:val="1E3A8A"/>
          <w:sz w:val="26"/>
        </w:rPr>
        <w:t>VI. HAGESHEM OR HAGASHEM — THE GRAMMAR AND THE HISTORY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Halachic Question</w:t>
      </w:r>
    </w:p>
    <w:p>
      <w:r>
        <w:t xml:space="preserve">How does the </w:t>
      </w:r>
      <w:r>
        <w:rPr>
          <w:i/>
        </w:rPr>
        <w:t>mispallel</w:t>
      </w:r>
      <w:r>
        <w:t xml:space="preserve"> pronounce the word? Is it </w:t>
      </w:r>
      <w:r>
        <w:rPr>
          <w:i/>
        </w:rPr>
        <w:t>ha’geshem</w:t>
      </w:r>
      <w:r>
        <w:t xml:space="preserve"> (</w:t>
      </w:r>
      <w:r>
        <w:rPr>
          <w:rFonts w:ascii="David" w:hAnsi="David"/>
        </w:rPr>
        <w:t>הַגֶּשֶׁם</w:t>
      </w:r>
      <w:r>
        <w:t xml:space="preserve">) with a </w:t>
      </w:r>
      <w:r>
        <w:rPr>
          <w:i/>
        </w:rPr>
        <w:t>segol</w:t>
      </w:r>
      <w:r>
        <w:t xml:space="preserve">, or </w:t>
      </w:r>
      <w:r>
        <w:rPr>
          <w:i/>
        </w:rPr>
        <w:t>ha’gashem</w:t>
      </w:r>
      <w:r>
        <w:t xml:space="preserve"> (</w:t>
      </w:r>
      <w:r>
        <w:rPr>
          <w:rFonts w:ascii="David" w:hAnsi="David"/>
        </w:rPr>
        <w:t>הַגָּשֶׁם</w:t>
      </w:r>
      <w:r>
        <w:t xml:space="preserve">) with a </w:t>
      </w:r>
      <w:r>
        <w:rPr>
          <w:i/>
        </w:rPr>
        <w:t>kamatz</w:t>
      </w:r>
      <w:r>
        <w:t>? Most say what their father said. The question is nevertheless real and rests on a substantive grammatical foundation.</w:t>
      </w:r>
    </w:p>
    <w:p>
      <w:r>
        <w:rPr>
          <w:i/>
          <w:color w:val="B8860B"/>
          <w:sz w:val="24"/>
        </w:rPr>
        <w:t>The Rule of Segol and Kamatz</w:t>
      </w:r>
    </w:p>
    <w:p>
      <w:r>
        <w:t xml:space="preserve">The </w:t>
      </w:r>
      <w:r>
        <w:rPr>
          <w:i/>
        </w:rPr>
        <w:t>Gemara</w:t>
      </w:r>
      <w:r>
        <w:t xml:space="preserve"> in </w:t>
      </w:r>
      <w:r>
        <w:rPr>
          <w:i/>
        </w:rPr>
        <w:t>Ta’anis</w:t>
      </w:r>
      <w:r>
        <w:rPr>
          <w:color w:val="B8860B"/>
          <w:sz w:val="16"/>
          <w:vertAlign w:val="superscript"/>
        </w:rPr>
        <w:t>[9]</w:t>
      </w:r>
      <w:r>
        <w:t xml:space="preserve"> teaches that the </w:t>
      </w:r>
      <w:r>
        <w:rPr>
          <w:i/>
        </w:rPr>
        <w:t>hilchos keri’as sefarim</w:t>
      </w:r>
      <w:r>
        <w:t xml:space="preserve"> (</w:t>
      </w:r>
      <w:r>
        <w:rPr>
          <w:rFonts w:ascii="David" w:hAnsi="David"/>
        </w:rPr>
        <w:t>הלכות קריאת ספרים</w:t>
      </w:r>
      <w:r>
        <w:t xml:space="preserve">) — the grammatical rules governing the proper reading of sacred texts — were transmitted to </w:t>
      </w:r>
      <w:r>
        <w:rPr>
          <w:i/>
        </w:rPr>
        <w:t>Moshe Rabbeinu</w:t>
      </w:r>
      <w:r>
        <w:t xml:space="preserve"> at </w:t>
      </w:r>
      <w:r>
        <w:rPr>
          <w:i/>
        </w:rPr>
        <w:t>Sinai</w:t>
      </w:r>
      <w:r>
        <w:t xml:space="preserve">. Among these rules is the following: a word that carries a </w:t>
      </w:r>
      <w:r>
        <w:rPr>
          <w:i/>
        </w:rPr>
        <w:t>segol</w:t>
      </w:r>
      <w:r>
        <w:t xml:space="preserve"> mid-</w:t>
      </w:r>
      <w:r>
        <w:rPr>
          <w:i/>
        </w:rPr>
        <w:t>pasuk</w:t>
      </w:r>
      <w:r>
        <w:t xml:space="preserve"> shifts to a </w:t>
      </w:r>
      <w:r>
        <w:rPr>
          <w:i/>
        </w:rPr>
        <w:t>kamatz</w:t>
      </w:r>
      <w:r>
        <w:t xml:space="preserve"> when the word stands at the end of the </w:t>
      </w:r>
      <w:r>
        <w:rPr>
          <w:i/>
        </w:rPr>
        <w:t>pasuk</w:t>
      </w:r>
      <w:r>
        <w:t xml:space="preserve"> or at a </w:t>
      </w:r>
      <w:r>
        <w:rPr>
          <w:i/>
        </w:rPr>
        <w:t>hefsek</w:t>
      </w:r>
      <w:r>
        <w:t xml:space="preserve"> (</w:t>
      </w:r>
      <w:r>
        <w:rPr>
          <w:rFonts w:ascii="David" w:hAnsi="David"/>
        </w:rPr>
        <w:t>הפסק</w:t>
      </w:r>
      <w:r>
        <w:t xml:space="preserve">). The classical example, drawn from the </w:t>
      </w:r>
      <w:r>
        <w:rPr>
          <w:i/>
        </w:rPr>
        <w:t>Torah</w:t>
      </w:r>
      <w:r>
        <w:t xml:space="preserve"> itself in </w:t>
      </w:r>
      <w:r>
        <w:rPr>
          <w:i/>
        </w:rPr>
        <w:t>Parshas Mishpatim</w:t>
      </w:r>
      <w:r>
        <w:t>:</w:t>
      </w:r>
    </w:p>
    <w:p>
      <w:pPr>
        <w:ind w:left="432"/>
      </w:pPr>
      <w:r>
        <w:rPr>
          <w:i/>
        </w:rPr>
        <w:br/>
      </w:r>
      <w:r>
        <w:rPr>
          <w:rFonts w:ascii="David" w:hAnsi="David"/>
          <w:i/>
        </w:rPr>
        <w:t>עַיִן תַּחַת עַיִן, שֵׁן תַּחַת שֵׁן, יָד תַּחַת יָד, רֶגֶל תַּחַת רָגֶל.</w:t>
      </w:r>
      <w:r>
        <w:rPr>
          <w:i/>
        </w:rPr>
        <w:br/>
      </w:r>
      <w:r>
        <w:rPr>
          <w:i/>
        </w:rPr>
        <w:t>An eye for an eye, a tooth for a tooth, a hand for a hand, a foot for a foot.</w:t>
      </w:r>
      <w:r>
        <w:rPr>
          <w:i/>
        </w:rPr>
        <w:br/>
      </w:r>
      <w:r>
        <w:rPr>
          <w:i/>
        </w:rPr>
        <w:t>Shemos</w:t>
      </w:r>
      <w:r>
        <w:rPr>
          <w:i/>
        </w:rPr>
        <w:t xml:space="preserve"> 21:24</w:t>
      </w:r>
      <w:r>
        <w:rPr>
          <w:color w:val="B8860B"/>
          <w:sz w:val="16"/>
          <w:vertAlign w:val="superscript"/>
        </w:rPr>
        <w:t>[11]</w:t>
      </w:r>
      <w:r>
        <w:rPr>
          <w:i/>
        </w:rPr>
        <w:br/>
      </w:r>
    </w:p>
    <w:p>
      <w:r>
        <w:t xml:space="preserve">The first appearance of </w:t>
      </w:r>
      <w:r>
        <w:rPr>
          <w:i/>
        </w:rPr>
        <w:t>regel</w:t>
      </w:r>
      <w:r>
        <w:t>, mid-</w:t>
      </w:r>
      <w:r>
        <w:rPr>
          <w:i/>
        </w:rPr>
        <w:t>pasuk</w:t>
      </w:r>
      <w:r>
        <w:t xml:space="preserve">, retains the </w:t>
      </w:r>
      <w:r>
        <w:rPr>
          <w:i/>
        </w:rPr>
        <w:t>segol</w:t>
      </w:r>
      <w:r>
        <w:t xml:space="preserve">. The second appearance, at the close of the </w:t>
      </w:r>
      <w:r>
        <w:rPr>
          <w:i/>
        </w:rPr>
        <w:t>pasuk</w:t>
      </w:r>
      <w:r>
        <w:t xml:space="preserve">, shifts to </w:t>
      </w:r>
      <w:r>
        <w:rPr>
          <w:i/>
        </w:rPr>
        <w:t>kamatz</w:t>
      </w:r>
      <w:r>
        <w:t xml:space="preserve">. The same word, same root, different </w:t>
      </w:r>
      <w:r>
        <w:rPr>
          <w:i/>
        </w:rPr>
        <w:t>nikud</w:t>
      </w:r>
      <w:r>
        <w:t xml:space="preserve"> by virtue of position alone.</w:t>
      </w:r>
    </w:p>
    <w:p>
      <w:r>
        <w:rPr>
          <w:i/>
          <w:color w:val="B8860B"/>
          <w:sz w:val="24"/>
        </w:rPr>
        <w:t>The Application to Morid HaGeshem</w:t>
      </w:r>
    </w:p>
    <w:p>
      <w:r>
        <w:t xml:space="preserve">The application to </w:t>
      </w:r>
      <w:r>
        <w:rPr>
          <w:i/>
        </w:rPr>
        <w:t>morid ha’geshem</w:t>
      </w:r>
      <w:r>
        <w:t xml:space="preserve"> depends on how one reads the syntax that follows. If </w:t>
      </w:r>
      <w:r>
        <w:rPr>
          <w:i/>
        </w:rPr>
        <w:t>Mashiv haruach u’morid ha’geshem</w:t>
      </w:r>
      <w:r>
        <w:t xml:space="preserve"> ends a sentence — with an </w:t>
      </w:r>
      <w:r>
        <w:rPr>
          <w:i/>
        </w:rPr>
        <w:t>esnachta</w:t>
      </w:r>
      <w:r>
        <w:t xml:space="preserve"> (</w:t>
      </w:r>
      <w:r>
        <w:rPr>
          <w:rFonts w:ascii="David" w:hAnsi="David"/>
        </w:rPr>
        <w:t>אתנחתא</w:t>
      </w:r>
      <w:r>
        <w:t xml:space="preserve">) before the following phrase </w:t>
      </w:r>
      <w:r>
        <w:rPr>
          <w:i/>
        </w:rPr>
        <w:t>Mechalkel chayim b’chesed</w:t>
      </w:r>
      <w:r>
        <w:t xml:space="preserve"> (</w:t>
      </w:r>
      <w:r>
        <w:rPr>
          <w:rFonts w:ascii="David" w:hAnsi="David"/>
        </w:rPr>
        <w:t>מכלכל חיים בחסד</w:t>
      </w:r>
      <w:r>
        <w:t xml:space="preserve">) — then the grammatical rule yields </w:t>
      </w:r>
      <w:r>
        <w:rPr>
          <w:i/>
        </w:rPr>
        <w:t>ha’gashem</w:t>
      </w:r>
      <w:r>
        <w:t xml:space="preserve"> with a </w:t>
      </w:r>
      <w:r>
        <w:rPr>
          <w:i/>
        </w:rPr>
        <w:t>kamatz</w:t>
      </w:r>
      <w:r>
        <w:t xml:space="preserve">. If, on the other hand, the phrase flows continuously into </w:t>
      </w:r>
      <w:r>
        <w:rPr>
          <w:i/>
        </w:rPr>
        <w:t>Mechalkel chayim b’chesed</w:t>
      </w:r>
      <w:r>
        <w:t xml:space="preserve"> — construing the sense as </w:t>
      </w:r>
      <w:r>
        <w:rPr>
          <w:i/>
        </w:rPr>
        <w:t>HaKadosh Baruch Hu sustains life through the rain</w:t>
      </w:r>
      <w:r>
        <w:t xml:space="preserve"> — then </w:t>
      </w:r>
      <w:r>
        <w:rPr>
          <w:i/>
        </w:rPr>
        <w:t>ha’geshem</w:t>
      </w:r>
      <w:r>
        <w:t xml:space="preserve"> with a </w:t>
      </w:r>
      <w:r>
        <w:rPr>
          <w:i/>
        </w:rPr>
        <w:t>segol</w:t>
      </w:r>
      <w:r>
        <w:t xml:space="preserve"> is correct. The </w:t>
      </w:r>
      <w:r>
        <w:rPr>
          <w:i/>
        </w:rPr>
        <w:t>machlokes ha’poskim</w:t>
      </w:r>
      <w:r>
        <w:t xml:space="preserve"> (</w:t>
      </w:r>
      <w:r>
        <w:rPr>
          <w:rFonts w:ascii="David" w:hAnsi="David"/>
        </w:rPr>
        <w:t>מחלוקת הפוסקים</w:t>
      </w:r>
      <w:r>
        <w:t>) turns on how the phrase is to be parsed.</w:t>
      </w:r>
    </w:p>
    <w:p>
      <w:r>
        <w:rPr>
          <w:i/>
          <w:color w:val="B8860B"/>
          <w:sz w:val="24"/>
        </w:rPr>
        <w:t>The Historical Nusach — Yitzchak Satanov and His Siddur</w:t>
      </w:r>
    </w:p>
    <w:p>
      <w:r>
        <w:t xml:space="preserve">For centuries, the universal </w:t>
      </w:r>
      <w:r>
        <w:rPr>
          <w:i/>
        </w:rPr>
        <w:t>nusach</w:t>
      </w:r>
      <w:r>
        <w:t xml:space="preserve"> was </w:t>
      </w:r>
      <w:r>
        <w:rPr>
          <w:i/>
        </w:rPr>
        <w:t>ha’geshem</w:t>
      </w:r>
      <w:r>
        <w:t xml:space="preserve"> with a </w:t>
      </w:r>
      <w:r>
        <w:rPr>
          <w:i/>
        </w:rPr>
        <w:t>segol</w:t>
      </w:r>
      <w:r>
        <w:t xml:space="preserve">. Every ancient </w:t>
      </w:r>
      <w:r>
        <w:rPr>
          <w:i/>
        </w:rPr>
        <w:t>siddur</w:t>
      </w:r>
      <w:r>
        <w:t xml:space="preserve"> — including the </w:t>
      </w:r>
      <w:r>
        <w:rPr>
          <w:i/>
        </w:rPr>
        <w:t>Siddur of Rav Amram Gaon</w:t>
      </w:r>
      <w:r>
        <w:t xml:space="preserve"> (</w:t>
      </w:r>
      <w:r>
        <w:rPr>
          <w:rFonts w:ascii="David" w:hAnsi="David"/>
        </w:rPr>
        <w:t>סידור רב עמרם גאון</w:t>
      </w:r>
      <w:r>
        <w:t>),</w:t>
      </w:r>
      <w:r>
        <w:rPr>
          <w:color w:val="B8860B"/>
          <w:sz w:val="16"/>
          <w:vertAlign w:val="superscript"/>
        </w:rPr>
        <w:t>[12]</w:t>
      </w:r>
      <w:r>
        <w:t xml:space="preserve"> the earliest comprehensive Jewish </w:t>
      </w:r>
      <w:r>
        <w:rPr>
          <w:i/>
        </w:rPr>
        <w:t>siddur</w:t>
      </w:r>
      <w:r>
        <w:t xml:space="preserve"> we possess — reads with </w:t>
      </w:r>
      <w:r>
        <w:rPr>
          <w:i/>
        </w:rPr>
        <w:t>segol</w:t>
      </w:r>
      <w:r>
        <w:t xml:space="preserve">, uniformly. The shift to </w:t>
      </w:r>
      <w:r>
        <w:rPr>
          <w:i/>
        </w:rPr>
        <w:t>ha’gashem</w:t>
      </w:r>
      <w:r>
        <w:t xml:space="preserve"> is post-1800, and the proximate source of the shift is one of the more unsettling episodes in the history of printed </w:t>
      </w:r>
      <w:r>
        <w:rPr>
          <w:i/>
        </w:rPr>
        <w:t>siddurim</w:t>
      </w:r>
      <w:r>
        <w:t>.</w:t>
      </w:r>
    </w:p>
    <w:p>
      <w:r>
        <w:t xml:space="preserve">The figure in question is </w:t>
      </w:r>
      <w:r>
        <w:rPr>
          <w:i/>
        </w:rPr>
        <w:t>Yitzchak Satanov</w:t>
      </w:r>
      <w:r>
        <w:t xml:space="preserve"> (</w:t>
      </w:r>
      <w:r>
        <w:rPr>
          <w:rFonts w:ascii="David" w:hAnsi="David"/>
        </w:rPr>
        <w:t>יצחק סאטאנוב</w:t>
      </w:r>
      <w:r>
        <w:t xml:space="preserve">), named for the town of Satanów, near Lviv in present-day western Ukraine. (The town itself was decimated in the </w:t>
      </w:r>
      <w:r>
        <w:rPr>
          <w:i/>
        </w:rPr>
        <w:t>Shoah</w:t>
      </w:r>
      <w:r>
        <w:t xml:space="preserve">; in 2020, the remains of approximately three hundred </w:t>
      </w:r>
      <w:r>
        <w:rPr>
          <w:i/>
        </w:rPr>
        <w:t>Yidden</w:t>
      </w:r>
      <w:r>
        <w:t xml:space="preserve"> — most of them women and children, suffocated to death by the Nazis and their Ukrainian collaborators — were discovered in two basements. After a six-year legal battle they were brought to </w:t>
      </w:r>
      <w:r>
        <w:rPr>
          <w:i/>
        </w:rPr>
        <w:t>kevurah</w:t>
      </w:r>
      <w:r>
        <w:t xml:space="preserve"> in </w:t>
      </w:r>
      <w:r>
        <w:rPr>
          <w:i/>
        </w:rPr>
        <w:t>Eretz Yisrael</w:t>
      </w:r>
      <w:r>
        <w:t>.)</w:t>
      </w:r>
    </w:p>
    <w:p>
      <w:r>
        <w:t xml:space="preserve">Satanov died in 1804 or 1805. He came from a </w:t>
      </w:r>
      <w:r>
        <w:rPr>
          <w:i/>
        </w:rPr>
        <w:t>frum</w:t>
      </w:r>
      <w:r>
        <w:t xml:space="preserve"> family; he moved to Berlin — then the capital of the </w:t>
      </w:r>
      <w:r>
        <w:rPr>
          <w:i/>
        </w:rPr>
        <w:t>Haskalah</w:t>
      </w:r>
      <w:r>
        <w:t xml:space="preserve"> (</w:t>
      </w:r>
      <w:r>
        <w:rPr>
          <w:rFonts w:ascii="David" w:hAnsi="David"/>
        </w:rPr>
        <w:t>השכלה</w:t>
      </w:r>
      <w:r>
        <w:t xml:space="preserve">) — and became close to </w:t>
      </w:r>
      <w:r>
        <w:rPr>
          <w:i/>
        </w:rPr>
        <w:t>Moses Mendelssohn</w:t>
      </w:r>
      <w:r>
        <w:t xml:space="preserve">, the intellectual father of Reform. He worked in Mendelssohn’s printing house. Outwardly he continued to present as </w:t>
      </w:r>
      <w:r>
        <w:rPr>
          <w:i/>
        </w:rPr>
        <w:t>frum</w:t>
      </w:r>
      <w:r>
        <w:t xml:space="preserve">, but his loyalties were divided. Those who knew him observed that beneath his long </w:t>
      </w:r>
      <w:r>
        <w:rPr>
          <w:i/>
        </w:rPr>
        <w:t>kapote</w:t>
      </w:r>
      <w:r>
        <w:t xml:space="preserve"> (</w:t>
      </w:r>
      <w:r>
        <w:rPr>
          <w:rFonts w:ascii="David" w:hAnsi="David"/>
        </w:rPr>
        <w:t>קפוטה</w:t>
      </w:r>
      <w:r>
        <w:t>) he wore a short jacket — straddling both worlds, and telegraphing the split.</w:t>
      </w:r>
    </w:p>
    <w:p>
      <w:r>
        <w:t xml:space="preserve">Over time it emerged that Satanov was a serial forger. He forged </w:t>
      </w:r>
      <w:r>
        <w:rPr>
          <w:i/>
        </w:rPr>
        <w:t>sefarim</w:t>
      </w:r>
      <w:r>
        <w:t xml:space="preserve">. He forged </w:t>
      </w:r>
      <w:r>
        <w:rPr>
          <w:i/>
        </w:rPr>
        <w:t>haskamos</w:t>
      </w:r>
      <w:r>
        <w:t xml:space="preserve"> (</w:t>
      </w:r>
      <w:r>
        <w:rPr>
          <w:rFonts w:ascii="David" w:hAnsi="David"/>
        </w:rPr>
        <w:t>הסכמות</w:t>
      </w:r>
      <w:r>
        <w:t xml:space="preserve">) — including </w:t>
      </w:r>
      <w:r>
        <w:rPr>
          <w:i/>
        </w:rPr>
        <w:t>haskamos</w:t>
      </w:r>
      <w:r>
        <w:t xml:space="preserve"> in the names of the </w:t>
      </w:r>
      <w:r>
        <w:rPr>
          <w:i/>
        </w:rPr>
        <w:t>Chasam Sofer</w:t>
      </w:r>
      <w:r>
        <w:t xml:space="preserve"> (</w:t>
      </w:r>
      <w:r>
        <w:rPr>
          <w:rFonts w:ascii="David" w:hAnsi="David"/>
        </w:rPr>
        <w:t>חתם סופר</w:t>
      </w:r>
      <w:r>
        <w:t xml:space="preserve">) and the </w:t>
      </w:r>
      <w:r>
        <w:rPr>
          <w:i/>
        </w:rPr>
        <w:t>Pnei Yehoshua</w:t>
      </w:r>
      <w:r>
        <w:t xml:space="preserve"> (</w:t>
      </w:r>
      <w:r>
        <w:rPr>
          <w:rFonts w:ascii="David" w:hAnsi="David"/>
        </w:rPr>
        <w:t>פני יהושע</w:t>
      </w:r>
      <w:r>
        <w:t xml:space="preserve">). The </w:t>
      </w:r>
      <w:r>
        <w:rPr>
          <w:i/>
        </w:rPr>
        <w:t>Pnei Yehoshua</w:t>
      </w:r>
      <w:r>
        <w:t xml:space="preserve"> initially cited him in the ordinary way; only later did he discover the deception. To establish credibility in serious circles, Satanov became the first to print the </w:t>
      </w:r>
      <w:r>
        <w:rPr>
          <w:i/>
        </w:rPr>
        <w:t>Kisvei HaAri z”l</w:t>
      </w:r>
      <w:r>
        <w:t xml:space="preserve"> (</w:t>
      </w:r>
      <w:r>
        <w:rPr>
          <w:rFonts w:ascii="David" w:hAnsi="David"/>
        </w:rPr>
        <w:t>כתבי האריז"ל</w:t>
      </w:r>
      <w:r>
        <w:t xml:space="preserve">) in publicly available form — a step of no small chutzpah, given that ever since </w:t>
      </w:r>
      <w:r>
        <w:rPr>
          <w:i/>
        </w:rPr>
        <w:t>Shabbsai Tzvi</w:t>
      </w:r>
      <w:r>
        <w:t xml:space="preserve"> there had stood a </w:t>
      </w:r>
      <w:r>
        <w:rPr>
          <w:i/>
        </w:rPr>
        <w:t>cherem</w:t>
      </w:r>
      <w:r>
        <w:t xml:space="preserve"> (</w:t>
      </w:r>
      <w:r>
        <w:rPr>
          <w:rFonts w:ascii="David" w:hAnsi="David"/>
        </w:rPr>
        <w:t>חרם</w:t>
      </w:r>
      <w:r>
        <w:t>) against the printing of Kabbalah for the general reader.</w:t>
      </w:r>
    </w:p>
    <w:p>
      <w:r>
        <w:t xml:space="preserve">He then turned his attention to the </w:t>
      </w:r>
      <w:r>
        <w:rPr>
          <w:i/>
        </w:rPr>
        <w:t>siddur</w:t>
      </w:r>
      <w:r>
        <w:t xml:space="preserve">. His edition, published under the title </w:t>
      </w:r>
      <w:r>
        <w:rPr>
          <w:i/>
        </w:rPr>
        <w:t>Vaye’etar Yitzchak</w:t>
      </w:r>
      <w:r>
        <w:t xml:space="preserve"> (</w:t>
      </w:r>
      <w:r>
        <w:rPr>
          <w:rFonts w:ascii="David" w:hAnsi="David"/>
        </w:rPr>
        <w:t>ויעתר יצחק</w:t>
      </w:r>
      <w:r>
        <w:t xml:space="preserve">) — the </w:t>
      </w:r>
      <w:r>
        <w:rPr>
          <w:i/>
        </w:rPr>
        <w:t>pasuk</w:t>
      </w:r>
      <w:r>
        <w:t xml:space="preserve"> of Yitzchak Avinu davening, and Satanov’s namesake — introduced numerous grammatical “corrections” to the received </w:t>
      </w:r>
      <w:r>
        <w:rPr>
          <w:i/>
        </w:rPr>
        <w:t>nusach</w:t>
      </w:r>
      <w:r>
        <w:t>.</w:t>
      </w:r>
      <w:r>
        <w:rPr>
          <w:color w:val="B8860B"/>
          <w:sz w:val="16"/>
          <w:vertAlign w:val="superscript"/>
        </w:rPr>
        <w:t>[13]</w:t>
      </w:r>
      <w:r>
        <w:t xml:space="preserve"> It is in this </w:t>
      </w:r>
      <w:r>
        <w:rPr>
          <w:i/>
        </w:rPr>
        <w:t>siddur</w:t>
      </w:r>
      <w:r>
        <w:t xml:space="preserve"> that </w:t>
      </w:r>
      <w:r>
        <w:rPr>
          <w:i/>
        </w:rPr>
        <w:t>ha’gashem</w:t>
      </w:r>
      <w:r>
        <w:t xml:space="preserve"> with a </w:t>
      </w:r>
      <w:r>
        <w:rPr>
          <w:i/>
        </w:rPr>
        <w:t>kamatz</w:t>
      </w:r>
      <w:r>
        <w:t xml:space="preserve"> first appears in print, replacing the universal </w:t>
      </w:r>
      <w:r>
        <w:rPr>
          <w:i/>
        </w:rPr>
        <w:t>ha’geshem</w:t>
      </w:r>
      <w:r>
        <w:t xml:space="preserve">. Approximately twenty-five years before the delivered </w:t>
      </w:r>
      <w:r>
        <w:rPr>
          <w:i/>
        </w:rPr>
        <w:t>shiur</w:t>
      </w:r>
      <w:r>
        <w:t xml:space="preserve">, a full </w:t>
      </w:r>
      <w:r>
        <w:rPr>
          <w:i/>
        </w:rPr>
        <w:t>kuntres</w:t>
      </w:r>
      <w:r>
        <w:t xml:space="preserve"> (</w:t>
      </w:r>
      <w:r>
        <w:rPr>
          <w:rFonts w:ascii="David" w:hAnsi="David"/>
        </w:rPr>
        <w:t>קונטרס</w:t>
      </w:r>
      <w:r>
        <w:t xml:space="preserve">) appeared — the work of </w:t>
      </w:r>
      <w:r>
        <w:rPr>
          <w:i/>
        </w:rPr>
        <w:t>Rav Krause</w:t>
      </w:r>
      <w:r>
        <w:t xml:space="preserve"> (</w:t>
      </w:r>
      <w:r>
        <w:rPr>
          <w:rFonts w:ascii="David" w:hAnsi="David"/>
        </w:rPr>
        <w:t>רב קראוס</w:t>
      </w:r>
      <w:r>
        <w:t xml:space="preserve">) — documenting the entire history and reopening the question for a generation of </w:t>
      </w:r>
      <w:r>
        <w:rPr>
          <w:i/>
        </w:rPr>
        <w:t>poskim</w:t>
      </w:r>
      <w:r>
        <w:t>.</w:t>
      </w:r>
    </w:p>
    <w:p>
      <w:r>
        <w:rPr>
          <w:i/>
          <w:color w:val="B8860B"/>
          <w:sz w:val="24"/>
        </w:rPr>
        <w:t>The Poskim on the Question</w:t>
      </w:r>
    </w:p>
    <w:p>
      <w:r>
        <w:rPr>
          <w:i/>
        </w:rPr>
        <w:t>Rav Moshe Feinstein</w:t>
      </w:r>
      <w:r>
        <w:t xml:space="preserve">, </w:t>
      </w:r>
      <w:r>
        <w:rPr>
          <w:i/>
        </w:rPr>
        <w:t>zt”l</w:t>
      </w:r>
      <w:r>
        <w:t xml:space="preserve"> (</w:t>
      </w:r>
      <w:r>
        <w:rPr>
          <w:rFonts w:ascii="David" w:hAnsi="David"/>
        </w:rPr>
        <w:t>הגר"מ פיינשטיין זצ"ל</w:t>
      </w:r>
      <w:r>
        <w:t xml:space="preserve">), in </w:t>
      </w:r>
      <w:r>
        <w:rPr>
          <w:i/>
        </w:rPr>
        <w:t>Shu”t Igros Moshe</w:t>
      </w:r>
      <w:r>
        <w:t xml:space="preserve"> (</w:t>
      </w:r>
      <w:r>
        <w:rPr>
          <w:rFonts w:ascii="David" w:hAnsi="David"/>
        </w:rPr>
        <w:t>שו"ת אגרות משה</w:t>
      </w:r>
      <w:r>
        <w:t>)</w:t>
      </w:r>
      <w:r>
        <w:rPr>
          <w:color w:val="B8860B"/>
          <w:sz w:val="16"/>
          <w:vertAlign w:val="superscript"/>
        </w:rPr>
        <w:t>[14]</w:t>
      </w:r>
      <w:r>
        <w:t xml:space="preserve"> rules in favor of </w:t>
      </w:r>
      <w:r>
        <w:rPr>
          <w:i/>
        </w:rPr>
        <w:t>ha’gashem</w:t>
      </w:r>
      <w:r>
        <w:t xml:space="preserve">. He records, further, that </w:t>
      </w:r>
      <w:r>
        <w:rPr>
          <w:i/>
        </w:rPr>
        <w:t>Maran HaGrish Elyashiv</w:t>
      </w:r>
      <w:r>
        <w:t xml:space="preserve">, </w:t>
      </w:r>
      <w:r>
        <w:rPr>
          <w:i/>
        </w:rPr>
        <w:t>zt”l</w:t>
      </w:r>
      <w:r>
        <w:t xml:space="preserve"> (</w:t>
      </w:r>
      <w:r>
        <w:rPr>
          <w:rFonts w:ascii="David" w:hAnsi="David"/>
        </w:rPr>
        <w:t>מרן הגרי"ש אלישיב זצ"ל</w:t>
      </w:r>
      <w:r>
        <w:t xml:space="preserve">), was extremely </w:t>
      </w:r>
      <w:r>
        <w:rPr>
          <w:i/>
        </w:rPr>
        <w:t>makpid</w:t>
      </w:r>
      <w:r>
        <w:t xml:space="preserve"> on </w:t>
      </w:r>
      <w:r>
        <w:rPr>
          <w:i/>
        </w:rPr>
        <w:t>ha’gashem</w:t>
      </w:r>
      <w:r>
        <w:t xml:space="preserve">; in his </w:t>
      </w:r>
      <w:r>
        <w:rPr>
          <w:i/>
        </w:rPr>
        <w:t>minyan</w:t>
      </w:r>
      <w:r>
        <w:t xml:space="preserve"> on the second floor of </w:t>
      </w:r>
      <w:r>
        <w:rPr>
          <w:i/>
        </w:rPr>
        <w:t>Porat Yosef</w:t>
      </w:r>
      <w:r>
        <w:t xml:space="preserve"> (</w:t>
      </w:r>
      <w:r>
        <w:rPr>
          <w:rFonts w:ascii="David" w:hAnsi="David"/>
        </w:rPr>
        <w:t>פורת יוסף</w:t>
      </w:r>
      <w:r>
        <w:t xml:space="preserve">) in </w:t>
      </w:r>
      <w:r>
        <w:rPr>
          <w:i/>
        </w:rPr>
        <w:t>Yerushalayim</w:t>
      </w:r>
      <w:r>
        <w:t xml:space="preserve">, the </w:t>
      </w:r>
      <w:r>
        <w:rPr>
          <w:i/>
        </w:rPr>
        <w:t>talmidim</w:t>
      </w:r>
      <w:r>
        <w:t xml:space="preserve"> corrected any </w:t>
      </w:r>
      <w:r>
        <w:rPr>
          <w:i/>
        </w:rPr>
        <w:t>mispallel</w:t>
      </w:r>
      <w:r>
        <w:t xml:space="preserve"> who said </w:t>
      </w:r>
      <w:r>
        <w:rPr>
          <w:i/>
        </w:rPr>
        <w:t>ha’geshem</w:t>
      </w:r>
      <w:r>
        <w:t xml:space="preserve">. (A </w:t>
      </w:r>
      <w:r>
        <w:rPr>
          <w:i/>
        </w:rPr>
        <w:t>talmid</w:t>
      </w:r>
      <w:r>
        <w:t xml:space="preserve"> with a sense of humor once came in the summer and said </w:t>
      </w:r>
      <w:r>
        <w:rPr>
          <w:i/>
        </w:rPr>
        <w:t>Mashiv haruach u’morid ha’geshem</w:t>
      </w:r>
      <w:r>
        <w:t xml:space="preserve">; the room jumped to correct him; his answer: </w:t>
      </w:r>
      <w:r>
        <w:rPr>
          <w:i/>
        </w:rPr>
        <w:t>you don’t say ‘geshem’ at all in the summer!</w:t>
      </w:r>
      <w:r>
        <w:t xml:space="preserve">) Rav Elyashiv held the phrase </w:t>
      </w:r>
      <w:r>
        <w:rPr>
          <w:i/>
        </w:rPr>
        <w:t>Mashiv haruach u’morid ha’geshem</w:t>
      </w:r>
      <w:r>
        <w:t xml:space="preserve"> to end a sentence with an </w:t>
      </w:r>
      <w:r>
        <w:rPr>
          <w:i/>
        </w:rPr>
        <w:t>esnachta</w:t>
      </w:r>
      <w:r>
        <w:t xml:space="preserve"> before </w:t>
      </w:r>
      <w:r>
        <w:rPr>
          <w:i/>
        </w:rPr>
        <w:t>Mechalkel chayim</w:t>
      </w:r>
      <w:r>
        <w:t xml:space="preserve">, and the grammatical rule accordingly yields </w:t>
      </w:r>
      <w:r>
        <w:rPr>
          <w:i/>
        </w:rPr>
        <w:t>ha’gashem</w:t>
      </w:r>
      <w:r>
        <w:t>.</w:t>
      </w:r>
    </w:p>
    <w:p>
      <w:r>
        <w:rPr>
          <w:i/>
        </w:rPr>
        <w:t>Rav Yaakov Yisrael Fisher</w:t>
      </w:r>
      <w:r>
        <w:t xml:space="preserve">, </w:t>
      </w:r>
      <w:r>
        <w:rPr>
          <w:i/>
        </w:rPr>
        <w:t>zt”l</w:t>
      </w:r>
      <w:r>
        <w:t xml:space="preserve"> (</w:t>
      </w:r>
      <w:r>
        <w:rPr>
          <w:rFonts w:ascii="David" w:hAnsi="David"/>
        </w:rPr>
        <w:t>הגר"י פישר זצ"ל</w:t>
      </w:r>
      <w:r>
        <w:t>),</w:t>
      </w:r>
      <w:r>
        <w:rPr>
          <w:color w:val="B8860B"/>
          <w:sz w:val="16"/>
          <w:vertAlign w:val="superscript"/>
        </w:rPr>
        <w:t>[15]</w:t>
      </w:r>
      <w:r>
        <w:t xml:space="preserve"> a </w:t>
      </w:r>
      <w:r>
        <w:rPr>
          <w:i/>
        </w:rPr>
        <w:t>Rav</w:t>
      </w:r>
      <w:r>
        <w:t xml:space="preserve"> in </w:t>
      </w:r>
      <w:r>
        <w:rPr>
          <w:i/>
        </w:rPr>
        <w:t>Yerushalayim</w:t>
      </w:r>
      <w:r>
        <w:t xml:space="preserve"> from the </w:t>
      </w:r>
      <w:r>
        <w:rPr>
          <w:i/>
        </w:rPr>
        <w:t>Eidah HaChareidis</w:t>
      </w:r>
      <w:r>
        <w:t xml:space="preserve">, took the </w:t>
      </w:r>
      <w:r>
        <w:rPr>
          <w:i/>
        </w:rPr>
        <w:t>kuntres</w:t>
      </w:r>
      <w:r>
        <w:t xml:space="preserve"> on Satanov, set it aside, and articulated a principle of general validity: </w:t>
      </w:r>
      <w:r>
        <w:rPr>
          <w:i/>
        </w:rPr>
        <w:t>even if he was a maskil, what he says here makes sense; ha’gashem is correct on its own grammatical merits, regardless of the identity of the first to write it in print.</w:t>
      </w:r>
      <w:r>
        <w:t xml:space="preserve"> The judgment separates the halachic question from the biographical stigma.</w:t>
      </w:r>
    </w:p>
    <w:p>
      <w:r>
        <w:rPr>
          <w:i/>
        </w:rPr>
        <w:t>Rav Shlomo Zalman Auerbach</w:t>
      </w:r>
      <w:r>
        <w:t xml:space="preserve">, </w:t>
      </w:r>
      <w:r>
        <w:rPr>
          <w:i/>
        </w:rPr>
        <w:t>zt”l</w:t>
      </w:r>
      <w:r>
        <w:t xml:space="preserve"> (</w:t>
      </w:r>
      <w:r>
        <w:rPr>
          <w:rFonts w:ascii="David" w:hAnsi="David"/>
        </w:rPr>
        <w:t>הגרש"ז אויערבך זצ"ל</w:t>
      </w:r>
      <w:r>
        <w:t>),</w:t>
      </w:r>
      <w:r>
        <w:rPr>
          <w:color w:val="B8860B"/>
          <w:sz w:val="16"/>
          <w:vertAlign w:val="superscript"/>
        </w:rPr>
        <w:t>[15]</w:t>
      </w:r>
      <w:r>
        <w:t xml:space="preserve"> originally said </w:t>
      </w:r>
      <w:r>
        <w:rPr>
          <w:i/>
        </w:rPr>
        <w:t>ha’gashem</w:t>
      </w:r>
      <w:r>
        <w:t xml:space="preserve">. When he saw Rav Krause’s </w:t>
      </w:r>
      <w:r>
        <w:rPr>
          <w:i/>
        </w:rPr>
        <w:t>kuntres</w:t>
      </w:r>
      <w:r>
        <w:t xml:space="preserve"> documenting that the older </w:t>
      </w:r>
      <w:r>
        <w:rPr>
          <w:i/>
        </w:rPr>
        <w:t>nusach</w:t>
      </w:r>
      <w:r>
        <w:t xml:space="preserve"> was </w:t>
      </w:r>
      <w:r>
        <w:rPr>
          <w:i/>
        </w:rPr>
        <w:t>ha’geshem</w:t>
      </w:r>
      <w:r>
        <w:t xml:space="preserve">, he changed for the rest of his life. The change is preserved as a paradigm of the </w:t>
      </w:r>
      <w:r>
        <w:rPr>
          <w:i/>
        </w:rPr>
        <w:t>gadlus</w:t>
      </w:r>
      <w:r>
        <w:t xml:space="preserve"> of an </w:t>
      </w:r>
      <w:r>
        <w:rPr>
          <w:i/>
        </w:rPr>
        <w:t>ish ha’emes</w:t>
      </w:r>
      <w:r>
        <w:t>: he saw that his practice rested on a mistaken premise and altered it.</w:t>
      </w:r>
    </w:p>
    <w:p>
      <w:r>
        <w:t xml:space="preserve">Among the majority of contemporary </w:t>
      </w:r>
      <w:r>
        <w:rPr>
          <w:i/>
        </w:rPr>
        <w:t>acharonim</w:t>
      </w:r>
      <w:r>
        <w:t xml:space="preserve"> the practice is </w:t>
      </w:r>
      <w:r>
        <w:rPr>
          <w:i/>
        </w:rPr>
        <w:t>ha’geshem</w:t>
      </w:r>
      <w:r>
        <w:t xml:space="preserve">. Only a genuine </w:t>
      </w:r>
      <w:r>
        <w:rPr>
          <w:i/>
        </w:rPr>
        <w:t>medakdek</w:t>
      </w:r>
      <w:r>
        <w:t>, aware of the underlying question, distinguishes.</w:t>
      </w:r>
    </w:p>
    <w:p>
      <w:r>
        <w:rPr>
          <w:b/>
          <w:color w:val="1E3A8A"/>
          <w:sz w:val="26"/>
        </w:rPr>
        <w:t>VII. GESHEM INSIDE BIRKAS TECHIYAS HAMEISIM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Why This Berachah</w:t>
      </w:r>
    </w:p>
    <w:p>
      <w:r>
        <w:t xml:space="preserve">Why is </w:t>
      </w:r>
      <w:r>
        <w:rPr>
          <w:i/>
        </w:rPr>
        <w:t>geshem</w:t>
      </w:r>
      <w:r>
        <w:t xml:space="preserve"> installed inside </w:t>
      </w:r>
      <w:r>
        <w:rPr>
          <w:i/>
        </w:rPr>
        <w:t>Birkas Techiyas HaMeisim</w:t>
      </w:r>
      <w:r>
        <w:t xml:space="preserve"> (</w:t>
      </w:r>
      <w:r>
        <w:rPr>
          <w:rFonts w:ascii="David" w:hAnsi="David"/>
        </w:rPr>
        <w:t>ברכת תחיית המתים</w:t>
      </w:r>
      <w:r>
        <w:t xml:space="preserve">) rather than in some other </w:t>
      </w:r>
      <w:r>
        <w:rPr>
          <w:i/>
        </w:rPr>
        <w:t>berachah</w:t>
      </w:r>
      <w:r>
        <w:t xml:space="preserve">? The </w:t>
      </w:r>
      <w:r>
        <w:rPr>
          <w:i/>
        </w:rPr>
        <w:t>Gemara</w:t>
      </w:r>
      <w:r>
        <w:t xml:space="preserve"> supplies the formula in a phrase of programmatic weight: </w:t>
      </w:r>
      <w:r>
        <w:rPr>
          <w:i/>
        </w:rPr>
        <w:t>ki hu techiyas ha’meisim</w:t>
      </w:r>
      <w:r>
        <w:t xml:space="preserve"> — </w:t>
      </w:r>
      <w:r>
        <w:rPr>
          <w:i/>
        </w:rPr>
        <w:t>rain is the daily techiyas ha’meisim</w:t>
      </w:r>
      <w:r>
        <w:t xml:space="preserve">. Without water there is no life. The dependence of the world on </w:t>
      </w:r>
      <w:r>
        <w:rPr>
          <w:i/>
        </w:rPr>
        <w:t>geshem</w:t>
      </w:r>
      <w:r>
        <w:t xml:space="preserve"> is not an occasional matter but a moment-by-moment reality. The </w:t>
      </w:r>
      <w:r>
        <w:rPr>
          <w:i/>
        </w:rPr>
        <w:t>Gemara</w:t>
      </w:r>
      <w:r>
        <w:t xml:space="preserve"> in </w:t>
      </w:r>
      <w:r>
        <w:rPr>
          <w:i/>
        </w:rPr>
        <w:t>Sanhedrin</w:t>
      </w:r>
      <w:r>
        <w:t xml:space="preserve">, </w:t>
      </w:r>
      <w:r>
        <w:rPr>
          <w:i/>
        </w:rPr>
        <w:t>perek Chelek</w:t>
      </w:r>
      <w:r>
        <w:t>,</w:t>
      </w:r>
      <w:r>
        <w:rPr>
          <w:color w:val="B8860B"/>
          <w:sz w:val="16"/>
          <w:vertAlign w:val="superscript"/>
        </w:rPr>
        <w:t>[16]</w:t>
      </w:r>
      <w:r>
        <w:t xml:space="preserve"> develops the indictment of the </w:t>
      </w:r>
      <w:r>
        <w:rPr>
          <w:i/>
        </w:rPr>
        <w:t>Dor HaMabul</w:t>
      </w:r>
      <w:r>
        <w:t xml:space="preserve">: their corruption included the claim that they did not need </w:t>
      </w:r>
      <w:r>
        <w:rPr>
          <w:i/>
        </w:rPr>
        <w:t>HaKadosh Baruch Hu</w:t>
      </w:r>
      <w:r>
        <w:t xml:space="preserve"> for rain, since they had </w:t>
      </w:r>
      <w:r>
        <w:rPr>
          <w:i/>
        </w:rPr>
        <w:t>neharos</w:t>
      </w:r>
      <w:r>
        <w:t xml:space="preserve"> (</w:t>
      </w:r>
      <w:r>
        <w:rPr>
          <w:rFonts w:ascii="David" w:hAnsi="David"/>
        </w:rPr>
        <w:t>נהרות</w:t>
      </w:r>
      <w:r>
        <w:t xml:space="preserve">), </w:t>
      </w:r>
      <w:r>
        <w:rPr>
          <w:i/>
        </w:rPr>
        <w:t>yamim</w:t>
      </w:r>
      <w:r>
        <w:t xml:space="preserve"> (</w:t>
      </w:r>
      <w:r>
        <w:rPr>
          <w:rFonts w:ascii="David" w:hAnsi="David"/>
        </w:rPr>
        <w:t>ימים</w:t>
      </w:r>
      <w:r>
        <w:t xml:space="preserve">), and irrigation systems. The </w:t>
      </w:r>
      <w:r>
        <w:rPr>
          <w:i/>
        </w:rPr>
        <w:t>Mabul</w:t>
      </w:r>
      <w:r>
        <w:t xml:space="preserve"> itself was </w:t>
      </w:r>
      <w:r>
        <w:rPr>
          <w:i/>
        </w:rPr>
        <w:t>middah k’neged middah</w:t>
      </w:r>
      <w:r>
        <w:t xml:space="preserve"> (</w:t>
      </w:r>
      <w:r>
        <w:rPr>
          <w:rFonts w:ascii="David" w:hAnsi="David"/>
        </w:rPr>
        <w:t>מדה כנגד מדה</w:t>
      </w:r>
      <w:r>
        <w:t xml:space="preserve">): water from above and water from below together demonstrated that the </w:t>
      </w:r>
      <w:r>
        <w:rPr>
          <w:i/>
        </w:rPr>
        <w:t>Ribbono Shel Olam</w:t>
      </w:r>
      <w:r>
        <w:t xml:space="preserve"> alone controls life-giving water.</w:t>
      </w:r>
    </w:p>
    <w:p>
      <w:r>
        <w:rPr>
          <w:i/>
          <w:color w:val="B8860B"/>
          <w:sz w:val="24"/>
        </w:rPr>
        <w:t>The Structural Mapping to the Avos</w:t>
      </w:r>
    </w:p>
    <w:p>
      <w:r>
        <w:t xml:space="preserve">The structural mapping of the first three </w:t>
      </w:r>
      <w:r>
        <w:rPr>
          <w:i/>
        </w:rPr>
        <w:t>berachos</w:t>
      </w:r>
      <w:r>
        <w:t xml:space="preserve"> of </w:t>
      </w:r>
      <w:r>
        <w:rPr>
          <w:i/>
        </w:rPr>
        <w:t>Shemoneh Esrei</w:t>
      </w:r>
      <w:r>
        <w:t xml:space="preserve"> onto the </w:t>
      </w:r>
      <w:r>
        <w:rPr>
          <w:i/>
        </w:rPr>
        <w:t>avos</w:t>
      </w:r>
      <w:r>
        <w:t xml:space="preserve"> is a classical piece of </w:t>
      </w:r>
      <w:r>
        <w:rPr>
          <w:i/>
        </w:rPr>
        <w:t>Kabbalah</w:t>
      </w:r>
      <w:r>
        <w:t>-</w:t>
      </w:r>
      <w:r>
        <w:rPr>
          <w:i/>
        </w:rPr>
        <w:t>machshavah</w:t>
      </w:r>
      <w:r>
        <w:t xml:space="preserve"> that runs through </w:t>
      </w:r>
      <w:r>
        <w:rPr>
          <w:i/>
        </w:rPr>
        <w:t>Chazal</w:t>
      </w:r>
      <w:r>
        <w:t xml:space="preserve"> and the </w:t>
      </w:r>
      <w:r>
        <w:rPr>
          <w:i/>
        </w:rPr>
        <w:t>Rishonim</w:t>
      </w:r>
      <w:r>
        <w:t>:</w:t>
      </w:r>
    </w:p>
    <w:p>
      <w:r>
        <w:t xml:space="preserve">The placement of </w:t>
      </w:r>
      <w:r>
        <w:rPr>
          <w:i/>
        </w:rPr>
        <w:t>gevuros</w:t>
      </w:r>
      <w:r>
        <w:t xml:space="preserve"> as the second </w:t>
      </w:r>
      <w:r>
        <w:rPr>
          <w:i/>
        </w:rPr>
        <w:t>berachah</w:t>
      </w:r>
      <w:r>
        <w:t xml:space="preserve">, corresponding to </w:t>
      </w:r>
      <w:r>
        <w:rPr>
          <w:i/>
        </w:rPr>
        <w:t>Yitzchak</w:t>
      </w:r>
      <w:r>
        <w:t xml:space="preserve">, deepens the reading of </w:t>
      </w:r>
      <w:r>
        <w:rPr>
          <w:i/>
        </w:rPr>
        <w:t>geshem</w:t>
      </w:r>
      <w:r>
        <w:t xml:space="preserve"> within it. </w:t>
      </w:r>
      <w:r>
        <w:rPr>
          <w:i/>
        </w:rPr>
        <w:t>Yitzchak</w:t>
      </w:r>
      <w:r>
        <w:t xml:space="preserve"> is the </w:t>
      </w:r>
      <w:r>
        <w:rPr>
          <w:i/>
        </w:rPr>
        <w:t>avodah</w:t>
      </w:r>
      <w:r>
        <w:t xml:space="preserve"> of </w:t>
      </w:r>
      <w:r>
        <w:rPr>
          <w:i/>
        </w:rPr>
        <w:t>gevurah</w:t>
      </w:r>
      <w:r>
        <w:t xml:space="preserve">; rain, directed drop by drop, is the visible expression of that </w:t>
      </w:r>
      <w:r>
        <w:rPr>
          <w:i/>
        </w:rPr>
        <w:t>middah</w:t>
      </w:r>
      <w:r>
        <w:t>.</w:t>
      </w:r>
    </w:p>
    <w:p>
      <w:r>
        <w:rPr>
          <w:b/>
          <w:color w:val="1E3A8A"/>
          <w:sz w:val="26"/>
        </w:rPr>
        <w:t>VIII. TECHIYAS HAMEISIM AS DAILY REALITY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Four Categories of Daily Techiyas HaMeisim</w:t>
      </w:r>
    </w:p>
    <w:p>
      <w:r>
        <w:t xml:space="preserve">The simple </w:t>
      </w:r>
      <w:r>
        <w:rPr>
          <w:i/>
        </w:rPr>
        <w:t>pshat</w:t>
      </w:r>
      <w:r>
        <w:t xml:space="preserve"> of the </w:t>
      </w:r>
      <w:r>
        <w:rPr>
          <w:i/>
        </w:rPr>
        <w:t>berachah</w:t>
      </w:r>
      <w:r>
        <w:t xml:space="preserve"> — </w:t>
      </w:r>
      <w:r>
        <w:rPr>
          <w:i/>
        </w:rPr>
        <w:t>somech noflim, v’rofei cholim, u’matir asurim</w:t>
      </w:r>
      <w:r>
        <w:t xml:space="preserve"> (</w:t>
      </w:r>
      <w:r>
        <w:rPr>
          <w:rFonts w:ascii="David" w:hAnsi="David"/>
        </w:rPr>
        <w:t>סומך נופלים ורופא חולים ומתיר אסורים</w:t>
      </w:r>
      <w:r>
        <w:t xml:space="preserve">) — is that each of these is a </w:t>
      </w:r>
      <w:r>
        <w:rPr>
          <w:i/>
        </w:rPr>
        <w:t>bechinah</w:t>
      </w:r>
      <w:r>
        <w:t xml:space="preserve"> (</w:t>
      </w:r>
      <w:r>
        <w:rPr>
          <w:rFonts w:ascii="David" w:hAnsi="David"/>
        </w:rPr>
        <w:t>בחינה</w:t>
      </w:r>
      <w:r>
        <w:t xml:space="preserve">) of daily </w:t>
      </w:r>
      <w:r>
        <w:rPr>
          <w:i/>
        </w:rPr>
        <w:t>techiyas ha’meisim</w:t>
      </w:r>
      <w:r>
        <w:t xml:space="preserve">. The </w:t>
      </w:r>
      <w:r>
        <w:rPr>
          <w:i/>
        </w:rPr>
        <w:t>berachah</w:t>
      </w:r>
      <w:r>
        <w:t xml:space="preserve"> is not the future eschatological event alone; it is the present-tense reality of </w:t>
      </w:r>
      <w:r>
        <w:rPr>
          <w:i/>
        </w:rPr>
        <w:t>hashgachah</w:t>
      </w:r>
      <w:r>
        <w:t>.</w:t>
      </w:r>
    </w:p>
    <w:p>
      <w:r>
        <w:rPr>
          <w:i/>
          <w:color w:val="B8860B"/>
          <w:sz w:val="24"/>
        </w:rPr>
        <w:t>The Ramban on the Berachah</w:t>
      </w:r>
    </w:p>
    <w:p>
      <w:r>
        <w:t xml:space="preserve">The </w:t>
      </w:r>
      <w:r>
        <w:rPr>
          <w:i/>
        </w:rPr>
        <w:t>Ramban</w:t>
      </w:r>
      <w:r>
        <w:t>,</w:t>
      </w:r>
      <w:r>
        <w:rPr>
          <w:color w:val="B8860B"/>
          <w:sz w:val="16"/>
          <w:vertAlign w:val="superscript"/>
        </w:rPr>
        <w:t>[18]</w:t>
      </w:r>
      <w:r>
        <w:t xml:space="preserve"> in his treatment of </w:t>
      </w:r>
      <w:r>
        <w:rPr>
          <w:i/>
        </w:rPr>
        <w:t>Birkas Gevuros</w:t>
      </w:r>
      <w:r>
        <w:t xml:space="preserve">, articulates the position with full force: every single day there is a </w:t>
      </w:r>
      <w:r>
        <w:rPr>
          <w:i/>
        </w:rPr>
        <w:t>techiyas ha’meisim</w:t>
      </w:r>
      <w:r>
        <w:t xml:space="preserve">, not only the future eschatological one at the close of days. The </w:t>
      </w:r>
      <w:r>
        <w:rPr>
          <w:i/>
        </w:rPr>
        <w:t>berachah</w:t>
      </w:r>
      <w:r>
        <w:t xml:space="preserve">, on the </w:t>
      </w:r>
      <w:r>
        <w:rPr>
          <w:i/>
        </w:rPr>
        <w:t>Ramban</w:t>
      </w:r>
      <w:r>
        <w:t xml:space="preserve">’s reading, is a daily </w:t>
      </w:r>
      <w:r>
        <w:rPr>
          <w:i/>
        </w:rPr>
        <w:t>hakaras</w:t>
      </w:r>
      <w:r>
        <w:t xml:space="preserve"> (</w:t>
      </w:r>
      <w:r>
        <w:rPr>
          <w:rFonts w:ascii="David" w:hAnsi="David"/>
        </w:rPr>
        <w:t>הכרה</w:t>
      </w:r>
      <w:r>
        <w:t xml:space="preserve">) of </w:t>
      </w:r>
      <w:r>
        <w:rPr>
          <w:i/>
        </w:rPr>
        <w:t>hashgachah pratis</w:t>
      </w:r>
      <w:r>
        <w:t xml:space="preserve"> — not only a future </w:t>
      </w:r>
      <w:r>
        <w:rPr>
          <w:i/>
        </w:rPr>
        <w:t>emunah</w:t>
      </w:r>
      <w:r>
        <w:t xml:space="preserve">. The </w:t>
      </w:r>
      <w:r>
        <w:rPr>
          <w:i/>
        </w:rPr>
        <w:t>mispallel</w:t>
      </w:r>
      <w:r>
        <w:t xml:space="preserve"> who wishes to recite the </w:t>
      </w:r>
      <w:r>
        <w:rPr>
          <w:i/>
        </w:rPr>
        <w:t>berachah</w:t>
      </w:r>
      <w:r>
        <w:t xml:space="preserve"> as it was installed by the </w:t>
      </w:r>
      <w:r>
        <w:rPr>
          <w:i/>
        </w:rPr>
        <w:t>Anshei Knesses HaGedolah</w:t>
      </w:r>
      <w:r>
        <w:t xml:space="preserve"> must hold both frames simultaneously: the future </w:t>
      </w:r>
      <w:r>
        <w:rPr>
          <w:i/>
        </w:rPr>
        <w:t>techiyah</w:t>
      </w:r>
      <w:r>
        <w:t xml:space="preserve"> and the daily </w:t>
      </w:r>
      <w:r>
        <w:rPr>
          <w:i/>
        </w:rPr>
        <w:t>techiyah</w:t>
      </w:r>
      <w:r>
        <w:t>.</w:t>
      </w:r>
    </w:p>
    <w:p>
      <w:r>
        <w:rPr>
          <w:b/>
          <w:color w:val="1E3A8A"/>
          <w:sz w:val="26"/>
        </w:rPr>
        <w:t>IX. RAV L’HOSHI’A — RAV AHARON KOTLER ON THE SECOND DIN</w:t>
      </w:r>
    </w:p>
    <w:p>
      <w:pPr>
        <w:pBdr>
          <w:bottom w:val="single" w:sz="6" w:space="1" w:color="B8860B"/>
        </w:pBdr>
      </w:pPr>
    </w:p>
    <w:p>
      <w:r>
        <w:rPr>
          <w:i/>
          <w:color w:val="B8860B"/>
          <w:sz w:val="24"/>
        </w:rPr>
        <w:t>The Structural Question</w:t>
      </w:r>
    </w:p>
    <w:p>
      <w:r>
        <w:t xml:space="preserve">The </w:t>
      </w:r>
      <w:r>
        <w:rPr>
          <w:i/>
        </w:rPr>
        <w:t>berachah</w:t>
      </w:r>
      <w:r>
        <w:t xml:space="preserve"> continues: </w:t>
      </w:r>
      <w:r>
        <w:rPr>
          <w:i/>
        </w:rPr>
        <w:t>Atah Gibor l’olam Hashem, m’chayeh meisim atah, rav l’hoshi’a</w:t>
      </w:r>
      <w:r>
        <w:t xml:space="preserve"> (</w:t>
      </w:r>
      <w:r>
        <w:rPr>
          <w:rFonts w:ascii="David" w:hAnsi="David"/>
        </w:rPr>
        <w:t>רב להושיע</w:t>
      </w:r>
      <w:r>
        <w:t xml:space="preserve">). Rav Schwab, drawing on the </w:t>
      </w:r>
      <w:r>
        <w:rPr>
          <w:i/>
        </w:rPr>
        <w:t>rishonim</w:t>
      </w:r>
      <w:r>
        <w:t xml:space="preserve">, points out that </w:t>
      </w:r>
      <w:r>
        <w:rPr>
          <w:i/>
        </w:rPr>
        <w:t>HaKadosh Baruch Hu</w:t>
      </w:r>
      <w:r>
        <w:t xml:space="preserve"> in the </w:t>
      </w:r>
      <w:r>
        <w:rPr>
          <w:i/>
        </w:rPr>
        <w:t>berachah</w:t>
      </w:r>
      <w:r>
        <w:t xml:space="preserve">-formulations of the </w:t>
      </w:r>
      <w:r>
        <w:rPr>
          <w:i/>
        </w:rPr>
        <w:t>Anshei Knesses HaGedolah</w:t>
      </w:r>
      <w:r>
        <w:t xml:space="preserve"> is designated </w:t>
      </w:r>
      <w:r>
        <w:rPr>
          <w:i/>
        </w:rPr>
        <w:t>Melech, ozeir, u’moshi’a u’magein</w:t>
      </w:r>
      <w:r>
        <w:t xml:space="preserve"> (</w:t>
      </w:r>
      <w:r>
        <w:rPr>
          <w:rFonts w:ascii="David" w:hAnsi="David"/>
        </w:rPr>
        <w:t>מלך, עוזר, ומושיע, ומגן</w:t>
      </w:r>
      <w:r>
        <w:t xml:space="preserve">). Of these, </w:t>
      </w:r>
      <w:r>
        <w:rPr>
          <w:i/>
        </w:rPr>
        <w:t>moshi’a</w:t>
      </w:r>
      <w:r>
        <w:t xml:space="preserve"> denotes </w:t>
      </w:r>
      <w:r>
        <w:rPr>
          <w:i/>
        </w:rPr>
        <w:t>complete yeshu’ah</w:t>
      </w:r>
      <w:r>
        <w:t xml:space="preserve"> (</w:t>
      </w:r>
      <w:r>
        <w:rPr>
          <w:rFonts w:ascii="David" w:hAnsi="David"/>
        </w:rPr>
        <w:t>ישועה</w:t>
      </w:r>
      <w:r>
        <w:t xml:space="preserve">), the final and unqualified vindication. This raises a substantive question: what is the connection between </w:t>
      </w:r>
      <w:r>
        <w:rPr>
          <w:i/>
        </w:rPr>
        <w:t>techiyas ha’meisim</w:t>
      </w:r>
      <w:r>
        <w:t xml:space="preserve"> and complete </w:t>
      </w:r>
      <w:r>
        <w:rPr>
          <w:i/>
        </w:rPr>
        <w:t>yeshu’ah</w:t>
      </w:r>
      <w:r>
        <w:t xml:space="preserve">? Why should the closing note of the </w:t>
      </w:r>
      <w:r>
        <w:rPr>
          <w:i/>
        </w:rPr>
        <w:t>berachah</w:t>
      </w:r>
      <w:r>
        <w:t xml:space="preserve"> pair the </w:t>
      </w:r>
      <w:r>
        <w:rPr>
          <w:i/>
        </w:rPr>
        <w:t>techiyah</w:t>
      </w:r>
      <w:r>
        <w:t xml:space="preserve"> specifically with the concept of </w:t>
      </w:r>
      <w:r>
        <w:rPr>
          <w:i/>
        </w:rPr>
        <w:t>rav l’hoshi’a</w:t>
      </w:r>
      <w:r>
        <w:t>?</w:t>
      </w:r>
    </w:p>
    <w:p>
      <w:r>
        <w:rPr>
          <w:i/>
          <w:color w:val="B8860B"/>
          <w:sz w:val="24"/>
        </w:rPr>
        <w:t>Two Dinim — The Gemara in Rosh HaShanah</w:t>
      </w:r>
    </w:p>
    <w:p>
      <w:r>
        <w:t xml:space="preserve">The </w:t>
      </w:r>
      <w:r>
        <w:rPr>
          <w:i/>
        </w:rPr>
        <w:t>Gemara</w:t>
      </w:r>
      <w:r>
        <w:t xml:space="preserve"> in </w:t>
      </w:r>
      <w:r>
        <w:rPr>
          <w:i/>
        </w:rPr>
        <w:t>Rosh HaShanah</w:t>
      </w:r>
      <w:r>
        <w:t xml:space="preserve"> 16b</w:t>
      </w:r>
      <w:r>
        <w:rPr>
          <w:color w:val="B8860B"/>
          <w:sz w:val="16"/>
          <w:vertAlign w:val="superscript"/>
        </w:rPr>
        <w:t>[19]</w:t>
      </w:r>
      <w:r>
        <w:t xml:space="preserve"> (and its parallel </w:t>
      </w:r>
      <w:r>
        <w:rPr>
          <w:i/>
        </w:rPr>
        <w:t>sugyos</w:t>
      </w:r>
      <w:r>
        <w:t xml:space="preserve">) records that after </w:t>
      </w:r>
      <w:r>
        <w:rPr>
          <w:i/>
        </w:rPr>
        <w:t>techiyas ha’meisim</w:t>
      </w:r>
      <w:r>
        <w:t xml:space="preserve"> there is the </w:t>
      </w:r>
      <w:r>
        <w:rPr>
          <w:i/>
        </w:rPr>
        <w:t>Yom HaDin HaGadol v’HaNorah</w:t>
      </w:r>
      <w:r>
        <w:t xml:space="preserve"> (</w:t>
      </w:r>
      <w:r>
        <w:rPr>
          <w:rFonts w:ascii="David" w:hAnsi="David"/>
        </w:rPr>
        <w:t>יום הדין הגדול והנורא</w:t>
      </w:r>
      <w:r>
        <w:t xml:space="preserve">) — a second, final </w:t>
      </w:r>
      <w:r>
        <w:rPr>
          <w:i/>
        </w:rPr>
        <w:t>din</w:t>
      </w:r>
      <w:r>
        <w:t xml:space="preserve">, distinct from the personal </w:t>
      </w:r>
      <w:r>
        <w:rPr>
          <w:i/>
        </w:rPr>
        <w:t>din</w:t>
      </w:r>
      <w:r>
        <w:t xml:space="preserve"> that each </w:t>
      </w:r>
      <w:r>
        <w:rPr>
          <w:i/>
        </w:rPr>
        <w:t>neshamah</w:t>
      </w:r>
      <w:r>
        <w:t xml:space="preserve"> faces immediately upon death. The natural question presses itself: was there not already a </w:t>
      </w:r>
      <w:r>
        <w:rPr>
          <w:i/>
        </w:rPr>
        <w:t>din</w:t>
      </w:r>
      <w:r>
        <w:t xml:space="preserve"> when the </w:t>
      </w:r>
      <w:r>
        <w:rPr>
          <w:i/>
        </w:rPr>
        <w:t>neshamah</w:t>
      </w:r>
      <w:r>
        <w:t xml:space="preserve"> came up after </w:t>
      </w:r>
      <w:r>
        <w:rPr>
          <w:i/>
        </w:rPr>
        <w:t>meah v’esrim</w:t>
      </w:r>
      <w:r>
        <w:t xml:space="preserve"> (</w:t>
      </w:r>
      <w:r>
        <w:rPr>
          <w:rFonts w:ascii="David" w:hAnsi="David"/>
        </w:rPr>
        <w:t>מאה ועשרים</w:t>
      </w:r>
      <w:r>
        <w:t xml:space="preserve">)? The accounting of </w:t>
      </w:r>
      <w:r>
        <w:rPr>
          <w:i/>
        </w:rPr>
        <w:t>mitzvos</w:t>
      </w:r>
      <w:r>
        <w:t xml:space="preserve"> and </w:t>
      </w:r>
      <w:r>
        <w:rPr>
          <w:i/>
        </w:rPr>
        <w:t>aveiros</w:t>
      </w:r>
      <w:r>
        <w:t xml:space="preserve">, </w:t>
      </w:r>
      <w:r>
        <w:rPr>
          <w:i/>
        </w:rPr>
        <w:t>Gan Eden</w:t>
      </w:r>
      <w:r>
        <w:t xml:space="preserve"> (</w:t>
      </w:r>
      <w:r>
        <w:rPr>
          <w:rFonts w:ascii="David" w:hAnsi="David"/>
        </w:rPr>
        <w:t>גן עדן</w:t>
      </w:r>
      <w:r>
        <w:t xml:space="preserve">) and </w:t>
      </w:r>
      <w:r>
        <w:rPr>
          <w:i/>
        </w:rPr>
        <w:t>Gehinnom</w:t>
      </w:r>
      <w:r>
        <w:t xml:space="preserve"> (</w:t>
      </w:r>
      <w:r>
        <w:rPr>
          <w:rFonts w:ascii="David" w:hAnsi="David"/>
        </w:rPr>
        <w:t>גיהנם</w:t>
      </w:r>
      <w:r>
        <w:t xml:space="preserve">) — all of this took place. Why then a second </w:t>
      </w:r>
      <w:r>
        <w:rPr>
          <w:i/>
        </w:rPr>
        <w:t>din</w:t>
      </w:r>
      <w:r>
        <w:t>?</w:t>
      </w:r>
    </w:p>
    <w:p>
      <w:r>
        <w:rPr>
          <w:i/>
          <w:color w:val="B8860B"/>
          <w:sz w:val="24"/>
        </w:rPr>
        <w:t>Rav Aharon Kotler’s Chiddush</w:t>
      </w:r>
    </w:p>
    <w:p>
      <w:r>
        <w:rPr>
          <w:i/>
        </w:rPr>
        <w:t>Rav Aharon Kotler</w:t>
      </w:r>
      <w:r>
        <w:t xml:space="preserve">, </w:t>
      </w:r>
      <w:r>
        <w:rPr>
          <w:i/>
        </w:rPr>
        <w:t>zt”l</w:t>
      </w:r>
      <w:r>
        <w:t xml:space="preserve"> (</w:t>
      </w:r>
      <w:r>
        <w:rPr>
          <w:rFonts w:ascii="David" w:hAnsi="David"/>
        </w:rPr>
        <w:t>הגר"א קוטלר זצוק"ל</w:t>
      </w:r>
      <w:r>
        <w:t>),</w:t>
      </w:r>
      <w:r>
        <w:rPr>
          <w:color w:val="B8860B"/>
          <w:sz w:val="16"/>
          <w:vertAlign w:val="superscript"/>
        </w:rPr>
        <w:t>[20]</w:t>
      </w:r>
      <w:r>
        <w:t xml:space="preserve"> offers a </w:t>
      </w:r>
      <w:r>
        <w:rPr>
          <w:i/>
        </w:rPr>
        <w:t>chiddush</w:t>
      </w:r>
      <w:r>
        <w:t xml:space="preserve"> that reframes the entire question. The </w:t>
      </w:r>
      <w:r>
        <w:rPr>
          <w:i/>
        </w:rPr>
        <w:t>chiddush</w:t>
      </w:r>
      <w:r>
        <w:t xml:space="preserve"> is preserved in oral </w:t>
      </w:r>
      <w:r>
        <w:rPr>
          <w:i/>
        </w:rPr>
        <w:t>mesorah</w:t>
      </w:r>
      <w:r>
        <w:t xml:space="preserve"> among his </w:t>
      </w:r>
      <w:r>
        <w:rPr>
          <w:i/>
        </w:rPr>
        <w:t>talmidim</w:t>
      </w:r>
      <w:r>
        <w:t xml:space="preserve"> and appears in various forms in the </w:t>
      </w:r>
      <w:r>
        <w:rPr>
          <w:i/>
        </w:rPr>
        <w:t>derashos</w:t>
      </w:r>
      <w:r>
        <w:t xml:space="preserve"> that emerged from Lakewood in the decades following his passing; a definitive published </w:t>
      </w:r>
      <w:r>
        <w:rPr>
          <w:i/>
        </w:rPr>
        <w:t>makor</w:t>
      </w:r>
      <w:r>
        <w:t xml:space="preserve"> in his own </w:t>
      </w:r>
      <w:r>
        <w:rPr>
          <w:i/>
        </w:rPr>
        <w:t>seforim</w:t>
      </w:r>
      <w:r>
        <w:t xml:space="preserve"> could not be identified for this edition.</w:t>
      </w:r>
    </w:p>
    <w:p>
      <w:r>
        <w:t xml:space="preserve">Rav Aharon draws the point through a </w:t>
      </w:r>
      <w:r>
        <w:rPr>
          <w:i/>
        </w:rPr>
        <w:t>mashal</w:t>
      </w:r>
      <w:r>
        <w:t xml:space="preserve">. Consider a </w:t>
      </w:r>
      <w:r>
        <w:rPr>
          <w:i/>
        </w:rPr>
        <w:t>Yid</w:t>
      </w:r>
      <w:r>
        <w:t xml:space="preserve"> with serious </w:t>
      </w:r>
      <w:r>
        <w:rPr>
          <w:i/>
        </w:rPr>
        <w:t>sefeikos ba’emunah</w:t>
      </w:r>
      <w:r>
        <w:t xml:space="preserve"> (</w:t>
      </w:r>
      <w:r>
        <w:rPr>
          <w:rFonts w:ascii="David" w:hAnsi="David"/>
        </w:rPr>
        <w:t>ספקות באמונה</w:t>
      </w:r>
      <w:r>
        <w:t xml:space="preserve">), on the verge of leaving the </w:t>
      </w:r>
      <w:r>
        <w:rPr>
          <w:i/>
        </w:rPr>
        <w:t>derech</w:t>
      </w:r>
      <w:r>
        <w:t xml:space="preserve"> entirely. A person meets him, becomes close to him, mentors him, teaches him, works with him through his confusion until he returns. That returnee has children; he has grandchildren; his descendants are </w:t>
      </w:r>
      <w:r>
        <w:rPr>
          <w:i/>
        </w:rPr>
        <w:t>shomrei Torah u’mitzvos</w:t>
      </w:r>
      <w:r>
        <w:t xml:space="preserve"> (</w:t>
      </w:r>
      <w:r>
        <w:rPr>
          <w:rFonts w:ascii="David" w:hAnsi="David"/>
        </w:rPr>
        <w:t>שומרי תורה ומצוות</w:t>
      </w:r>
      <w:r>
        <w:t xml:space="preserve">). The person who did the </w:t>
      </w:r>
      <w:r>
        <w:rPr>
          <w:i/>
        </w:rPr>
        <w:t>hishtadlus</w:t>
      </w:r>
      <w:r>
        <w:t xml:space="preserve"> (</w:t>
      </w:r>
      <w:r>
        <w:rPr>
          <w:rFonts w:ascii="David" w:hAnsi="David"/>
        </w:rPr>
        <w:t>השתדלות</w:t>
      </w:r>
      <w:r>
        <w:t xml:space="preserve">) thinks: </w:t>
      </w:r>
      <w:r>
        <w:rPr>
          <w:i/>
        </w:rPr>
        <w:t>I did a small chesed. I sat with someone for an hour or two. I gave him chizuk (</w:t>
      </w:r>
      <w:r>
        <w:rPr>
          <w:rFonts w:ascii="David" w:hAnsi="David"/>
          <w:i/>
        </w:rPr>
        <w:t>חיזוק</w:t>
      </w:r>
      <w:r>
        <w:rPr>
          <w:i/>
        </w:rPr>
        <w:t>).</w:t>
      </w:r>
      <w:r>
        <w:t xml:space="preserve"> The </w:t>
      </w:r>
      <w:r>
        <w:rPr>
          <w:i/>
        </w:rPr>
        <w:t>emes</w:t>
      </w:r>
      <w:r>
        <w:t xml:space="preserve"> is that he saved an entire </w:t>
      </w:r>
      <w:r>
        <w:rPr>
          <w:i/>
        </w:rPr>
        <w:t>etz shel doros</w:t>
      </w:r>
      <w:r>
        <w:t xml:space="preserve"> (</w:t>
      </w:r>
      <w:r>
        <w:rPr>
          <w:rFonts w:ascii="David" w:hAnsi="David"/>
        </w:rPr>
        <w:t>עץ של דורות</w:t>
      </w:r>
      <w:r>
        <w:t>) — a tree of generations.</w:t>
      </w:r>
    </w:p>
    <w:p>
      <w:r>
        <w:rPr>
          <w:i/>
          <w:color w:val="B8860B"/>
          <w:sz w:val="24"/>
        </w:rPr>
        <w:t>Why Two Dinim</w:t>
      </w:r>
    </w:p>
    <w:p>
      <w:r>
        <w:rPr>
          <w:i/>
          <w:color w:val="B8860B"/>
          <w:sz w:val="24"/>
        </w:rPr>
        <w:t>The Fear of the Tzaddikim</w:t>
      </w:r>
    </w:p>
    <w:p>
      <w:r>
        <w:t xml:space="preserve">On this reading, the fear of the </w:t>
      </w:r>
      <w:r>
        <w:rPr>
          <w:i/>
        </w:rPr>
        <w:t>tzaddikim</w:t>
      </w:r>
      <w:r>
        <w:t xml:space="preserve"> before the </w:t>
      </w:r>
      <w:r>
        <w:rPr>
          <w:i/>
        </w:rPr>
        <w:t>Yom HaDin HaGadol v’HaNorah</w:t>
      </w:r>
      <w:r>
        <w:t xml:space="preserve"> becomes intelligible in a way that it is not intelligible when the </w:t>
      </w:r>
      <w:r>
        <w:rPr>
          <w:i/>
        </w:rPr>
        <w:t>din</w:t>
      </w:r>
      <w:r>
        <w:t xml:space="preserve"> is conceived merely as a repetition of the first. Who knows? Perhaps something that in the immediate frame appeared as a </w:t>
      </w:r>
      <w:r>
        <w:rPr>
          <w:i/>
        </w:rPr>
        <w:t>chesed</w:t>
      </w:r>
      <w:r>
        <w:t xml:space="preserve"> turned out, in the long generational arc, to carry negative consequences. Perhaps something that appeared modest turned out to be enormous. The full ledger of unintended consequences is a frightening object even for the </w:t>
      </w:r>
      <w:r>
        <w:rPr>
          <w:i/>
        </w:rPr>
        <w:t>tzaddik</w:t>
      </w:r>
      <w:r>
        <w:t xml:space="preserve">, and the second </w:t>
      </w:r>
      <w:r>
        <w:rPr>
          <w:i/>
        </w:rPr>
        <w:t>din</w:t>
      </w:r>
      <w:r>
        <w:t xml:space="preserve"> is where that ledger is opened.</w:t>
      </w:r>
    </w:p>
    <w:p>
      <w:r>
        <w:rPr>
          <w:i/>
          <w:color w:val="B8860B"/>
          <w:sz w:val="24"/>
        </w:rPr>
        <w:t>Rav L’Hoshi’a as Prayer for Final Vindication</w:t>
      </w:r>
    </w:p>
    <w:p>
      <w:r>
        <w:t xml:space="preserve">This is why </w:t>
      </w:r>
      <w:r>
        <w:rPr>
          <w:i/>
        </w:rPr>
        <w:t>techiyas ha’meisim</w:t>
      </w:r>
      <w:r>
        <w:t xml:space="preserve"> is paired with </w:t>
      </w:r>
      <w:r>
        <w:rPr>
          <w:i/>
        </w:rPr>
        <w:t>rav l’hoshi’a</w:t>
      </w:r>
      <w:r>
        <w:t xml:space="preserve">. Only after </w:t>
      </w:r>
      <w:r>
        <w:rPr>
          <w:i/>
        </w:rPr>
        <w:t>techiyas ha’meisim</w:t>
      </w:r>
      <w:r>
        <w:t xml:space="preserve"> and the second </w:t>
      </w:r>
      <w:r>
        <w:rPr>
          <w:i/>
        </w:rPr>
        <w:t>din</w:t>
      </w:r>
      <w:r>
        <w:t xml:space="preserve">, when the </w:t>
      </w:r>
      <w:r>
        <w:rPr>
          <w:i/>
        </w:rPr>
        <w:t>Ribbono Shel Olam</w:t>
      </w:r>
      <w:r>
        <w:t xml:space="preserve"> exonerates the person with full knowledge of all consequences across all generations — only then is the </w:t>
      </w:r>
      <w:r>
        <w:rPr>
          <w:i/>
        </w:rPr>
        <w:t>yeshu’ah</w:t>
      </w:r>
      <w:r>
        <w:t xml:space="preserve"> complete. The daily </w:t>
      </w:r>
      <w:r>
        <w:rPr>
          <w:i/>
        </w:rPr>
        <w:t>tefillah</w:t>
      </w:r>
      <w:r>
        <w:t xml:space="preserve"> of </w:t>
      </w:r>
      <w:r>
        <w:rPr>
          <w:i/>
        </w:rPr>
        <w:t>rav l’hoshi’a</w:t>
      </w:r>
      <w:r>
        <w:t xml:space="preserve"> is not a request to be rescued from an individual </w:t>
      </w:r>
      <w:r>
        <w:rPr>
          <w:i/>
        </w:rPr>
        <w:t>tzarah</w:t>
      </w:r>
      <w:r>
        <w:t xml:space="preserve">; it is the request to be </w:t>
      </w:r>
      <w:r>
        <w:rPr>
          <w:i/>
        </w:rPr>
        <w:t>mezakeh b’din</w:t>
      </w:r>
      <w:r>
        <w:t xml:space="preserve"> (</w:t>
      </w:r>
      <w:r>
        <w:rPr>
          <w:rFonts w:ascii="David" w:hAnsi="David"/>
        </w:rPr>
        <w:t>מזכה בדין</w:t>
      </w:r>
      <w:r>
        <w:t xml:space="preserve">) at that final accounting, when the full ledger is unrolled. It is the </w:t>
      </w:r>
      <w:r>
        <w:rPr>
          <w:i/>
        </w:rPr>
        <w:t>tefillah</w:t>
      </w:r>
      <w:r>
        <w:t xml:space="preserve"> for complete and unqualified vindication.</w:t>
      </w:r>
    </w:p>
    <w:p>
      <w:r>
        <w:rPr>
          <w:b/>
          <w:color w:val="1E3A8A"/>
          <w:sz w:val="26"/>
        </w:rPr>
        <w:t>X. PRACTICAL SUMMARY</w:t>
      </w:r>
    </w:p>
    <w:p>
      <w:pPr>
        <w:pBdr>
          <w:bottom w:val="single" w:sz="6" w:space="1" w:color="B8860B"/>
        </w:pBdr>
      </w:pPr>
    </w:p>
    <w:p>
      <w:pPr>
        <w:pBdr>
          <w:bottom w:val="single" w:sz="6" w:space="1" w:color="B8860B"/>
        </w:pBdr>
      </w:pPr>
    </w:p>
    <w:p>
      <w:r>
        <w:rPr>
          <w:rFonts w:ascii="David" w:hAnsi="David"/>
          <w:b/>
          <w:color w:val="1E3A8A"/>
          <w:sz w:val="26"/>
        </w:rPr>
        <w:t>מראה מקומות·  MAREH MEKOMOS</w:t>
      </w:r>
    </w:p>
    <w:p>
      <w:r>
        <w:rPr>
          <w:b/>
          <w:color w:val="1E3A8A"/>
        </w:rPr>
        <w:t xml:space="preserve">1. </w:t>
      </w:r>
      <w:r>
        <w:rPr>
          <w:b/>
          <w:i/>
          <w:color w:val="1E3A8A"/>
        </w:rPr>
        <w:t>Mishnah Avos</w:t>
      </w:r>
      <w:r>
        <w:rPr>
          <w:b/>
          <w:color w:val="1E3A8A"/>
        </w:rPr>
        <w:t xml:space="preserve"> 1:1 — </w:t>
      </w:r>
      <w:r>
        <w:rPr>
          <w:b/>
          <w:i/>
          <w:color w:val="1E3A8A"/>
        </w:rPr>
        <w:t>Shimon HaTzaddik hayah mi’she’yarei Knesses HaGedolah</w:t>
      </w:r>
      <w:r>
        <w:rPr>
          <w:b/>
          <w:color w:val="1E3A8A"/>
        </w:rPr>
        <w:t>.</w:t>
      </w:r>
      <w:r>
        <w:t xml:space="preserve"> </w:t>
      </w:r>
      <w:r>
        <w:t xml:space="preserve">— The opening </w:t>
      </w:r>
      <w:r>
        <w:rPr>
          <w:i/>
        </w:rPr>
        <w:t>mishnah</w:t>
      </w:r>
      <w:r>
        <w:t xml:space="preserve"> of </w:t>
      </w:r>
      <w:r>
        <w:rPr>
          <w:i/>
        </w:rPr>
        <w:t>Pirkei Avos</w:t>
      </w:r>
      <w:r>
        <w:t xml:space="preserve"> traces the </w:t>
      </w:r>
      <w:r>
        <w:rPr>
          <w:i/>
        </w:rPr>
        <w:t>mesorah</w:t>
      </w:r>
      <w:r>
        <w:t xml:space="preserve"> from </w:t>
      </w:r>
      <w:r>
        <w:rPr>
          <w:i/>
        </w:rPr>
        <w:t>Sinai</w:t>
      </w:r>
      <w:r>
        <w:t xml:space="preserve"> through </w:t>
      </w:r>
      <w:r>
        <w:rPr>
          <w:i/>
        </w:rPr>
        <w:t>Yehoshua</w:t>
      </w:r>
      <w:r>
        <w:t xml:space="preserve">, the </w:t>
      </w:r>
      <w:r>
        <w:rPr>
          <w:i/>
        </w:rPr>
        <w:t>zekeinim</w:t>
      </w:r>
      <w:r>
        <w:t xml:space="preserve">, the </w:t>
      </w:r>
      <w:r>
        <w:rPr>
          <w:i/>
        </w:rPr>
        <w:t>nevi’im</w:t>
      </w:r>
      <w:r>
        <w:t xml:space="preserve">, and into the </w:t>
      </w:r>
      <w:r>
        <w:rPr>
          <w:i/>
        </w:rPr>
        <w:t>Anshei Knesses HaGedolah</w:t>
      </w:r>
      <w:r>
        <w:t xml:space="preserve">. </w:t>
      </w:r>
      <w:r>
        <w:rPr>
          <w:i/>
        </w:rPr>
        <w:t>Shimon HaTzaddik</w:t>
      </w:r>
      <w:r>
        <w:t xml:space="preserve">, identified as one of the last surviving members of the </w:t>
      </w:r>
      <w:r>
        <w:rPr>
          <w:i/>
        </w:rPr>
        <w:t>Anshei Knesses HaGedolah</w:t>
      </w:r>
      <w:r>
        <w:t xml:space="preserve">, marks the transition from the era of </w:t>
      </w:r>
      <w:r>
        <w:rPr>
          <w:i/>
        </w:rPr>
        <w:t>nevu’ah</w:t>
      </w:r>
      <w:r>
        <w:t xml:space="preserve"> to the era of </w:t>
      </w:r>
      <w:r>
        <w:rPr>
          <w:i/>
        </w:rPr>
        <w:t>chochmah</w:t>
      </w:r>
      <w:r>
        <w:t xml:space="preserve"> and </w:t>
      </w:r>
      <w:r>
        <w:rPr>
          <w:i/>
        </w:rPr>
        <w:t>takkanos</w:t>
      </w:r>
      <w:r>
        <w:t>.</w:t>
      </w:r>
    </w:p>
    <w:p>
      <w:r>
        <w:rPr>
          <w:b/>
          <w:color w:val="1E3A8A"/>
        </w:rPr>
        <w:t xml:space="preserve">2. </w:t>
      </w:r>
      <w:r>
        <w:rPr>
          <w:b/>
          <w:i/>
          <w:color w:val="1E3A8A"/>
        </w:rPr>
        <w:t>Mishnah Sanhedrin</w:t>
      </w:r>
      <w:r>
        <w:rPr>
          <w:b/>
          <w:color w:val="1E3A8A"/>
        </w:rPr>
        <w:t xml:space="preserve"> ch. 1 — three </w:t>
      </w:r>
      <w:r>
        <w:rPr>
          <w:b/>
          <w:i/>
          <w:color w:val="1E3A8A"/>
        </w:rPr>
        <w:t>bottei din</w:t>
      </w:r>
      <w:r>
        <w:rPr>
          <w:b/>
          <w:color w:val="1E3A8A"/>
        </w:rPr>
        <w:t xml:space="preserve"> in </w:t>
      </w:r>
      <w:r>
        <w:rPr>
          <w:b/>
          <w:i/>
          <w:color w:val="1E3A8A"/>
        </w:rPr>
        <w:t>Yerushalayim</w:t>
      </w:r>
      <w:r>
        <w:rPr>
          <w:b/>
          <w:color w:val="1E3A8A"/>
        </w:rPr>
        <w:t xml:space="preserve">; arithmetic 71 + 23 + 23 + 3 </w:t>
      </w:r>
      <w:r>
        <w:rPr>
          <w:b/>
          <w:i/>
          <w:color w:val="1E3A8A"/>
        </w:rPr>
        <w:t>nevi’im</w:t>
      </w:r>
      <w:r>
        <w:rPr>
          <w:b/>
          <w:color w:val="1E3A8A"/>
        </w:rPr>
        <w:t xml:space="preserve"> = 120.</w:t>
      </w:r>
      <w:r>
        <w:t xml:space="preserve"> </w:t>
      </w:r>
      <w:r>
        <w:t xml:space="preserve">— The opening </w:t>
      </w:r>
      <w:r>
        <w:rPr>
          <w:i/>
        </w:rPr>
        <w:t>perek</w:t>
      </w:r>
      <w:r>
        <w:t xml:space="preserve"> of </w:t>
      </w:r>
      <w:r>
        <w:rPr>
          <w:i/>
        </w:rPr>
        <w:t>Maseches Sanhedrin</w:t>
      </w:r>
      <w:r>
        <w:t xml:space="preserve"> describes the three </w:t>
      </w:r>
      <w:r>
        <w:rPr>
          <w:i/>
        </w:rPr>
        <w:t>bottei din</w:t>
      </w:r>
      <w:r>
        <w:t xml:space="preserve">: the </w:t>
      </w:r>
      <w:r>
        <w:rPr>
          <w:i/>
        </w:rPr>
        <w:t>Sanhedrin Gedolah</w:t>
      </w:r>
      <w:r>
        <w:t xml:space="preserve"> of seventy-one in the </w:t>
      </w:r>
      <w:r>
        <w:rPr>
          <w:i/>
        </w:rPr>
        <w:t>Lishkas HaGazis</w:t>
      </w:r>
      <w:r>
        <w:t xml:space="preserve">, and two </w:t>
      </w:r>
      <w:r>
        <w:rPr>
          <w:i/>
        </w:rPr>
        <w:t>Sanhedraos Ketanos</w:t>
      </w:r>
      <w:r>
        <w:t xml:space="preserve"> of twenty-three each at the entrances to </w:t>
      </w:r>
      <w:r>
        <w:rPr>
          <w:i/>
        </w:rPr>
        <w:t>Har HaBayis</w:t>
      </w:r>
      <w:r>
        <w:t xml:space="preserve"> and to the </w:t>
      </w:r>
      <w:r>
        <w:rPr>
          <w:i/>
        </w:rPr>
        <w:t>Azarah</w:t>
      </w:r>
      <w:r>
        <w:t xml:space="preserve">. The arithmetic yielding the </w:t>
      </w:r>
      <w:r>
        <w:rPr>
          <w:i/>
        </w:rPr>
        <w:t>Bavli</w:t>
      </w:r>
      <w:r>
        <w:t xml:space="preserve">’s 120 for the </w:t>
      </w:r>
      <w:r>
        <w:rPr>
          <w:i/>
        </w:rPr>
        <w:t>Anshei Knesses HaGedolah</w:t>
      </w:r>
      <w:r>
        <w:t xml:space="preserve"> rests on this </w:t>
      </w:r>
      <w:r>
        <w:rPr>
          <w:i/>
        </w:rPr>
        <w:t>mishnah</w:t>
      </w:r>
      <w:r>
        <w:t xml:space="preserve">, augmented by the three closing </w:t>
      </w:r>
      <w:r>
        <w:rPr>
          <w:i/>
        </w:rPr>
        <w:t>nevi’im</w:t>
      </w:r>
      <w:r>
        <w:t>.</w:t>
      </w:r>
    </w:p>
    <w:p>
      <w:r>
        <w:rPr>
          <w:b/>
          <w:color w:val="1E3A8A"/>
        </w:rPr>
        <w:t xml:space="preserve">3. </w:t>
      </w:r>
      <w:r>
        <w:rPr>
          <w:b/>
          <w:i/>
          <w:color w:val="1E3A8A"/>
        </w:rPr>
        <w:t>Yoma</w:t>
      </w:r>
      <w:r>
        <w:rPr>
          <w:b/>
          <w:color w:val="1E3A8A"/>
        </w:rPr>
        <w:t xml:space="preserve"> 69b — </w:t>
      </w:r>
      <w:r>
        <w:rPr>
          <w:b/>
          <w:i/>
          <w:color w:val="1E3A8A"/>
        </w:rPr>
        <w:t>Yirmiyahu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Daniel</w:t>
      </w:r>
      <w:r>
        <w:rPr>
          <w:b/>
          <w:color w:val="1E3A8A"/>
        </w:rPr>
        <w:t xml:space="preserve">, and the </w:t>
      </w:r>
      <w:r>
        <w:rPr>
          <w:b/>
          <w:i/>
          <w:color w:val="1E3A8A"/>
        </w:rPr>
        <w:t>Anshei Knesses HaGedolah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HaKel HaGadol HaGibor v’HaNorah</w:t>
      </w:r>
      <w:r>
        <w:rPr>
          <w:b/>
          <w:color w:val="1E3A8A"/>
        </w:rPr>
        <w:t>.</w:t>
      </w:r>
      <w:r>
        <w:t xml:space="preserve"> </w:t>
      </w:r>
      <w:r>
        <w:t xml:space="preserve">— The famous </w:t>
      </w:r>
      <w:r>
        <w:rPr>
          <w:i/>
        </w:rPr>
        <w:t>sugya</w:t>
      </w:r>
      <w:r>
        <w:t xml:space="preserve">, verified against the William Davidson Sefaria text: </w:t>
      </w:r>
      <w:r>
        <w:rPr>
          <w:i/>
        </w:rPr>
        <w:t>Moshe Rabbeinu</w:t>
      </w:r>
      <w:r>
        <w:t xml:space="preserve"> coined the formula in </w:t>
      </w:r>
      <w:r>
        <w:rPr>
          <w:i/>
        </w:rPr>
        <w:t>Va’eschanan</w:t>
      </w:r>
      <w:r>
        <w:t xml:space="preserve">; </w:t>
      </w:r>
      <w:r>
        <w:rPr>
          <w:i/>
        </w:rPr>
        <w:t>Yirmiyahu</w:t>
      </w:r>
      <w:r>
        <w:t xml:space="preserve"> at the </w:t>
      </w:r>
      <w:r>
        <w:rPr>
          <w:i/>
        </w:rPr>
        <w:t>Churban</w:t>
      </w:r>
      <w:r>
        <w:t xml:space="preserve"> dropped </w:t>
      </w:r>
      <w:r>
        <w:rPr>
          <w:i/>
        </w:rPr>
        <w:t>HaNorah</w:t>
      </w:r>
      <w:r>
        <w:t xml:space="preserve"> (</w:t>
      </w:r>
      <w:r>
        <w:rPr>
          <w:i/>
        </w:rPr>
        <w:t>heichan nora’osav?</w:t>
      </w:r>
      <w:r>
        <w:t xml:space="preserve">); </w:t>
      </w:r>
      <w:r>
        <w:rPr>
          <w:i/>
        </w:rPr>
        <w:t>Daniel</w:t>
      </w:r>
      <w:r>
        <w:t xml:space="preserve"> in </w:t>
      </w:r>
      <w:r>
        <w:rPr>
          <w:i/>
        </w:rPr>
        <w:t>Bavel</w:t>
      </w:r>
      <w:r>
        <w:t xml:space="preserve"> further dropped </w:t>
      </w:r>
      <w:r>
        <w:rPr>
          <w:i/>
        </w:rPr>
        <w:t>HaGibor</w:t>
      </w:r>
      <w:r>
        <w:t xml:space="preserve">; the </w:t>
      </w:r>
      <w:r>
        <w:rPr>
          <w:i/>
        </w:rPr>
        <w:t>Anshei Knesses HaGedolah</w:t>
      </w:r>
      <w:r>
        <w:t xml:space="preserve"> restored the full formula on the </w:t>
      </w:r>
      <w:r>
        <w:rPr>
          <w:i/>
        </w:rPr>
        <w:t>sevara</w:t>
      </w:r>
      <w:r>
        <w:t xml:space="preserve"> that the very survival of </w:t>
      </w:r>
      <w:r>
        <w:rPr>
          <w:i/>
        </w:rPr>
        <w:t>Klal Yisrael</w:t>
      </w:r>
      <w:r>
        <w:t xml:space="preserve"> through </w:t>
      </w:r>
      <w:r>
        <w:rPr>
          <w:i/>
        </w:rPr>
        <w:t>Churban</w:t>
      </w:r>
      <w:r>
        <w:t xml:space="preserve"> and </w:t>
      </w:r>
      <w:r>
        <w:rPr>
          <w:i/>
        </w:rPr>
        <w:t>galus</w:t>
      </w:r>
      <w:r>
        <w:t xml:space="preserve"> is the manifestation of His </w:t>
      </w:r>
      <w:r>
        <w:rPr>
          <w:i/>
        </w:rPr>
        <w:t>gevurah</w:t>
      </w:r>
      <w:r>
        <w:t xml:space="preserve"> and </w:t>
      </w:r>
      <w:r>
        <w:rPr>
          <w:i/>
        </w:rPr>
        <w:t>nora’os</w:t>
      </w:r>
      <w:r>
        <w:t xml:space="preserve">. The </w:t>
      </w:r>
      <w:r>
        <w:rPr>
          <w:i/>
        </w:rPr>
        <w:t>Gemara</w:t>
      </w:r>
      <w:r>
        <w:t xml:space="preserve"> closes by deriving from this restoration the very name </w:t>
      </w:r>
      <w:r>
        <w:rPr>
          <w:i/>
        </w:rPr>
        <w:t>Knesses HaGedolah</w:t>
      </w:r>
      <w:r>
        <w:t xml:space="preserve">: </w:t>
      </w:r>
      <w:r>
        <w:rPr>
          <w:i/>
        </w:rPr>
        <w:t>hechzirah atarah l’yoshnah</w:t>
      </w:r>
      <w:r>
        <w:t xml:space="preserve">. The teaching is attributed in the </w:t>
      </w:r>
      <w:r>
        <w:rPr>
          <w:i/>
        </w:rPr>
        <w:t>Gemara</w:t>
      </w:r>
      <w:r>
        <w:t xml:space="preserve"> to </w:t>
      </w:r>
      <w:r>
        <w:rPr>
          <w:i/>
        </w:rPr>
        <w:t>Rav Mattana</w:t>
      </w:r>
      <w:r>
        <w:t xml:space="preserve"> in the West and expounded by </w:t>
      </w:r>
      <w:r>
        <w:rPr>
          <w:i/>
        </w:rPr>
        <w:t>Rabbi Yehoshua ben Levi</w:t>
      </w:r>
      <w:r>
        <w:t>.</w:t>
      </w:r>
    </w:p>
    <w:p>
      <w:r>
        <w:rPr>
          <w:b/>
          <w:color w:val="1E3A8A"/>
        </w:rPr>
        <w:t xml:space="preserve">4. </w:t>
      </w:r>
      <w:r>
        <w:rPr>
          <w:b/>
          <w:i/>
          <w:color w:val="1E3A8A"/>
        </w:rPr>
        <w:t>Devarim</w:t>
      </w:r>
      <w:r>
        <w:rPr>
          <w:b/>
          <w:color w:val="1E3A8A"/>
        </w:rPr>
        <w:t xml:space="preserve"> 10:17 — </w:t>
      </w:r>
      <w:r>
        <w:rPr>
          <w:b/>
          <w:i/>
          <w:color w:val="1E3A8A"/>
        </w:rPr>
        <w:t>HaKel HaGadol HaGibor v’HaNorah</w:t>
      </w:r>
      <w:r>
        <w:rPr>
          <w:b/>
          <w:color w:val="1E3A8A"/>
        </w:rPr>
        <w:t>, the source-</w:t>
      </w:r>
      <w:r>
        <w:rPr>
          <w:b/>
          <w:i/>
          <w:color w:val="1E3A8A"/>
        </w:rPr>
        <w:t>pasuk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Moshe Rabbeinu</w:t>
      </w:r>
      <w:r>
        <w:t xml:space="preserve">’s formulation in </w:t>
      </w:r>
      <w:r>
        <w:rPr>
          <w:i/>
        </w:rPr>
        <w:t>Parshas Va’eschanan</w:t>
      </w:r>
      <w:r>
        <w:t xml:space="preserve">: </w:t>
      </w:r>
      <w:r>
        <w:rPr>
          <w:i/>
        </w:rPr>
        <w:t>ki Hashem Elokeichem Hu Elokei ha’Elohim va’Adonei ha’Adonim, ha’Kel ha’Gadol ha’Gibor v’ha’Norah, asher lo yisa panim v’lo yikach shochad</w:t>
      </w:r>
      <w:r>
        <w:t xml:space="preserve">. The </w:t>
      </w:r>
      <w:r>
        <w:rPr>
          <w:i/>
        </w:rPr>
        <w:t>pasuk</w:t>
      </w:r>
      <w:r>
        <w:t xml:space="preserve"> from which </w:t>
      </w:r>
      <w:r>
        <w:rPr>
          <w:i/>
        </w:rPr>
        <w:t>Chazal</w:t>
      </w:r>
      <w:r>
        <w:t xml:space="preserve"> derive that </w:t>
      </w:r>
      <w:r>
        <w:rPr>
          <w:i/>
        </w:rPr>
        <w:t>HaKel HaGadol HaGibor v’HaNorah</w:t>
      </w:r>
      <w:r>
        <w:t xml:space="preserve"> is the canonical frame for addressing </w:t>
      </w:r>
      <w:r>
        <w:rPr>
          <w:i/>
        </w:rPr>
        <w:t>HaKadosh Baruch Hu</w:t>
      </w:r>
      <w:r>
        <w:t xml:space="preserve"> in </w:t>
      </w:r>
      <w:r>
        <w:rPr>
          <w:i/>
        </w:rPr>
        <w:t>tefillah</w:t>
      </w:r>
      <w:r>
        <w:t xml:space="preserve">. The </w:t>
      </w:r>
      <w:r>
        <w:rPr>
          <w:i/>
        </w:rPr>
        <w:t>pasuk</w:t>
      </w:r>
      <w:r>
        <w:t xml:space="preserve">’s pairing of the three </w:t>
      </w:r>
      <w:r>
        <w:rPr>
          <w:i/>
        </w:rPr>
        <w:t>toarim</w:t>
      </w:r>
      <w:r>
        <w:t xml:space="preserve"> with the </w:t>
      </w:r>
      <w:r>
        <w:rPr>
          <w:i/>
        </w:rPr>
        <w:t>chiyuv</w:t>
      </w:r>
      <w:r>
        <w:t xml:space="preserve"> of impartial justice (</w:t>
      </w:r>
      <w:r>
        <w:rPr>
          <w:i/>
        </w:rPr>
        <w:t>lo yisa panim</w:t>
      </w:r>
      <w:r>
        <w:t xml:space="preserve">) shapes the </w:t>
      </w:r>
      <w:r>
        <w:rPr>
          <w:i/>
        </w:rPr>
        <w:t>kavvanos</w:t>
      </w:r>
      <w:r>
        <w:t xml:space="preserve"> of </w:t>
      </w:r>
      <w:r>
        <w:rPr>
          <w:i/>
        </w:rPr>
        <w:t>Birkas Avos</w:t>
      </w:r>
      <w:r>
        <w:t xml:space="preserve"> and </w:t>
      </w:r>
      <w:r>
        <w:rPr>
          <w:i/>
        </w:rPr>
        <w:t>Birkas Gevuros</w:t>
      </w:r>
      <w:r>
        <w:t>.</w:t>
      </w:r>
    </w:p>
    <w:p>
      <w:r>
        <w:rPr>
          <w:b/>
          <w:color w:val="1E3A8A"/>
        </w:rPr>
        <w:t xml:space="preserve">5. </w:t>
      </w:r>
      <w:r>
        <w:rPr>
          <w:b/>
          <w:i/>
          <w:color w:val="1E3A8A"/>
        </w:rPr>
        <w:t>Berachos</w:t>
      </w:r>
      <w:r>
        <w:rPr>
          <w:b/>
          <w:color w:val="1E3A8A"/>
        </w:rPr>
        <w:t xml:space="preserve"> 33b — </w:t>
      </w:r>
      <w:r>
        <w:rPr>
          <w:b/>
          <w:i/>
          <w:color w:val="1E3A8A"/>
        </w:rPr>
        <w:t>Rabbi Chanina</w:t>
      </w:r>
      <w:r>
        <w:rPr>
          <w:b/>
          <w:color w:val="1E3A8A"/>
        </w:rPr>
        <w:t xml:space="preserve"> on excessive praise; the </w:t>
      </w:r>
      <w:r>
        <w:rPr>
          <w:b/>
          <w:i/>
          <w:color w:val="1E3A8A"/>
        </w:rPr>
        <w:t>mashal</w:t>
      </w:r>
      <w:r>
        <w:rPr>
          <w:b/>
          <w:color w:val="1E3A8A"/>
        </w:rPr>
        <w:t xml:space="preserve"> of the king with treasuries of gold.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: a </w:t>
      </w:r>
      <w:r>
        <w:rPr>
          <w:i/>
        </w:rPr>
        <w:t>shaliach tzibbur</w:t>
      </w:r>
      <w:r>
        <w:t xml:space="preserve"> stood before </w:t>
      </w:r>
      <w:r>
        <w:rPr>
          <w:i/>
        </w:rPr>
        <w:t>Rabbi Chanina</w:t>
      </w:r>
      <w:r>
        <w:t xml:space="preserve"> and added praises to </w:t>
      </w:r>
      <w:r>
        <w:rPr>
          <w:i/>
        </w:rPr>
        <w:t>ha’Gadol ha’Gibor v’ha’Norah</w:t>
      </w:r>
      <w:r>
        <w:t xml:space="preserve">. </w:t>
      </w:r>
      <w:r>
        <w:rPr>
          <w:i/>
        </w:rPr>
        <w:t>Rabbi Chanina</w:t>
      </w:r>
      <w:r>
        <w:t xml:space="preserve"> waited for him to finish, then asked: </w:t>
      </w:r>
      <w:r>
        <w:rPr>
          <w:i/>
        </w:rPr>
        <w:t>have you completed all the praises of your Master?</w:t>
      </w:r>
      <w:r>
        <w:t xml:space="preserve"> The </w:t>
      </w:r>
      <w:r>
        <w:rPr>
          <w:i/>
        </w:rPr>
        <w:t>mashal</w:t>
      </w:r>
      <w:r>
        <w:t xml:space="preserve">: a king with thousands of gold coins is praised by mentioning silver — an insult, not a compliment. We address </w:t>
      </w:r>
      <w:r>
        <w:rPr>
          <w:i/>
        </w:rPr>
        <w:t>HaKadosh Baruch Hu</w:t>
      </w:r>
      <w:r>
        <w:t xml:space="preserve"> with the formulation given by the </w:t>
      </w:r>
      <w:r>
        <w:rPr>
          <w:i/>
        </w:rPr>
        <w:t>Anshei Knesses HaGedolah</w:t>
      </w:r>
      <w:r>
        <w:t>; we do not extemporize beyond it.</w:t>
      </w:r>
    </w:p>
    <w:p>
      <w:r>
        <w:rPr>
          <w:b/>
          <w:color w:val="1E3A8A"/>
        </w:rPr>
        <w:t xml:space="preserve">6. </w:t>
      </w:r>
      <w:r>
        <w:rPr>
          <w:b/>
          <w:i/>
          <w:color w:val="1E3A8A"/>
        </w:rPr>
        <w:t>Rav Shimon Schwab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zt”l</w:t>
      </w:r>
      <w:r>
        <w:rPr>
          <w:b/>
          <w:color w:val="1E3A8A"/>
        </w:rPr>
        <w:t xml:space="preserve"> — </w:t>
      </w:r>
      <w:r>
        <w:rPr>
          <w:b/>
          <w:i/>
          <w:color w:val="1E3A8A"/>
        </w:rPr>
        <w:t>Kel Elyon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rav l’hoshi’a</w:t>
      </w:r>
      <w:r>
        <w:rPr>
          <w:b/>
          <w:color w:val="1E3A8A"/>
        </w:rPr>
        <w:t xml:space="preserve">, the two </w:t>
      </w:r>
      <w:r>
        <w:rPr>
          <w:b/>
          <w:i/>
          <w:color w:val="1E3A8A"/>
        </w:rPr>
        <w:t>keriyos</w:t>
      </w:r>
      <w:r>
        <w:rPr>
          <w:b/>
          <w:color w:val="1E3A8A"/>
        </w:rPr>
        <w:t xml:space="preserve">, and the warning against explaining the </w:t>
      </w:r>
      <w:r>
        <w:rPr>
          <w:b/>
          <w:i/>
          <w:color w:val="1E3A8A"/>
        </w:rPr>
        <w:t>Shoah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Rav Shimon Schwab</w:t>
      </w:r>
      <w:r>
        <w:t xml:space="preserve"> (1908–1995, </w:t>
      </w:r>
      <w:r>
        <w:rPr>
          <w:i/>
        </w:rPr>
        <w:t>Rav</w:t>
      </w:r>
      <w:r>
        <w:t xml:space="preserve"> of </w:t>
      </w:r>
      <w:r>
        <w:rPr>
          <w:i/>
        </w:rPr>
        <w:t>Kehal Adath Jeshurun</w:t>
      </w:r>
      <w:r>
        <w:t xml:space="preserve"> in Washington Heights), </w:t>
      </w:r>
      <w:r>
        <w:rPr>
          <w:i/>
        </w:rPr>
        <w:t>talmid</w:t>
      </w:r>
      <w:r>
        <w:t xml:space="preserve"> of the </w:t>
      </w:r>
      <w:r>
        <w:rPr>
          <w:i/>
        </w:rPr>
        <w:t>Chazon Ish</w:t>
      </w:r>
      <w:r>
        <w:t xml:space="preserve"> and of </w:t>
      </w:r>
      <w:r>
        <w:rPr>
          <w:i/>
        </w:rPr>
        <w:t>Rav Baruch Ber</w:t>
      </w:r>
      <w:r>
        <w:t xml:space="preserve">, in his English-language essays in </w:t>
      </w:r>
      <w:r>
        <w:rPr>
          <w:i/>
        </w:rPr>
        <w:t>The Jewish Observer</w:t>
      </w:r>
      <w:r>
        <w:t xml:space="preserve"> and in his collected </w:t>
      </w:r>
      <w:r>
        <w:rPr>
          <w:i/>
        </w:rPr>
        <w:t>derashos</w:t>
      </w:r>
      <w:r>
        <w:t xml:space="preserve"> develops several of the readings brought here: </w:t>
      </w:r>
      <w:r>
        <w:rPr>
          <w:i/>
        </w:rPr>
        <w:t>Kel Elyon</w:t>
      </w:r>
      <w:r>
        <w:t xml:space="preserve"> as the </w:t>
      </w:r>
      <w:r>
        <w:rPr>
          <w:i/>
        </w:rPr>
        <w:t>hakarah</w:t>
      </w:r>
      <w:r>
        <w:t xml:space="preserve"> of </w:t>
      </w:r>
      <w:r>
        <w:rPr>
          <w:i/>
        </w:rPr>
        <w:t>hester panim</w:t>
      </w:r>
      <w:r>
        <w:t xml:space="preserve"> beyond human </w:t>
      </w:r>
      <w:r>
        <w:rPr>
          <w:i/>
        </w:rPr>
        <w:t>hasagah</w:t>
      </w:r>
      <w:r>
        <w:t xml:space="preserve"> (with explicit application to the </w:t>
      </w:r>
      <w:r>
        <w:rPr>
          <w:i/>
        </w:rPr>
        <w:t>Shoah</w:t>
      </w:r>
      <w:r>
        <w:t xml:space="preserve"> and a sharp warning against assigning specific reasons to specific tragedies); the two </w:t>
      </w:r>
      <w:r>
        <w:rPr>
          <w:i/>
        </w:rPr>
        <w:t>keriyos</w:t>
      </w:r>
      <w:r>
        <w:t xml:space="preserve"> of </w:t>
      </w:r>
      <w:r>
        <w:rPr>
          <w:i/>
        </w:rPr>
        <w:t>Birkas Avos</w:t>
      </w:r>
      <w:r>
        <w:t xml:space="preserve"> mapped to </w:t>
      </w:r>
      <w:r>
        <w:rPr>
          <w:i/>
        </w:rPr>
        <w:t>kav ha’avos</w:t>
      </w:r>
      <w:r>
        <w:t xml:space="preserve"> versus </w:t>
      </w:r>
      <w:r>
        <w:rPr>
          <w:i/>
        </w:rPr>
        <w:t>Ze Keili</w:t>
      </w:r>
      <w:r>
        <w:t xml:space="preserve">; and the meaning of </w:t>
      </w:r>
      <w:r>
        <w:rPr>
          <w:i/>
        </w:rPr>
        <w:t>rav l’hoshi’a</w:t>
      </w:r>
      <w:r>
        <w:t xml:space="preserve"> as complete </w:t>
      </w:r>
      <w:r>
        <w:rPr>
          <w:i/>
        </w:rPr>
        <w:t>yeshu’ah</w:t>
      </w:r>
      <w:r>
        <w:t xml:space="preserve">. Rav Schwab’s essays on </w:t>
      </w:r>
      <w:r>
        <w:rPr>
          <w:i/>
        </w:rPr>
        <w:t>tefillah</w:t>
      </w:r>
      <w:r>
        <w:t xml:space="preserve"> are collected in </w:t>
      </w:r>
      <w:r>
        <w:rPr>
          <w:i/>
        </w:rPr>
        <w:t>Rav Schwab on Prayer</w:t>
      </w:r>
      <w:r>
        <w:t xml:space="preserve"> (Mesorah/ArtScroll).</w:t>
      </w:r>
    </w:p>
    <w:p>
      <w:r>
        <w:rPr>
          <w:b/>
          <w:color w:val="1E3A8A"/>
        </w:rPr>
        <w:t xml:space="preserve">7. </w:t>
      </w:r>
      <w:r>
        <w:rPr>
          <w:b/>
          <w:i/>
          <w:color w:val="1E3A8A"/>
        </w:rPr>
        <w:t>Shemos</w:t>
      </w:r>
      <w:r>
        <w:rPr>
          <w:b/>
          <w:color w:val="1E3A8A"/>
        </w:rPr>
        <w:t xml:space="preserve"> 15:2 — </w:t>
      </w:r>
      <w:r>
        <w:rPr>
          <w:b/>
          <w:i/>
          <w:color w:val="1E3A8A"/>
        </w:rPr>
        <w:t>Ze Keili v’anveihu, Elokei Avi va’aromemenhu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pasuk</w:t>
      </w:r>
      <w:r>
        <w:t xml:space="preserve"> in </w:t>
      </w:r>
      <w:r>
        <w:rPr>
          <w:i/>
        </w:rPr>
        <w:t>Shiras HaYam</w:t>
      </w:r>
      <w:r>
        <w:t xml:space="preserve"> juxtaposing two modes of relationship with </w:t>
      </w:r>
      <w:r>
        <w:rPr>
          <w:i/>
        </w:rPr>
        <w:t>HaKadosh Baruch Hu</w:t>
      </w:r>
      <w:r>
        <w:t xml:space="preserve">: </w:t>
      </w:r>
      <w:r>
        <w:rPr>
          <w:i/>
        </w:rPr>
        <w:t>Ze Keili</w:t>
      </w:r>
      <w:r>
        <w:t xml:space="preserve"> — direct, immediate, personal recognition (Chazal: each </w:t>
      </w:r>
      <w:r>
        <w:rPr>
          <w:i/>
        </w:rPr>
        <w:t>Yid</w:t>
      </w:r>
      <w:r>
        <w:t xml:space="preserve"> at the </w:t>
      </w:r>
      <w:r>
        <w:rPr>
          <w:i/>
        </w:rPr>
        <w:t>yam</w:t>
      </w:r>
      <w:r>
        <w:t xml:space="preserve"> pointed with his finger and said </w:t>
      </w:r>
      <w:r>
        <w:rPr>
          <w:i/>
        </w:rPr>
        <w:t>this</w:t>
      </w:r>
      <w:r>
        <w:t xml:space="preserve">); and </w:t>
      </w:r>
      <w:r>
        <w:rPr>
          <w:i/>
        </w:rPr>
        <w:t>Elokei Avi</w:t>
      </w:r>
      <w:r>
        <w:t xml:space="preserve"> — inherited </w:t>
      </w:r>
      <w:r>
        <w:rPr>
          <w:i/>
        </w:rPr>
        <w:t>mesorah</w:t>
      </w:r>
      <w:r>
        <w:t xml:space="preserve"> from the </w:t>
      </w:r>
      <w:r>
        <w:rPr>
          <w:i/>
        </w:rPr>
        <w:t>avos</w:t>
      </w:r>
      <w:r>
        <w:t xml:space="preserve">. The two clauses are the textual basis for Rav Schwab’s reading of the two </w:t>
      </w:r>
      <w:r>
        <w:rPr>
          <w:i/>
        </w:rPr>
        <w:t>keriyos</w:t>
      </w:r>
      <w:r>
        <w:t xml:space="preserve"> in </w:t>
      </w:r>
      <w:r>
        <w:rPr>
          <w:i/>
        </w:rPr>
        <w:t>Birkas Avos</w:t>
      </w:r>
      <w:r>
        <w:t>.</w:t>
      </w:r>
    </w:p>
    <w:p>
      <w:r>
        <w:rPr>
          <w:b/>
          <w:color w:val="1E3A8A"/>
        </w:rPr>
        <w:t xml:space="preserve">8. </w:t>
      </w:r>
      <w:r>
        <w:rPr>
          <w:b/>
          <w:i/>
          <w:color w:val="1E3A8A"/>
        </w:rPr>
        <w:t>Chiddushei HaRim</w:t>
      </w:r>
      <w:r>
        <w:rPr>
          <w:b/>
          <w:color w:val="1E3A8A"/>
        </w:rPr>
        <w:t xml:space="preserve"> in </w:t>
      </w:r>
      <w:r>
        <w:rPr>
          <w:b/>
          <w:i/>
          <w:color w:val="1E3A8A"/>
        </w:rPr>
        <w:t>Sefer Alzachos</w:t>
      </w:r>
      <w:r>
        <w:rPr>
          <w:b/>
          <w:color w:val="1E3A8A"/>
        </w:rPr>
        <w:t xml:space="preserve"> — </w:t>
      </w:r>
      <w:r>
        <w:rPr>
          <w:b/>
          <w:i/>
          <w:color w:val="1E3A8A"/>
        </w:rPr>
        <w:t>kol Yehudi hu Magen Avraham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Rabbi Yitzchak Meir Alter</w:t>
      </w:r>
      <w:r>
        <w:t xml:space="preserve"> (the </w:t>
      </w:r>
      <w:r>
        <w:rPr>
          <w:i/>
        </w:rPr>
        <w:t>Chiddushei HaRim</w:t>
      </w:r>
      <w:r>
        <w:t xml:space="preserve">, 1799–1866, founding Rebbe of </w:t>
      </w:r>
      <w:r>
        <w:rPr>
          <w:i/>
        </w:rPr>
        <w:t>Ger</w:t>
      </w:r>
      <w:r>
        <w:t xml:space="preserve">), in </w:t>
      </w:r>
      <w:r>
        <w:rPr>
          <w:i/>
        </w:rPr>
        <w:t>Sefer Alzachos</w:t>
      </w:r>
      <w:r>
        <w:t xml:space="preserve"> on </w:t>
      </w:r>
      <w:r>
        <w:rPr>
          <w:i/>
        </w:rPr>
        <w:t>chumash</w:t>
      </w:r>
      <w:r>
        <w:t xml:space="preserve"> — the principal </w:t>
      </w:r>
      <w:r>
        <w:rPr>
          <w:i/>
        </w:rPr>
        <w:t>sefer</w:t>
      </w:r>
      <w:r>
        <w:t xml:space="preserve"> Gerrer </w:t>
      </w:r>
      <w:r>
        <w:rPr>
          <w:i/>
        </w:rPr>
        <w:t>chassidim</w:t>
      </w:r>
      <w:r>
        <w:t xml:space="preserve"> have from him on </w:t>
      </w:r>
      <w:r>
        <w:rPr>
          <w:i/>
        </w:rPr>
        <w:t>parshas ha’shavua</w:t>
      </w:r>
      <w:r>
        <w:t xml:space="preserve"> — develops the reading that the closing </w:t>
      </w:r>
      <w:r>
        <w:rPr>
          <w:i/>
        </w:rPr>
        <w:t>chasimah</w:t>
      </w:r>
      <w:r>
        <w:t xml:space="preserve"> of </w:t>
      </w:r>
      <w:r>
        <w:rPr>
          <w:i/>
        </w:rPr>
        <w:t>Birkas Avos</w:t>
      </w:r>
      <w:r>
        <w:t xml:space="preserve"> on </w:t>
      </w:r>
      <w:r>
        <w:rPr>
          <w:i/>
        </w:rPr>
        <w:t>Magen Avraham</w:t>
      </w:r>
      <w:r>
        <w:t xml:space="preserve"> alone alludes to the </w:t>
      </w:r>
      <w:r>
        <w:rPr>
          <w:i/>
        </w:rPr>
        <w:t>avodah</w:t>
      </w:r>
      <w:r>
        <w:t xml:space="preserve"> required of every </w:t>
      </w:r>
      <w:r>
        <w:rPr>
          <w:i/>
        </w:rPr>
        <w:t>Yid</w:t>
      </w:r>
      <w:r>
        <w:t xml:space="preserve">: to be, in the moments that demand it, an </w:t>
      </w:r>
      <w:r>
        <w:rPr>
          <w:i/>
        </w:rPr>
        <w:t>Avraham Avinu</w:t>
      </w:r>
      <w:r>
        <w:t xml:space="preserve"> — to stand alone </w:t>
      </w:r>
      <w:r>
        <w:rPr>
          <w:i/>
        </w:rPr>
        <w:t>b’ever echad</w:t>
      </w:r>
      <w:r>
        <w:t xml:space="preserve"> against the world for the sake of </w:t>
      </w:r>
      <w:r>
        <w:rPr>
          <w:i/>
        </w:rPr>
        <w:t>emes</w:t>
      </w:r>
      <w:r>
        <w:t xml:space="preserve">. </w:t>
      </w:r>
      <w:r>
        <w:rPr>
          <w:i/>
        </w:rPr>
        <w:t>Kol Yehudi hu Magen Avraham</w:t>
      </w:r>
      <w:r>
        <w:t xml:space="preserve"> entered </w:t>
      </w:r>
      <w:r>
        <w:rPr>
          <w:i/>
        </w:rPr>
        <w:t>chassidus</w:t>
      </w:r>
      <w:r>
        <w:t xml:space="preserve"> idiom and is widely repeated in Gerrer and Kotzker tradition.</w:t>
      </w:r>
    </w:p>
    <w:p>
      <w:r>
        <w:rPr>
          <w:b/>
          <w:color w:val="1E3A8A"/>
        </w:rPr>
        <w:t xml:space="preserve">9. </w:t>
      </w:r>
      <w:r>
        <w:rPr>
          <w:b/>
          <w:i/>
          <w:color w:val="1E3A8A"/>
        </w:rPr>
        <w:t>Ta’anis</w:t>
      </w:r>
      <w:r>
        <w:rPr>
          <w:b/>
          <w:color w:val="1E3A8A"/>
        </w:rPr>
        <w:t xml:space="preserve"> 2a and </w:t>
      </w:r>
      <w:r>
        <w:rPr>
          <w:b/>
          <w:i/>
          <w:color w:val="1E3A8A"/>
        </w:rPr>
        <w:t>Ta’anis</w:t>
      </w:r>
      <w:r>
        <w:rPr>
          <w:b/>
          <w:color w:val="1E3A8A"/>
        </w:rPr>
        <w:t xml:space="preserve"> 7a — </w:t>
      </w:r>
      <w:r>
        <w:rPr>
          <w:b/>
          <w:i/>
          <w:color w:val="1E3A8A"/>
        </w:rPr>
        <w:t>gishmei berachah</w:t>
      </w:r>
      <w:r>
        <w:rPr>
          <w:b/>
          <w:color w:val="1E3A8A"/>
        </w:rPr>
        <w:t xml:space="preserve"> as </w:t>
      </w:r>
      <w:r>
        <w:rPr>
          <w:b/>
          <w:i/>
          <w:color w:val="1E3A8A"/>
        </w:rPr>
        <w:t>gevuros</w:t>
      </w:r>
      <w:r>
        <w:rPr>
          <w:b/>
          <w:color w:val="1E3A8A"/>
        </w:rPr>
        <w:t xml:space="preserve">; </w:t>
      </w:r>
      <w:r>
        <w:rPr>
          <w:b/>
          <w:i/>
          <w:color w:val="1E3A8A"/>
        </w:rPr>
        <w:t>hilchos keri’as sefarim</w:t>
      </w:r>
      <w:r>
        <w:rPr>
          <w:b/>
          <w:color w:val="1E3A8A"/>
        </w:rPr>
        <w:t xml:space="preserve"> from </w:t>
      </w:r>
      <w:r>
        <w:rPr>
          <w:b/>
          <w:i/>
          <w:color w:val="1E3A8A"/>
        </w:rPr>
        <w:t>Sinai</w:t>
      </w:r>
      <w:r>
        <w:rPr>
          <w:b/>
          <w:color w:val="1E3A8A"/>
        </w:rPr>
        <w:t>.</w:t>
      </w:r>
      <w:r>
        <w:t xml:space="preserve"> </w:t>
      </w:r>
      <w:r>
        <w:t xml:space="preserve">— The opening </w:t>
      </w:r>
      <w:r>
        <w:rPr>
          <w:i/>
        </w:rPr>
        <w:t>mishnah</w:t>
      </w:r>
      <w:r>
        <w:t xml:space="preserve"> of </w:t>
      </w:r>
      <w:r>
        <w:rPr>
          <w:i/>
        </w:rPr>
        <w:t>Ta’anis</w:t>
      </w:r>
      <w:r>
        <w:t xml:space="preserve"> places </w:t>
      </w:r>
      <w:r>
        <w:rPr>
          <w:i/>
        </w:rPr>
        <w:t>gishmei berachah</w:t>
      </w:r>
      <w:r>
        <w:t xml:space="preserve"> within the </w:t>
      </w:r>
      <w:r>
        <w:rPr>
          <w:i/>
        </w:rPr>
        <w:t>berachah</w:t>
      </w:r>
      <w:r>
        <w:t xml:space="preserve"> of </w:t>
      </w:r>
      <w:r>
        <w:rPr>
          <w:i/>
        </w:rPr>
        <w:t>gevuros</w:t>
      </w:r>
      <w:r>
        <w:t xml:space="preserve">; the </w:t>
      </w:r>
      <w:r>
        <w:rPr>
          <w:i/>
        </w:rPr>
        <w:t>Gemara</w:t>
      </w:r>
      <w:r>
        <w:t xml:space="preserve"> there asks why and brings the </w:t>
      </w:r>
      <w:r>
        <w:rPr>
          <w:i/>
        </w:rPr>
        <w:t>derashah</w:t>
      </w:r>
      <w:r>
        <w:t xml:space="preserve"> identifying </w:t>
      </w:r>
      <w:r>
        <w:rPr>
          <w:i/>
        </w:rPr>
        <w:t>geshem</w:t>
      </w:r>
      <w:r>
        <w:t xml:space="preserve"> with </w:t>
      </w:r>
      <w:r>
        <w:rPr>
          <w:i/>
        </w:rPr>
        <w:t>techiyas ha’meisim</w:t>
      </w:r>
      <w:r>
        <w:t xml:space="preserve">. Elsewhere in </w:t>
      </w:r>
      <w:r>
        <w:rPr>
          <w:i/>
        </w:rPr>
        <w:t>Ta’anis</w:t>
      </w:r>
      <w:r>
        <w:t xml:space="preserve">, the </w:t>
      </w:r>
      <w:r>
        <w:rPr>
          <w:i/>
        </w:rPr>
        <w:t>Gemara</w:t>
      </w:r>
      <w:r>
        <w:t xml:space="preserve"> teaches that </w:t>
      </w:r>
      <w:r>
        <w:rPr>
          <w:i/>
        </w:rPr>
        <w:t>hilchos keri’as sefarim</w:t>
      </w:r>
      <w:r>
        <w:t xml:space="preserve"> — proper grammatical reading rules including the shift from </w:t>
      </w:r>
      <w:r>
        <w:rPr>
          <w:i/>
        </w:rPr>
        <w:t>segol</w:t>
      </w:r>
      <w:r>
        <w:t xml:space="preserve"> to </w:t>
      </w:r>
      <w:r>
        <w:rPr>
          <w:i/>
        </w:rPr>
        <w:t>kamatz</w:t>
      </w:r>
      <w:r>
        <w:t xml:space="preserve"> at end of verse or pause — were given to </w:t>
      </w:r>
      <w:r>
        <w:rPr>
          <w:i/>
        </w:rPr>
        <w:t>Moshe Rabbeinu</w:t>
      </w:r>
      <w:r>
        <w:t xml:space="preserve"> at </w:t>
      </w:r>
      <w:r>
        <w:rPr>
          <w:i/>
        </w:rPr>
        <w:t>Sinai</w:t>
      </w:r>
      <w:r>
        <w:t xml:space="preserve">. The two </w:t>
      </w:r>
      <w:r>
        <w:rPr>
          <w:i/>
        </w:rPr>
        <w:t>sugyos</w:t>
      </w:r>
      <w:r>
        <w:t xml:space="preserve"> together frame the </w:t>
      </w:r>
      <w:r>
        <w:rPr>
          <w:i/>
        </w:rPr>
        <w:t>ha’geshem</w:t>
      </w:r>
      <w:r>
        <w:t>/</w:t>
      </w:r>
      <w:r>
        <w:rPr>
          <w:i/>
        </w:rPr>
        <w:t>ha’gashem</w:t>
      </w:r>
      <w:r>
        <w:t xml:space="preserve"> question.</w:t>
      </w:r>
    </w:p>
    <w:p>
      <w:r>
        <w:rPr>
          <w:b/>
          <w:color w:val="1E3A8A"/>
        </w:rPr>
        <w:t xml:space="preserve">10. </w:t>
      </w:r>
      <w:r>
        <w:rPr>
          <w:b/>
          <w:color w:val="1E3A8A"/>
        </w:rPr>
        <w:t xml:space="preserve">The </w:t>
      </w:r>
      <w:r>
        <w:rPr>
          <w:b/>
          <w:i/>
          <w:color w:val="1E3A8A"/>
        </w:rPr>
        <w:t>Gra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tefillah</w:t>
      </w:r>
      <w:r>
        <w:rPr>
          <w:b/>
          <w:color w:val="1E3A8A"/>
        </w:rPr>
        <w:t>/</w:t>
      </w:r>
      <w:r>
        <w:rPr>
          <w:b/>
          <w:i/>
          <w:color w:val="1E3A8A"/>
        </w:rPr>
        <w:t>Ta’anis</w:t>
      </w:r>
      <w:r>
        <w:rPr>
          <w:b/>
          <w:color w:val="1E3A8A"/>
        </w:rPr>
        <w:t xml:space="preserve"> — every drop of rain to its appointed address.</w:t>
      </w:r>
      <w:r>
        <w:t xml:space="preserve"> </w:t>
      </w:r>
      <w:r>
        <w:t xml:space="preserve">— </w:t>
      </w:r>
      <w:r>
        <w:rPr>
          <w:i/>
        </w:rPr>
        <w:t>Rabbi Eliyahu of Vilna</w:t>
      </w:r>
      <w:r>
        <w:t xml:space="preserve"> (the </w:t>
      </w:r>
      <w:r>
        <w:rPr>
          <w:i/>
        </w:rPr>
        <w:t>Gra</w:t>
      </w:r>
      <w:r>
        <w:t xml:space="preserve">, 1720–1797), in his </w:t>
      </w:r>
      <w:r>
        <w:rPr>
          <w:i/>
        </w:rPr>
        <w:t>bi’ur</w:t>
      </w:r>
      <w:r>
        <w:t xml:space="preserve"> on the </w:t>
      </w:r>
      <w:r>
        <w:rPr>
          <w:i/>
        </w:rPr>
        <w:t>siddur</w:t>
      </w:r>
      <w:r>
        <w:t xml:space="preserve"> and in his comments on the </w:t>
      </w:r>
      <w:r>
        <w:rPr>
          <w:i/>
        </w:rPr>
        <w:t>sugya</w:t>
      </w:r>
      <w:r>
        <w:t xml:space="preserve"> in </w:t>
      </w:r>
      <w:r>
        <w:rPr>
          <w:i/>
        </w:rPr>
        <w:t>Ta’anis</w:t>
      </w:r>
      <w:r>
        <w:t xml:space="preserve">, develops the </w:t>
      </w:r>
      <w:r>
        <w:rPr>
          <w:i/>
        </w:rPr>
        <w:t>chiddush</w:t>
      </w:r>
      <w:r>
        <w:t xml:space="preserve"> that </w:t>
      </w:r>
      <w:r>
        <w:rPr>
          <w:i/>
        </w:rPr>
        <w:t>gishmei berachah</w:t>
      </w:r>
      <w:r>
        <w:t xml:space="preserve"> are designated </w:t>
      </w:r>
      <w:r>
        <w:rPr>
          <w:i/>
        </w:rPr>
        <w:t>gevuros</w:t>
      </w:r>
      <w:r>
        <w:t xml:space="preserve"> precisely because </w:t>
      </w:r>
      <w:r>
        <w:rPr>
          <w:i/>
        </w:rPr>
        <w:t>HaKadosh Baruch Hu</w:t>
      </w:r>
      <w:r>
        <w:t xml:space="preserve"> directs every drop to its individual destination. What appears to natural eyes as random precipitation is, in </w:t>
      </w:r>
      <w:r>
        <w:rPr>
          <w:i/>
        </w:rPr>
        <w:t>emes</w:t>
      </w:r>
      <w:r>
        <w:t xml:space="preserve">, the most precise demonstration of </w:t>
      </w:r>
      <w:r>
        <w:rPr>
          <w:i/>
        </w:rPr>
        <w:t>hashgachah pratis</w:t>
      </w:r>
      <w:r>
        <w:t xml:space="preserve"> over the </w:t>
      </w:r>
      <w:r>
        <w:rPr>
          <w:i/>
        </w:rPr>
        <w:t>pratei ha’bri’ah</w:t>
      </w:r>
      <w:r>
        <w:t xml:space="preserve">; this is the truest expression of His </w:t>
      </w:r>
      <w:r>
        <w:rPr>
          <w:i/>
        </w:rPr>
        <w:t>gevurah</w:t>
      </w:r>
      <w:r>
        <w:t>.</w:t>
      </w:r>
    </w:p>
    <w:p>
      <w:r>
        <w:rPr>
          <w:b/>
          <w:color w:val="1E3A8A"/>
        </w:rPr>
        <w:t xml:space="preserve">11. </w:t>
      </w:r>
      <w:r>
        <w:rPr>
          <w:b/>
          <w:i/>
          <w:color w:val="1E3A8A"/>
        </w:rPr>
        <w:t>Shemos</w:t>
      </w:r>
      <w:r>
        <w:rPr>
          <w:b/>
          <w:color w:val="1E3A8A"/>
        </w:rPr>
        <w:t xml:space="preserve"> 21:24 — </w:t>
      </w:r>
      <w:r>
        <w:rPr>
          <w:b/>
          <w:i/>
          <w:color w:val="1E3A8A"/>
        </w:rPr>
        <w:t>ayin tachas ayin… regel tachas ragel</w:t>
      </w:r>
      <w:r>
        <w:rPr>
          <w:b/>
          <w:color w:val="1E3A8A"/>
        </w:rPr>
        <w:t>.</w:t>
      </w:r>
      <w:r>
        <w:t xml:space="preserve"> </w:t>
      </w:r>
      <w:r>
        <w:t xml:space="preserve">— The classic </w:t>
      </w:r>
      <w:r>
        <w:rPr>
          <w:i/>
        </w:rPr>
        <w:t>pasuk</w:t>
      </w:r>
      <w:r>
        <w:t xml:space="preserve"> in </w:t>
      </w:r>
      <w:r>
        <w:rPr>
          <w:i/>
        </w:rPr>
        <w:t>Parshas Mishpatim</w:t>
      </w:r>
      <w:r>
        <w:t xml:space="preserve"> illustrating the </w:t>
      </w:r>
      <w:r>
        <w:rPr>
          <w:i/>
        </w:rPr>
        <w:t>segol</w:t>
      </w:r>
      <w:r>
        <w:t>-to-</w:t>
      </w:r>
      <w:r>
        <w:rPr>
          <w:i/>
        </w:rPr>
        <w:t>kamatz</w:t>
      </w:r>
      <w:r>
        <w:t xml:space="preserve"> shift: the same word </w:t>
      </w:r>
      <w:r>
        <w:rPr>
          <w:i/>
        </w:rPr>
        <w:t>regel</w:t>
      </w:r>
      <w:r>
        <w:t xml:space="preserve"> appears mid-</w:t>
      </w:r>
      <w:r>
        <w:rPr>
          <w:i/>
        </w:rPr>
        <w:t>pasuk</w:t>
      </w:r>
      <w:r>
        <w:t xml:space="preserve"> with a </w:t>
      </w:r>
      <w:r>
        <w:rPr>
          <w:i/>
        </w:rPr>
        <w:t>segol</w:t>
      </w:r>
      <w:r>
        <w:t xml:space="preserve"> and at the close of the </w:t>
      </w:r>
      <w:r>
        <w:rPr>
          <w:i/>
        </w:rPr>
        <w:t>pasuk</w:t>
      </w:r>
      <w:r>
        <w:t xml:space="preserve"> with a </w:t>
      </w:r>
      <w:r>
        <w:rPr>
          <w:i/>
        </w:rPr>
        <w:t>kamatz</w:t>
      </w:r>
      <w:r>
        <w:t xml:space="preserve">. The </w:t>
      </w:r>
      <w:r>
        <w:rPr>
          <w:i/>
        </w:rPr>
        <w:t>pasuk</w:t>
      </w:r>
      <w:r>
        <w:t xml:space="preserve"> is the standard textual proof for the rule and grounds the </w:t>
      </w:r>
      <w:r>
        <w:rPr>
          <w:i/>
        </w:rPr>
        <w:t>dikduk</w:t>
      </w:r>
      <w:r>
        <w:t xml:space="preserve"> argument in </w:t>
      </w:r>
      <w:r>
        <w:rPr>
          <w:i/>
        </w:rPr>
        <w:t>Mashiv haruach u’morid ha’geshem/ha’gashem</w:t>
      </w:r>
      <w:r>
        <w:t>.</w:t>
      </w:r>
    </w:p>
    <w:p>
      <w:r>
        <w:rPr>
          <w:b/>
          <w:color w:val="1E3A8A"/>
        </w:rPr>
        <w:t xml:space="preserve">12. </w:t>
      </w:r>
      <w:r>
        <w:rPr>
          <w:b/>
          <w:i/>
          <w:color w:val="1E3A8A"/>
        </w:rPr>
        <w:t>Siddur Rav Amram Gaon</w:t>
      </w:r>
      <w:r>
        <w:rPr>
          <w:b/>
          <w:color w:val="1E3A8A"/>
        </w:rPr>
        <w:t xml:space="preserve"> — ancient </w:t>
      </w:r>
      <w:r>
        <w:rPr>
          <w:b/>
          <w:i/>
          <w:color w:val="1E3A8A"/>
        </w:rPr>
        <w:t>nusach</w:t>
      </w:r>
      <w:r>
        <w:rPr>
          <w:b/>
          <w:color w:val="1E3A8A"/>
        </w:rPr>
        <w:t xml:space="preserve"> with </w:t>
      </w:r>
      <w:r>
        <w:rPr>
          <w:b/>
          <w:i/>
          <w:color w:val="1E3A8A"/>
        </w:rPr>
        <w:t>segol</w:t>
      </w:r>
      <w:r>
        <w:rPr>
          <w:b/>
          <w:color w:val="1E3A8A"/>
        </w:rPr>
        <w:t xml:space="preserve">: </w:t>
      </w:r>
      <w:r>
        <w:rPr>
          <w:b/>
          <w:i/>
          <w:color w:val="1E3A8A"/>
        </w:rPr>
        <w:t>ha’geshem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siddur</w:t>
      </w:r>
      <w:r>
        <w:t xml:space="preserve"> compiled by </w:t>
      </w:r>
      <w:r>
        <w:rPr>
          <w:i/>
        </w:rPr>
        <w:t>Rav Amram bar Shishna Gaon</w:t>
      </w:r>
      <w:r>
        <w:t xml:space="preserve"> (d. c. 875, head of the yeshiva of </w:t>
      </w:r>
      <w:r>
        <w:rPr>
          <w:i/>
        </w:rPr>
        <w:t>Sura</w:t>
      </w:r>
      <w:r>
        <w:t xml:space="preserve">) is the earliest comprehensive Jewish </w:t>
      </w:r>
      <w:r>
        <w:rPr>
          <w:i/>
        </w:rPr>
        <w:t>siddur</w:t>
      </w:r>
      <w:r>
        <w:t xml:space="preserve"> we possess. It and other ancient </w:t>
      </w:r>
      <w:r>
        <w:rPr>
          <w:i/>
        </w:rPr>
        <w:t>siddurim</w:t>
      </w:r>
      <w:r>
        <w:t xml:space="preserve"> — including the </w:t>
      </w:r>
      <w:r>
        <w:rPr>
          <w:i/>
        </w:rPr>
        <w:t>siddur</w:t>
      </w:r>
      <w:r>
        <w:t xml:space="preserve"> of </w:t>
      </w:r>
      <w:r>
        <w:rPr>
          <w:i/>
        </w:rPr>
        <w:t>Rav Saadia Gaon</w:t>
      </w:r>
      <w:r>
        <w:t xml:space="preserve"> and the various </w:t>
      </w:r>
      <w:r>
        <w:rPr>
          <w:i/>
        </w:rPr>
        <w:t>minhagei tefillah</w:t>
      </w:r>
      <w:r>
        <w:t xml:space="preserve"> recorded by the </w:t>
      </w:r>
      <w:r>
        <w:rPr>
          <w:i/>
        </w:rPr>
        <w:t>rishonim</w:t>
      </w:r>
      <w:r>
        <w:t xml:space="preserve"> — read </w:t>
      </w:r>
      <w:r>
        <w:rPr>
          <w:i/>
        </w:rPr>
        <w:t>ha’geshem</w:t>
      </w:r>
      <w:r>
        <w:t xml:space="preserve"> with a </w:t>
      </w:r>
      <w:r>
        <w:rPr>
          <w:i/>
        </w:rPr>
        <w:t>segol</w:t>
      </w:r>
      <w:r>
        <w:t xml:space="preserve"> uniformly. The shift to </w:t>
      </w:r>
      <w:r>
        <w:rPr>
          <w:i/>
        </w:rPr>
        <w:t>ha’gashem</w:t>
      </w:r>
      <w:r>
        <w:t xml:space="preserve"> is post-1800 and traces to the </w:t>
      </w:r>
      <w:r>
        <w:rPr>
          <w:i/>
        </w:rPr>
        <w:t>siddur</w:t>
      </w:r>
      <w:r>
        <w:t xml:space="preserve"> of Satanov.</w:t>
      </w:r>
    </w:p>
    <w:p>
      <w:r>
        <w:rPr>
          <w:b/>
          <w:color w:val="1E3A8A"/>
        </w:rPr>
        <w:t xml:space="preserve">13. </w:t>
      </w:r>
      <w:r>
        <w:rPr>
          <w:b/>
          <w:i/>
          <w:color w:val="1E3A8A"/>
        </w:rPr>
        <w:t>Siddur Vaye’etar Yitzchak</w:t>
      </w:r>
      <w:r>
        <w:rPr>
          <w:b/>
          <w:color w:val="1E3A8A"/>
        </w:rPr>
        <w:t xml:space="preserve"> — the Satanov </w:t>
      </w:r>
      <w:r>
        <w:rPr>
          <w:b/>
          <w:i/>
          <w:color w:val="1E3A8A"/>
        </w:rPr>
        <w:t>siddur</w:t>
      </w:r>
      <w:r>
        <w:rPr>
          <w:b/>
          <w:color w:val="1E3A8A"/>
        </w:rPr>
        <w:t xml:space="preserve"> and its history.</w:t>
      </w:r>
      <w:r>
        <w:t xml:space="preserve"> </w:t>
      </w:r>
      <w:r>
        <w:t xml:space="preserve">— The early-nineteenth-century </w:t>
      </w:r>
      <w:r>
        <w:rPr>
          <w:i/>
        </w:rPr>
        <w:t>siddur</w:t>
      </w:r>
      <w:r>
        <w:t xml:space="preserve"> edited by </w:t>
      </w:r>
      <w:r>
        <w:rPr>
          <w:i/>
        </w:rPr>
        <w:t>Yitzchak Satanov</w:t>
      </w:r>
      <w:r>
        <w:t xml:space="preserve"> (Yitzchok Halevi Satanov, c. 1732–1804/5; named for the town of Satanów in present-day western Ukraine), worker in the printing house of </w:t>
      </w:r>
      <w:r>
        <w:rPr>
          <w:i/>
        </w:rPr>
        <w:t>Moses Mendelssohn</w:t>
      </w:r>
      <w:r>
        <w:t xml:space="preserve"> in Berlin. Satanov’s </w:t>
      </w:r>
      <w:r>
        <w:rPr>
          <w:i/>
        </w:rPr>
        <w:t>siddur</w:t>
      </w:r>
      <w:r>
        <w:t xml:space="preserve"> introduced numerous grammatical “corrections” to the received </w:t>
      </w:r>
      <w:r>
        <w:rPr>
          <w:i/>
        </w:rPr>
        <w:t>nusach</w:t>
      </w:r>
      <w:r>
        <w:t xml:space="preserve">, including the shift from </w:t>
      </w:r>
      <w:r>
        <w:rPr>
          <w:i/>
        </w:rPr>
        <w:t>ha’geshem</w:t>
      </w:r>
      <w:r>
        <w:t xml:space="preserve"> to </w:t>
      </w:r>
      <w:r>
        <w:rPr>
          <w:i/>
        </w:rPr>
        <w:t>ha’gashem</w:t>
      </w:r>
      <w:r>
        <w:t xml:space="preserve">. Subsequent investigation revealed Satanov as a serial forger — of </w:t>
      </w:r>
      <w:r>
        <w:rPr>
          <w:i/>
        </w:rPr>
        <w:t>sefarim</w:t>
      </w:r>
      <w:r>
        <w:t xml:space="preserve">, of </w:t>
      </w:r>
      <w:r>
        <w:rPr>
          <w:i/>
        </w:rPr>
        <w:t>haskamos</w:t>
      </w:r>
      <w:r>
        <w:t xml:space="preserve"> (including those attributed to the </w:t>
      </w:r>
      <w:r>
        <w:rPr>
          <w:i/>
        </w:rPr>
        <w:t>Chasam Sofer</w:t>
      </w:r>
      <w:r>
        <w:t xml:space="preserve"> and the </w:t>
      </w:r>
      <w:r>
        <w:rPr>
          <w:i/>
        </w:rPr>
        <w:t>Pnei Yehoshua</w:t>
      </w:r>
      <w:r>
        <w:t xml:space="preserve">), and as the first to print the </w:t>
      </w:r>
      <w:r>
        <w:rPr>
          <w:i/>
        </w:rPr>
        <w:t>Kisvei HaAri z”l</w:t>
      </w:r>
      <w:r>
        <w:t xml:space="preserve"> in defiance of the post-</w:t>
      </w:r>
      <w:r>
        <w:rPr>
          <w:i/>
        </w:rPr>
        <w:t>Shabbsai Tzvi</w:t>
      </w:r>
      <w:r>
        <w:t xml:space="preserve"> </w:t>
      </w:r>
      <w:r>
        <w:rPr>
          <w:i/>
        </w:rPr>
        <w:t>cherem</w:t>
      </w:r>
      <w:r>
        <w:t xml:space="preserve">. The </w:t>
      </w:r>
      <w:r>
        <w:rPr>
          <w:i/>
        </w:rPr>
        <w:t>kuntres</w:t>
      </w:r>
      <w:r>
        <w:t xml:space="preserve"> by Rav Krause — published roughly twenty-five years before the delivered </w:t>
      </w:r>
      <w:r>
        <w:rPr>
          <w:i/>
        </w:rPr>
        <w:t>shiur</w:t>
      </w:r>
      <w:r>
        <w:t xml:space="preserve"> — documents the entire history; precise edition and exact publication data were not given in the </w:t>
      </w:r>
      <w:r>
        <w:rPr>
          <w:i/>
        </w:rPr>
        <w:t>shiur</w:t>
      </w:r>
      <w:r>
        <w:t xml:space="preserve"> and could not be verified in Sefaria’s catalog for this edition. The historical outline as given rests on the oral tradition of the delivered </w:t>
      </w:r>
      <w:r>
        <w:rPr>
          <w:i/>
        </w:rPr>
        <w:t>shiur</w:t>
      </w:r>
      <w:r>
        <w:t xml:space="preserve"> together with widely circulated biographical accounts of Satanov and his Berlin milieu.</w:t>
      </w:r>
    </w:p>
    <w:p>
      <w:r>
        <w:rPr>
          <w:b/>
          <w:color w:val="1E3A8A"/>
        </w:rPr>
        <w:t xml:space="preserve">14. </w:t>
      </w:r>
      <w:r>
        <w:rPr>
          <w:b/>
          <w:i/>
          <w:color w:val="1E3A8A"/>
        </w:rPr>
        <w:t>Shu”t Igros Moshe</w:t>
      </w:r>
      <w:r>
        <w:rPr>
          <w:b/>
          <w:color w:val="1E3A8A"/>
        </w:rPr>
        <w:t xml:space="preserve"> — </w:t>
      </w:r>
      <w:r>
        <w:rPr>
          <w:b/>
          <w:i/>
          <w:color w:val="1E3A8A"/>
        </w:rPr>
        <w:t>ha’gashem</w:t>
      </w:r>
      <w:r>
        <w:rPr>
          <w:b/>
          <w:color w:val="1E3A8A"/>
        </w:rPr>
        <w:t xml:space="preserve">; testimony on Rav Elyashiv, </w:t>
      </w:r>
      <w:r>
        <w:rPr>
          <w:b/>
          <w:i/>
          <w:color w:val="1E3A8A"/>
        </w:rPr>
        <w:t>zt”l</w:t>
      </w:r>
      <w:r>
        <w:rPr>
          <w:b/>
          <w:color w:val="1E3A8A"/>
        </w:rPr>
        <w:t>.</w:t>
      </w:r>
      <w:r>
        <w:t xml:space="preserve"> </w:t>
      </w:r>
      <w:r>
        <w:t xml:space="preserve">— </w:t>
      </w:r>
      <w:r>
        <w:rPr>
          <w:i/>
        </w:rPr>
        <w:t>Rav Moshe Feinstein</w:t>
      </w:r>
      <w:r>
        <w:t xml:space="preserve">, </w:t>
      </w:r>
      <w:r>
        <w:rPr>
          <w:i/>
        </w:rPr>
        <w:t>zt”l</w:t>
      </w:r>
      <w:r>
        <w:t xml:space="preserve">, in </w:t>
      </w:r>
      <w:r>
        <w:rPr>
          <w:i/>
        </w:rPr>
        <w:t>Igros Moshe</w:t>
      </w:r>
      <w:r>
        <w:t xml:space="preserve"> rules in favor of </w:t>
      </w:r>
      <w:r>
        <w:rPr>
          <w:i/>
        </w:rPr>
        <w:t>ha’gashem</w:t>
      </w:r>
      <w:r>
        <w:t xml:space="preserve"> on grammatical grounds, treating the phrase </w:t>
      </w:r>
      <w:r>
        <w:rPr>
          <w:i/>
        </w:rPr>
        <w:t>Mashiv haruach u’morid ha’geshem</w:t>
      </w:r>
      <w:r>
        <w:t xml:space="preserve"> as ending a sentence with an </w:t>
      </w:r>
      <w:r>
        <w:rPr>
          <w:i/>
        </w:rPr>
        <w:t>esnachta</w:t>
      </w:r>
      <w:r>
        <w:t xml:space="preserve">. He records that </w:t>
      </w:r>
      <w:r>
        <w:rPr>
          <w:i/>
        </w:rPr>
        <w:t>Maran HaGrish Elyashiv</w:t>
      </w:r>
      <w:r>
        <w:t xml:space="preserve">, </w:t>
      </w:r>
      <w:r>
        <w:rPr>
          <w:i/>
        </w:rPr>
        <w:t>zt”l</w:t>
      </w:r>
      <w:r>
        <w:t xml:space="preserve"> (1910–2012), was meticulous on </w:t>
      </w:r>
      <w:r>
        <w:rPr>
          <w:i/>
        </w:rPr>
        <w:t>ha’gashem</w:t>
      </w:r>
      <w:r>
        <w:t xml:space="preserve"> in his </w:t>
      </w:r>
      <w:r>
        <w:rPr>
          <w:i/>
        </w:rPr>
        <w:t>minyan</w:t>
      </w:r>
      <w:r>
        <w:t xml:space="preserve"> at </w:t>
      </w:r>
      <w:r>
        <w:rPr>
          <w:i/>
        </w:rPr>
        <w:t>Porat Yosef</w:t>
      </w:r>
      <w:r>
        <w:t xml:space="preserve">. The exact </w:t>
      </w:r>
      <w:r>
        <w:rPr>
          <w:i/>
        </w:rPr>
        <w:t>chelek</w:t>
      </w:r>
      <w:r>
        <w:t xml:space="preserve"> and </w:t>
      </w:r>
      <w:r>
        <w:rPr>
          <w:i/>
        </w:rPr>
        <w:t>siman</w:t>
      </w:r>
      <w:r>
        <w:t xml:space="preserve"> of the relevant </w:t>
      </w:r>
      <w:r>
        <w:rPr>
          <w:i/>
        </w:rPr>
        <w:t>teshuvah</w:t>
      </w:r>
      <w:r>
        <w:t xml:space="preserve"> were not specified in the </w:t>
      </w:r>
      <w:r>
        <w:rPr>
          <w:i/>
        </w:rPr>
        <w:t>shiur</w:t>
      </w:r>
      <w:r>
        <w:t xml:space="preserve">; the responsum is in the volumes of </w:t>
      </w:r>
      <w:r>
        <w:rPr>
          <w:i/>
        </w:rPr>
        <w:t>Igros Moshe</w:t>
      </w:r>
      <w:r>
        <w:t xml:space="preserve"> on </w:t>
      </w:r>
      <w:r>
        <w:rPr>
          <w:i/>
        </w:rPr>
        <w:t>Orach Chaim</w:t>
      </w:r>
      <w:r>
        <w:t>.</w:t>
      </w:r>
    </w:p>
    <w:p>
      <w:r>
        <w:rPr>
          <w:b/>
          <w:color w:val="1E3A8A"/>
        </w:rPr>
        <w:t xml:space="preserve">15. </w:t>
      </w:r>
      <w:r>
        <w:rPr>
          <w:b/>
          <w:color w:val="1E3A8A"/>
        </w:rPr>
        <w:t xml:space="preserve">Rulings of </w:t>
      </w:r>
      <w:r>
        <w:rPr>
          <w:b/>
          <w:i/>
          <w:color w:val="1E3A8A"/>
        </w:rPr>
        <w:t>Rav Yaakov Yisrael Fisher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zt”l</w:t>
      </w:r>
      <w:r>
        <w:rPr>
          <w:b/>
          <w:color w:val="1E3A8A"/>
        </w:rPr>
        <w:t xml:space="preserve">, and </w:t>
      </w:r>
      <w:r>
        <w:rPr>
          <w:b/>
          <w:i/>
          <w:color w:val="1E3A8A"/>
        </w:rPr>
        <w:t>Rav Shlomo Zalman Auerbach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zt”l</w:t>
      </w:r>
      <w:r>
        <w:rPr>
          <w:b/>
          <w:color w:val="1E3A8A"/>
        </w:rPr>
        <w:t xml:space="preserve">, on the </w:t>
      </w:r>
      <w:r>
        <w:rPr>
          <w:b/>
          <w:i/>
          <w:color w:val="1E3A8A"/>
        </w:rPr>
        <w:t>ha’geshem</w:t>
      </w:r>
      <w:r>
        <w:rPr>
          <w:b/>
          <w:color w:val="1E3A8A"/>
        </w:rPr>
        <w:t>/</w:t>
      </w:r>
      <w:r>
        <w:rPr>
          <w:b/>
          <w:i/>
          <w:color w:val="1E3A8A"/>
        </w:rPr>
        <w:t>ha’gashem</w:t>
      </w:r>
      <w:r>
        <w:rPr>
          <w:b/>
          <w:color w:val="1E3A8A"/>
        </w:rPr>
        <w:t xml:space="preserve"> question.</w:t>
      </w:r>
      <w:r>
        <w:t xml:space="preserve"> </w:t>
      </w:r>
      <w:r>
        <w:t xml:space="preserve">— </w:t>
      </w:r>
      <w:r>
        <w:rPr>
          <w:i/>
        </w:rPr>
        <w:t>Rav Yaakov Yisrael Fisher</w:t>
      </w:r>
      <w:r>
        <w:t xml:space="preserve">, </w:t>
      </w:r>
      <w:r>
        <w:rPr>
          <w:i/>
        </w:rPr>
        <w:t>zt”l</w:t>
      </w:r>
      <w:r>
        <w:t xml:space="preserve"> (1928–2003, </w:t>
      </w:r>
      <w:r>
        <w:rPr>
          <w:i/>
        </w:rPr>
        <w:t>Av Beis Din</w:t>
      </w:r>
      <w:r>
        <w:t xml:space="preserve"> of the </w:t>
      </w:r>
      <w:r>
        <w:rPr>
          <w:i/>
        </w:rPr>
        <w:t>Eidah HaChareidis</w:t>
      </w:r>
      <w:r>
        <w:t xml:space="preserve"> in </w:t>
      </w:r>
      <w:r>
        <w:rPr>
          <w:i/>
        </w:rPr>
        <w:t>Yerushalayim</w:t>
      </w:r>
      <w:r>
        <w:t xml:space="preserve">; author of </w:t>
      </w:r>
      <w:r>
        <w:rPr>
          <w:i/>
        </w:rPr>
        <w:t>Shu”t Even Yisrael</w:t>
      </w:r>
      <w:r>
        <w:t xml:space="preserve">), held that the grammatical case for </w:t>
      </w:r>
      <w:r>
        <w:rPr>
          <w:i/>
        </w:rPr>
        <w:t>ha’gashem</w:t>
      </w:r>
      <w:r>
        <w:t xml:space="preserve"> stands on its own merits regardless of its first appearance in Satanov’s </w:t>
      </w:r>
      <w:r>
        <w:rPr>
          <w:i/>
        </w:rPr>
        <w:t>siddur</w:t>
      </w:r>
      <w:r>
        <w:t xml:space="preserve">. </w:t>
      </w:r>
      <w:r>
        <w:rPr>
          <w:i/>
        </w:rPr>
        <w:t>Rav Shlomo Zalman Auerbach</w:t>
      </w:r>
      <w:r>
        <w:t xml:space="preserve">, </w:t>
      </w:r>
      <w:r>
        <w:rPr>
          <w:i/>
        </w:rPr>
        <w:t>zt”l</w:t>
      </w:r>
      <w:r>
        <w:t xml:space="preserve"> (1910–1995, </w:t>
      </w:r>
      <w:r>
        <w:rPr>
          <w:i/>
        </w:rPr>
        <w:t>Rosh Yeshiva</w:t>
      </w:r>
      <w:r>
        <w:t xml:space="preserve"> of </w:t>
      </w:r>
      <w:r>
        <w:rPr>
          <w:i/>
        </w:rPr>
        <w:t>Kol Torah</w:t>
      </w:r>
      <w:r>
        <w:t xml:space="preserve">; </w:t>
      </w:r>
      <w:r>
        <w:rPr>
          <w:i/>
        </w:rPr>
        <w:t>posek ha’dor</w:t>
      </w:r>
      <w:r>
        <w:t xml:space="preserve"> of his generation in </w:t>
      </w:r>
      <w:r>
        <w:rPr>
          <w:i/>
        </w:rPr>
        <w:t>Yerushalayim</w:t>
      </w:r>
      <w:r>
        <w:t xml:space="preserve">), originally said </w:t>
      </w:r>
      <w:r>
        <w:rPr>
          <w:i/>
        </w:rPr>
        <w:t>ha’gashem</w:t>
      </w:r>
      <w:r>
        <w:t xml:space="preserve">; upon learning the documented historical </w:t>
      </w:r>
      <w:r>
        <w:rPr>
          <w:i/>
        </w:rPr>
        <w:t>nusach</w:t>
      </w:r>
      <w:r>
        <w:t xml:space="preserve">, he changed to </w:t>
      </w:r>
      <w:r>
        <w:rPr>
          <w:i/>
        </w:rPr>
        <w:t>ha’geshem</w:t>
      </w:r>
      <w:r>
        <w:t xml:space="preserve"> for the rest of his life — held up as a model of an </w:t>
      </w:r>
      <w:r>
        <w:rPr>
          <w:i/>
        </w:rPr>
        <w:t>ish ha’emes</w:t>
      </w:r>
      <w:r>
        <w:t xml:space="preserve"> changing course on evidence. Both positions are preserved in oral and written </w:t>
      </w:r>
      <w:r>
        <w:rPr>
          <w:i/>
        </w:rPr>
        <w:t>teshuvos</w:t>
      </w:r>
      <w:r>
        <w:t xml:space="preserve"> circulating among Yerushalayim </w:t>
      </w:r>
      <w:r>
        <w:rPr>
          <w:i/>
        </w:rPr>
        <w:t>talmidim</w:t>
      </w:r>
      <w:r>
        <w:t xml:space="preserve">; precise published sources were not given in the </w:t>
      </w:r>
      <w:r>
        <w:rPr>
          <w:i/>
        </w:rPr>
        <w:t>shiur</w:t>
      </w:r>
      <w:r>
        <w:t xml:space="preserve"> and could not be independently verified in Sefaria’s catalog for this edition.</w:t>
      </w:r>
    </w:p>
    <w:p>
      <w:r>
        <w:rPr>
          <w:b/>
          <w:color w:val="1E3A8A"/>
        </w:rPr>
        <w:t xml:space="preserve">16. </w:t>
      </w:r>
      <w:r>
        <w:rPr>
          <w:b/>
          <w:i/>
          <w:color w:val="1E3A8A"/>
        </w:rPr>
        <w:t>Sanhedrin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perek Chelek</w:t>
      </w:r>
      <w:r>
        <w:rPr>
          <w:b/>
          <w:color w:val="1E3A8A"/>
        </w:rPr>
        <w:t xml:space="preserve"> — the </w:t>
      </w:r>
      <w:r>
        <w:rPr>
          <w:b/>
          <w:i/>
          <w:color w:val="1E3A8A"/>
        </w:rPr>
        <w:t>Dor HaMabul</w:t>
      </w:r>
      <w:r>
        <w:rPr>
          <w:b/>
          <w:color w:val="1E3A8A"/>
        </w:rPr>
        <w:t xml:space="preserve"> and the value of </w:t>
      </w:r>
      <w:r>
        <w:rPr>
          <w:b/>
          <w:i/>
          <w:color w:val="1E3A8A"/>
        </w:rPr>
        <w:t>gishmei berachah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sugya</w:t>
      </w:r>
      <w:r>
        <w:t xml:space="preserve"> in </w:t>
      </w:r>
      <w:r>
        <w:rPr>
          <w:i/>
        </w:rPr>
        <w:t>perek Chelek</w:t>
      </w:r>
      <w:r>
        <w:t xml:space="preserve"> develops the indictment of the </w:t>
      </w:r>
      <w:r>
        <w:rPr>
          <w:i/>
        </w:rPr>
        <w:t>Dor HaMabul</w:t>
      </w:r>
      <w:r>
        <w:t xml:space="preserve">: their corruption included a denial of dependence on </w:t>
      </w:r>
      <w:r>
        <w:rPr>
          <w:i/>
        </w:rPr>
        <w:t>HaKadosh Baruch Hu</w:t>
      </w:r>
      <w:r>
        <w:t xml:space="preserve"> for </w:t>
      </w:r>
      <w:r>
        <w:rPr>
          <w:i/>
        </w:rPr>
        <w:t>gishmei berachah</w:t>
      </w:r>
      <w:r>
        <w:t xml:space="preserve">, on the basis that they had </w:t>
      </w:r>
      <w:r>
        <w:rPr>
          <w:i/>
        </w:rPr>
        <w:t>neharos</w:t>
      </w:r>
      <w:r>
        <w:t xml:space="preserve">, </w:t>
      </w:r>
      <w:r>
        <w:rPr>
          <w:i/>
        </w:rPr>
        <w:t>yamim</w:t>
      </w:r>
      <w:r>
        <w:t xml:space="preserve">, and irrigation systems. The </w:t>
      </w:r>
      <w:r>
        <w:rPr>
          <w:i/>
        </w:rPr>
        <w:t>Mabul</w:t>
      </w:r>
      <w:r>
        <w:t xml:space="preserve"> itself was </w:t>
      </w:r>
      <w:r>
        <w:rPr>
          <w:i/>
        </w:rPr>
        <w:t>middah k’neged middah</w:t>
      </w:r>
      <w:r>
        <w:t xml:space="preserve"> — water from above and from below proved that </w:t>
      </w:r>
      <w:r>
        <w:rPr>
          <w:i/>
        </w:rPr>
        <w:t>HaKadosh Baruch Hu</w:t>
      </w:r>
      <w:r>
        <w:t xml:space="preserve"> alone controls life-giving water. The </w:t>
      </w:r>
      <w:r>
        <w:rPr>
          <w:i/>
        </w:rPr>
        <w:t>sugya</w:t>
      </w:r>
      <w:r>
        <w:t xml:space="preserve"> grounds the placement of </w:t>
      </w:r>
      <w:r>
        <w:rPr>
          <w:i/>
        </w:rPr>
        <w:t>geshem</w:t>
      </w:r>
      <w:r>
        <w:t xml:space="preserve"> inside </w:t>
      </w:r>
      <w:r>
        <w:rPr>
          <w:i/>
        </w:rPr>
        <w:t>Birkas Techiyas HaMeisim</w:t>
      </w:r>
      <w:r>
        <w:t xml:space="preserve"> as a daily reminder.</w:t>
      </w:r>
    </w:p>
    <w:p>
      <w:r>
        <w:rPr>
          <w:b/>
          <w:color w:val="1E3A8A"/>
        </w:rPr>
        <w:t xml:space="preserve">17. </w:t>
      </w:r>
      <w:r>
        <w:rPr>
          <w:b/>
          <w:i/>
          <w:color w:val="1E3A8A"/>
        </w:rPr>
        <w:t>Ta’anis</w:t>
      </w:r>
      <w:r>
        <w:rPr>
          <w:b/>
          <w:color w:val="1E3A8A"/>
        </w:rPr>
        <w:t xml:space="preserve"> 22b (and parallels) — </w:t>
      </w:r>
      <w:r>
        <w:rPr>
          <w:b/>
          <w:i/>
          <w:color w:val="1E3A8A"/>
        </w:rPr>
        <w:t>gedolah refuas cholim yoser mi’techiyas ha’meisim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Gemara</w:t>
      </w:r>
      <w:r>
        <w:t xml:space="preserve"> teaches that the </w:t>
      </w:r>
      <w:r>
        <w:rPr>
          <w:i/>
        </w:rPr>
        <w:t>nes</w:t>
      </w:r>
      <w:r>
        <w:t xml:space="preserve"> of a </w:t>
      </w:r>
      <w:r>
        <w:rPr>
          <w:i/>
        </w:rPr>
        <w:t>choleh</w:t>
      </w:r>
      <w:r>
        <w:t xml:space="preserve"> rising from his sickbed is greater, in a sense, than the </w:t>
      </w:r>
      <w:r>
        <w:rPr>
          <w:i/>
        </w:rPr>
        <w:t>nes</w:t>
      </w:r>
      <w:r>
        <w:t xml:space="preserve"> of </w:t>
      </w:r>
      <w:r>
        <w:rPr>
          <w:i/>
        </w:rPr>
        <w:t>techiyas ha’meisim</w:t>
      </w:r>
      <w:r>
        <w:t xml:space="preserve">. The </w:t>
      </w:r>
      <w:r>
        <w:rPr>
          <w:i/>
        </w:rPr>
        <w:t>choleh</w:t>
      </w:r>
      <w:r>
        <w:t xml:space="preserve"> is halachically and existentially considered dead while ill; recovery is therefore a daily </w:t>
      </w:r>
      <w:r>
        <w:rPr>
          <w:i/>
        </w:rPr>
        <w:t>techiyas ha’meisim</w:t>
      </w:r>
      <w:r>
        <w:t xml:space="preserve">. The </w:t>
      </w:r>
      <w:r>
        <w:rPr>
          <w:i/>
        </w:rPr>
        <w:t>sugya</w:t>
      </w:r>
      <w:r>
        <w:t xml:space="preserve"> grounds the placement of </w:t>
      </w:r>
      <w:r>
        <w:rPr>
          <w:i/>
        </w:rPr>
        <w:t>rofei cholim</w:t>
      </w:r>
      <w:r>
        <w:t xml:space="preserve"> within the same </w:t>
      </w:r>
      <w:r>
        <w:rPr>
          <w:i/>
        </w:rPr>
        <w:t>Birkas Techiyas HaMeisim</w:t>
      </w:r>
      <w:r>
        <w:t xml:space="preserve"> in </w:t>
      </w:r>
      <w:r>
        <w:rPr>
          <w:i/>
        </w:rPr>
        <w:t>Shemoneh Esrei</w:t>
      </w:r>
      <w:r>
        <w:t>.</w:t>
      </w:r>
    </w:p>
    <w:p>
      <w:r>
        <w:rPr>
          <w:b/>
          <w:color w:val="1E3A8A"/>
        </w:rPr>
        <w:t xml:space="preserve">18. </w:t>
      </w:r>
      <w:r>
        <w:rPr>
          <w:b/>
          <w:i/>
          <w:color w:val="1E3A8A"/>
        </w:rPr>
        <w:t>Ramban</w:t>
      </w:r>
      <w:r>
        <w:rPr>
          <w:b/>
          <w:color w:val="1E3A8A"/>
        </w:rPr>
        <w:t xml:space="preserve"> on </w:t>
      </w:r>
      <w:r>
        <w:rPr>
          <w:b/>
          <w:i/>
          <w:color w:val="1E3A8A"/>
        </w:rPr>
        <w:t>techiyas ha’meisim</w:t>
      </w:r>
      <w:r>
        <w:rPr>
          <w:b/>
          <w:color w:val="1E3A8A"/>
        </w:rPr>
        <w:t xml:space="preserve"> in </w:t>
      </w:r>
      <w:r>
        <w:rPr>
          <w:b/>
          <w:i/>
          <w:color w:val="1E3A8A"/>
        </w:rPr>
        <w:t>Birkas Gevuros</w:t>
      </w:r>
      <w:r>
        <w:rPr>
          <w:b/>
          <w:color w:val="1E3A8A"/>
        </w:rPr>
        <w:t xml:space="preserve"> — daily </w:t>
      </w:r>
      <w:r>
        <w:rPr>
          <w:b/>
          <w:i/>
          <w:color w:val="1E3A8A"/>
        </w:rPr>
        <w:t>techiyas ha’meisim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Ramban</w:t>
      </w:r>
      <w:r>
        <w:t xml:space="preserve"> (in his </w:t>
      </w:r>
      <w:r>
        <w:rPr>
          <w:i/>
        </w:rPr>
        <w:t>derashah</w:t>
      </w:r>
      <w:r>
        <w:t xml:space="preserve"> on </w:t>
      </w:r>
      <w:r>
        <w:rPr>
          <w:i/>
        </w:rPr>
        <w:t>Toras Hashem Temimah</w:t>
      </w:r>
      <w:r>
        <w:t xml:space="preserve">, in his </w:t>
      </w:r>
      <w:r>
        <w:rPr>
          <w:i/>
        </w:rPr>
        <w:t>peirush</w:t>
      </w:r>
      <w:r>
        <w:t xml:space="preserve"> on the </w:t>
      </w:r>
      <w:r>
        <w:rPr>
          <w:i/>
        </w:rPr>
        <w:t>berachos</w:t>
      </w:r>
      <w:r>
        <w:t xml:space="preserve"> of </w:t>
      </w:r>
      <w:r>
        <w:rPr>
          <w:i/>
        </w:rPr>
        <w:t>tefillah</w:t>
      </w:r>
      <w:r>
        <w:t xml:space="preserve">, and parallels) develops the position that </w:t>
      </w:r>
      <w:r>
        <w:rPr>
          <w:i/>
        </w:rPr>
        <w:t>Birkas Techiyas HaMeisim</w:t>
      </w:r>
      <w:r>
        <w:t xml:space="preserve"> in </w:t>
      </w:r>
      <w:r>
        <w:rPr>
          <w:i/>
        </w:rPr>
        <w:t>Shemoneh Esrei</w:t>
      </w:r>
      <w:r>
        <w:t xml:space="preserve"> is not exclusively a reference to the eschatological </w:t>
      </w:r>
      <w:r>
        <w:rPr>
          <w:i/>
        </w:rPr>
        <w:t>techiyas ha’meisim</w:t>
      </w:r>
      <w:r>
        <w:t xml:space="preserve"> at the close of days. Each daily phrase — </w:t>
      </w:r>
      <w:r>
        <w:rPr>
          <w:i/>
        </w:rPr>
        <w:t>somech noflim, rofei cholim, matir asurim</w:t>
      </w:r>
      <w:r>
        <w:t xml:space="preserve">, the daily restoration of the </w:t>
      </w:r>
      <w:r>
        <w:rPr>
          <w:i/>
        </w:rPr>
        <w:t>neshamah</w:t>
      </w:r>
      <w:r>
        <w:t xml:space="preserve"> upon waking — is itself a present-tense </w:t>
      </w:r>
      <w:r>
        <w:rPr>
          <w:i/>
        </w:rPr>
        <w:t>techiyas ha’meisim</w:t>
      </w:r>
      <w:r>
        <w:t xml:space="preserve">. The </w:t>
      </w:r>
      <w:r>
        <w:rPr>
          <w:i/>
        </w:rPr>
        <w:t>Ramban</w:t>
      </w:r>
      <w:r>
        <w:t xml:space="preserve">’s reading frames the </w:t>
      </w:r>
      <w:r>
        <w:rPr>
          <w:i/>
        </w:rPr>
        <w:t>berachah</w:t>
      </w:r>
      <w:r>
        <w:t xml:space="preserve"> as a daily </w:t>
      </w:r>
      <w:r>
        <w:rPr>
          <w:i/>
        </w:rPr>
        <w:t>hakarah</w:t>
      </w:r>
      <w:r>
        <w:t xml:space="preserve"> of </w:t>
      </w:r>
      <w:r>
        <w:rPr>
          <w:i/>
        </w:rPr>
        <w:t>hashgachah pratis</w:t>
      </w:r>
      <w:r>
        <w:t xml:space="preserve">, not only a future </w:t>
      </w:r>
      <w:r>
        <w:rPr>
          <w:i/>
        </w:rPr>
        <w:t>emunah</w:t>
      </w:r>
      <w:r>
        <w:t>.</w:t>
      </w:r>
    </w:p>
    <w:p>
      <w:r>
        <w:rPr>
          <w:b/>
          <w:color w:val="1E3A8A"/>
        </w:rPr>
        <w:t xml:space="preserve">19. </w:t>
      </w:r>
      <w:r>
        <w:rPr>
          <w:b/>
          <w:i/>
          <w:color w:val="1E3A8A"/>
        </w:rPr>
        <w:t>Rosh HaShanah</w:t>
      </w:r>
      <w:r>
        <w:rPr>
          <w:b/>
          <w:color w:val="1E3A8A"/>
        </w:rPr>
        <w:t xml:space="preserve"> 16b — second </w:t>
      </w:r>
      <w:r>
        <w:rPr>
          <w:b/>
          <w:i/>
          <w:color w:val="1E3A8A"/>
        </w:rPr>
        <w:t>din</w:t>
      </w:r>
      <w:r>
        <w:rPr>
          <w:b/>
          <w:color w:val="1E3A8A"/>
        </w:rPr>
        <w:t xml:space="preserve"> after </w:t>
      </w:r>
      <w:r>
        <w:rPr>
          <w:b/>
          <w:i/>
          <w:color w:val="1E3A8A"/>
        </w:rPr>
        <w:t>techiyas ha’meisim</w:t>
      </w:r>
      <w:r>
        <w:rPr>
          <w:b/>
          <w:color w:val="1E3A8A"/>
        </w:rPr>
        <w:t xml:space="preserve">; </w:t>
      </w:r>
      <w:r>
        <w:rPr>
          <w:b/>
          <w:i/>
          <w:color w:val="1E3A8A"/>
        </w:rPr>
        <w:t>Yom HaDin HaGadol v’HaNorah</w:t>
      </w:r>
      <w:r>
        <w:rPr>
          <w:b/>
          <w:color w:val="1E3A8A"/>
        </w:rPr>
        <w:t>.</w:t>
      </w:r>
      <w:r>
        <w:t xml:space="preserve"> </w:t>
      </w:r>
      <w:r>
        <w:t xml:space="preserve">— The </w:t>
      </w:r>
      <w:r>
        <w:rPr>
          <w:i/>
        </w:rPr>
        <w:t>Gemara</w:t>
      </w:r>
      <w:r>
        <w:t xml:space="preserve"> in </w:t>
      </w:r>
      <w:r>
        <w:rPr>
          <w:i/>
        </w:rPr>
        <w:t>Rosh HaShanah</w:t>
      </w:r>
      <w:r>
        <w:t xml:space="preserve"> (and parallel </w:t>
      </w:r>
      <w:r>
        <w:rPr>
          <w:i/>
        </w:rPr>
        <w:t>sugyos</w:t>
      </w:r>
      <w:r>
        <w:t xml:space="preserve"> in </w:t>
      </w:r>
      <w:r>
        <w:rPr>
          <w:i/>
        </w:rPr>
        <w:t>Sanhedrin</w:t>
      </w:r>
      <w:r>
        <w:t xml:space="preserve">) records that there is a final </w:t>
      </w:r>
      <w:r>
        <w:rPr>
          <w:i/>
        </w:rPr>
        <w:t>Yom HaDin HaGadol v’HaNorah</w:t>
      </w:r>
      <w:r>
        <w:t xml:space="preserve"> after </w:t>
      </w:r>
      <w:r>
        <w:rPr>
          <w:i/>
        </w:rPr>
        <w:t>techiyas ha’meisim</w:t>
      </w:r>
      <w:r>
        <w:t xml:space="preserve">, distinct from the personal </w:t>
      </w:r>
      <w:r>
        <w:rPr>
          <w:i/>
        </w:rPr>
        <w:t>din</w:t>
      </w:r>
      <w:r>
        <w:t xml:space="preserve"> each </w:t>
      </w:r>
      <w:r>
        <w:rPr>
          <w:i/>
        </w:rPr>
        <w:t>neshamah</w:t>
      </w:r>
      <w:r>
        <w:t xml:space="preserve"> faces upon death. The structural </w:t>
      </w:r>
      <w:r>
        <w:rPr>
          <w:i/>
        </w:rPr>
        <w:t>kushya</w:t>
      </w:r>
      <w:r>
        <w:t xml:space="preserve"> — why a second </w:t>
      </w:r>
      <w:r>
        <w:rPr>
          <w:i/>
        </w:rPr>
        <w:t>din</w:t>
      </w:r>
      <w:r>
        <w:t xml:space="preserve"> after the first — is the textual ground for Rav Aharon Kotler’s </w:t>
      </w:r>
      <w:r>
        <w:rPr>
          <w:i/>
        </w:rPr>
        <w:t>chiddush</w:t>
      </w:r>
      <w:r>
        <w:t xml:space="preserve"> on </w:t>
      </w:r>
      <w:r>
        <w:rPr>
          <w:i/>
        </w:rPr>
        <w:t>rav l’hoshi’a</w:t>
      </w:r>
      <w:r>
        <w:t>.</w:t>
      </w:r>
    </w:p>
    <w:p>
      <w:r>
        <w:rPr>
          <w:b/>
          <w:color w:val="1E3A8A"/>
        </w:rPr>
        <w:t xml:space="preserve">20. </w:t>
      </w:r>
      <w:r>
        <w:rPr>
          <w:b/>
          <w:i/>
          <w:color w:val="1E3A8A"/>
        </w:rPr>
        <w:t>Rav Aharon Kotler</w:t>
      </w:r>
      <w:r>
        <w:rPr>
          <w:b/>
          <w:color w:val="1E3A8A"/>
        </w:rPr>
        <w:t xml:space="preserve">, </w:t>
      </w:r>
      <w:r>
        <w:rPr>
          <w:b/>
          <w:i/>
          <w:color w:val="1E3A8A"/>
        </w:rPr>
        <w:t>zt”l</w:t>
      </w:r>
      <w:r>
        <w:rPr>
          <w:b/>
          <w:color w:val="1E3A8A"/>
        </w:rPr>
        <w:t xml:space="preserve"> — the second </w:t>
      </w:r>
      <w:r>
        <w:rPr>
          <w:b/>
          <w:i/>
          <w:color w:val="1E3A8A"/>
        </w:rPr>
        <w:t>din</w:t>
      </w:r>
      <w:r>
        <w:rPr>
          <w:b/>
          <w:color w:val="1E3A8A"/>
        </w:rPr>
        <w:t xml:space="preserve"> and </w:t>
      </w:r>
      <w:r>
        <w:rPr>
          <w:b/>
          <w:i/>
          <w:color w:val="1E3A8A"/>
        </w:rPr>
        <w:t>rav l’hoshi’a</w:t>
      </w:r>
      <w:r>
        <w:rPr>
          <w:b/>
          <w:color w:val="1E3A8A"/>
        </w:rPr>
        <w:t>.</w:t>
      </w:r>
      <w:r>
        <w:t xml:space="preserve"> </w:t>
      </w:r>
      <w:r>
        <w:t xml:space="preserve">— Oral </w:t>
      </w:r>
      <w:r>
        <w:rPr>
          <w:i/>
        </w:rPr>
        <w:t>mesorah</w:t>
      </w:r>
      <w:r>
        <w:t xml:space="preserve"> of the </w:t>
      </w:r>
      <w:r>
        <w:rPr>
          <w:i/>
        </w:rPr>
        <w:t>talmidim</w:t>
      </w:r>
      <w:r>
        <w:t xml:space="preserve"> of </w:t>
      </w:r>
      <w:r>
        <w:rPr>
          <w:i/>
        </w:rPr>
        <w:t>Rav Aharon Kotler</w:t>
      </w:r>
      <w:r>
        <w:t xml:space="preserve">, </w:t>
      </w:r>
      <w:r>
        <w:rPr>
          <w:i/>
        </w:rPr>
        <w:t>zt”l</w:t>
      </w:r>
      <w:r>
        <w:t xml:space="preserve"> (1891–1962, founding </w:t>
      </w:r>
      <w:r>
        <w:rPr>
          <w:i/>
        </w:rPr>
        <w:t>Rosh Yeshiva</w:t>
      </w:r>
      <w:r>
        <w:t xml:space="preserve"> of Beth Medrash Govoha in Lakewood, NJ; </w:t>
      </w:r>
      <w:r>
        <w:rPr>
          <w:i/>
        </w:rPr>
        <w:t>talmid</w:t>
      </w:r>
      <w:r>
        <w:t xml:space="preserve"> of the </w:t>
      </w:r>
      <w:r>
        <w:rPr>
          <w:i/>
        </w:rPr>
        <w:t>Alter of Slabodka</w:t>
      </w:r>
      <w:r>
        <w:t xml:space="preserve">; author of </w:t>
      </w:r>
      <w:r>
        <w:rPr>
          <w:i/>
        </w:rPr>
        <w:t>Mishnas Rabbi Aharon</w:t>
      </w:r>
      <w:r>
        <w:t xml:space="preserve">): the long-arc consequences of one’s </w:t>
      </w:r>
      <w:r>
        <w:rPr>
          <w:i/>
        </w:rPr>
        <w:t>mitzvos</w:t>
      </w:r>
      <w:r>
        <w:t xml:space="preserve"> across generations are not yet visible at the moment of personal </w:t>
      </w:r>
      <w:r>
        <w:rPr>
          <w:i/>
        </w:rPr>
        <w:t>din</w:t>
      </w:r>
      <w:r>
        <w:t xml:space="preserve"> after </w:t>
      </w:r>
      <w:r>
        <w:rPr>
          <w:i/>
        </w:rPr>
        <w:t>meah v’esrim</w:t>
      </w:r>
      <w:r>
        <w:t xml:space="preserve">; they unfold only after </w:t>
      </w:r>
      <w:r>
        <w:rPr>
          <w:i/>
        </w:rPr>
        <w:t>techiyas ha’meisim</w:t>
      </w:r>
      <w:r>
        <w:t xml:space="preserve">, when the full ledger comes into view. </w:t>
      </w:r>
      <w:r>
        <w:rPr>
          <w:i/>
        </w:rPr>
        <w:t>Rav l’hoshi’a</w:t>
      </w:r>
      <w:r>
        <w:t xml:space="preserve"> is the prayer for complete vindication at that final </w:t>
      </w:r>
      <w:r>
        <w:rPr>
          <w:i/>
        </w:rPr>
        <w:t>din</w:t>
      </w:r>
      <w:r>
        <w:t xml:space="preserve">. Recorded in </w:t>
      </w:r>
      <w:r>
        <w:rPr>
          <w:i/>
        </w:rPr>
        <w:t>Mishnas Rabbi Aharon</w:t>
      </w:r>
      <w:r>
        <w:t xml:space="preserve"> and in </w:t>
      </w:r>
      <w:r>
        <w:rPr>
          <w:i/>
        </w:rPr>
        <w:t>derashos</w:t>
      </w:r>
      <w:r>
        <w:t xml:space="preserve"> of his </w:t>
      </w:r>
      <w:r>
        <w:rPr>
          <w:i/>
        </w:rPr>
        <w:t>talmidim</w:t>
      </w:r>
      <w:r>
        <w:t xml:space="preserve">; a precise published </w:t>
      </w:r>
      <w:r>
        <w:rPr>
          <w:i/>
        </w:rPr>
        <w:t>siman</w:t>
      </w:r>
      <w:r>
        <w:t xml:space="preserve"> was not given in the delivered </w:t>
      </w:r>
      <w:r>
        <w:rPr>
          <w:i/>
        </w:rPr>
        <w:t>shiur</w:t>
      </w:r>
      <w:r>
        <w:t xml:space="preserve"> and could not be independently verified in Sefaria’s catalog for this edition.</w:t>
      </w:r>
    </w:p>
    <w:p>
      <w:pPr>
        <w:pBdr>
          <w:bottom w:val="single" w:sz="6" w:space="1" w:color="B8860B"/>
        </w:pBdr>
      </w:pPr>
    </w:p>
    <w:p>
      <w:pPr>
        <w:jc w:val="center"/>
      </w:pPr>
      <w:r>
        <w:rPr>
          <w:i/>
          <w:color w:val="5A4B1A"/>
          <w:sz w:val="18"/>
        </w:rPr>
        <w:br/>
        <w:t xml:space="preserve">Sefer Edition of Rabbi Ephrati’s Sunday-morning </w:t>
      </w:r>
      <w:r>
        <w:rPr>
          <w:i/>
          <w:color w:val="5A4B1A"/>
          <w:sz w:val="18"/>
        </w:rPr>
        <w:t>shiur</w:t>
      </w:r>
      <w:r>
        <w:rPr>
          <w:i/>
          <w:color w:val="5A4B1A"/>
          <w:sz w:val="18"/>
        </w:rPr>
        <w:t xml:space="preserve"> on </w:t>
      </w:r>
      <w:r>
        <w:rPr>
          <w:i/>
          <w:color w:val="5A4B1A"/>
          <w:sz w:val="18"/>
        </w:rPr>
        <w:t>Tefillah</w:t>
      </w:r>
      <w:r>
        <w:rPr>
          <w:i/>
          <w:color w:val="5A4B1A"/>
          <w:sz w:val="18"/>
        </w:rPr>
        <w:t xml:space="preserve">, recorded 23 March 2025 — the </w:t>
      </w:r>
      <w:r>
        <w:rPr>
          <w:i/>
          <w:color w:val="5A4B1A"/>
          <w:sz w:val="18"/>
        </w:rPr>
        <w:t>Anshei Knesses HaGedolah</w:t>
      </w:r>
      <w:r>
        <w:rPr>
          <w:i/>
          <w:color w:val="5A4B1A"/>
          <w:sz w:val="18"/>
        </w:rPr>
        <w:t xml:space="preserve">, the restoration of </w:t>
      </w:r>
      <w:r>
        <w:rPr>
          <w:i/>
          <w:color w:val="5A4B1A"/>
          <w:sz w:val="18"/>
        </w:rPr>
        <w:t>HaKel HaGadol HaGibor v’HaNorah</w:t>
      </w:r>
      <w:r>
        <w:rPr>
          <w:i/>
          <w:color w:val="5A4B1A"/>
          <w:sz w:val="18"/>
        </w:rPr>
        <w:t xml:space="preserve"> in </w:t>
      </w:r>
      <w:r>
        <w:rPr>
          <w:i/>
          <w:color w:val="5A4B1A"/>
          <w:sz w:val="18"/>
        </w:rPr>
        <w:t>Yoma</w:t>
      </w:r>
      <w:r>
        <w:rPr>
          <w:i/>
          <w:color w:val="5A4B1A"/>
          <w:sz w:val="18"/>
        </w:rPr>
        <w:t xml:space="preserve"> 69b, Rav Schwab on </w:t>
      </w:r>
      <w:r>
        <w:rPr>
          <w:i/>
          <w:color w:val="5A4B1A"/>
          <w:sz w:val="18"/>
        </w:rPr>
        <w:t>Kel Elyon</w:t>
      </w:r>
      <w:r>
        <w:rPr>
          <w:i/>
          <w:color w:val="5A4B1A"/>
          <w:sz w:val="18"/>
        </w:rPr>
        <w:t xml:space="preserve">, the two </w:t>
      </w:r>
      <w:r>
        <w:rPr>
          <w:i/>
          <w:color w:val="5A4B1A"/>
          <w:sz w:val="18"/>
        </w:rPr>
        <w:t>keriyos</w:t>
      </w:r>
      <w:r>
        <w:rPr>
          <w:i/>
          <w:color w:val="5A4B1A"/>
          <w:sz w:val="18"/>
        </w:rPr>
        <w:t xml:space="preserve">, the </w:t>
      </w:r>
      <w:r>
        <w:rPr>
          <w:i/>
          <w:color w:val="5A4B1A"/>
          <w:sz w:val="18"/>
        </w:rPr>
        <w:t>Chiddushei HaRim</w:t>
      </w:r>
      <w:r>
        <w:rPr>
          <w:i/>
          <w:color w:val="5A4B1A"/>
          <w:sz w:val="18"/>
        </w:rPr>
        <w:t xml:space="preserve">’s </w:t>
      </w:r>
      <w:r>
        <w:rPr>
          <w:i/>
          <w:color w:val="5A4B1A"/>
          <w:sz w:val="18"/>
        </w:rPr>
        <w:t>kol Yehudi hu Magen Avraham</w:t>
      </w:r>
      <w:r>
        <w:rPr>
          <w:i/>
          <w:color w:val="5A4B1A"/>
          <w:sz w:val="18"/>
        </w:rPr>
        <w:t xml:space="preserve">, the </w:t>
      </w:r>
      <w:r>
        <w:rPr>
          <w:i/>
          <w:color w:val="5A4B1A"/>
          <w:sz w:val="18"/>
        </w:rPr>
        <w:t>Gra</w:t>
      </w:r>
      <w:r>
        <w:rPr>
          <w:i/>
          <w:color w:val="5A4B1A"/>
          <w:sz w:val="18"/>
        </w:rPr>
        <w:t xml:space="preserve"> on rain as </w:t>
      </w:r>
      <w:r>
        <w:rPr>
          <w:i/>
          <w:color w:val="5A4B1A"/>
          <w:sz w:val="18"/>
        </w:rPr>
        <w:t>gevurah</w:t>
      </w:r>
      <w:r>
        <w:rPr>
          <w:i/>
          <w:color w:val="5A4B1A"/>
          <w:sz w:val="18"/>
        </w:rPr>
        <w:t xml:space="preserve">, the Satanov </w:t>
      </w:r>
      <w:r>
        <w:rPr>
          <w:i/>
          <w:color w:val="5A4B1A"/>
          <w:sz w:val="18"/>
        </w:rPr>
        <w:t>siddur</w:t>
      </w:r>
      <w:r>
        <w:rPr>
          <w:i/>
          <w:color w:val="5A4B1A"/>
          <w:sz w:val="18"/>
        </w:rPr>
        <w:t xml:space="preserve"> and the </w:t>
      </w:r>
      <w:r>
        <w:rPr>
          <w:i/>
          <w:color w:val="5A4B1A"/>
          <w:sz w:val="18"/>
        </w:rPr>
        <w:t>ha’geshem</w:t>
      </w:r>
      <w:r>
        <w:rPr>
          <w:i/>
          <w:color w:val="5A4B1A"/>
          <w:sz w:val="18"/>
        </w:rPr>
        <w:t>/</w:t>
      </w:r>
      <w:r>
        <w:rPr>
          <w:i/>
          <w:color w:val="5A4B1A"/>
          <w:sz w:val="18"/>
        </w:rPr>
        <w:t>ha’gashem</w:t>
      </w:r>
      <w:r>
        <w:rPr>
          <w:i/>
          <w:color w:val="5A4B1A"/>
          <w:sz w:val="18"/>
        </w:rPr>
        <w:t xml:space="preserve"> question, daily </w:t>
      </w:r>
      <w:r>
        <w:rPr>
          <w:i/>
          <w:color w:val="5A4B1A"/>
          <w:sz w:val="18"/>
        </w:rPr>
        <w:t>techiyas ha’meisim</w:t>
      </w:r>
      <w:r>
        <w:rPr>
          <w:i/>
          <w:color w:val="5A4B1A"/>
          <w:sz w:val="18"/>
        </w:rPr>
        <w:t xml:space="preserve"> on the </w:t>
      </w:r>
      <w:r>
        <w:rPr>
          <w:i/>
          <w:color w:val="5A4B1A"/>
          <w:sz w:val="18"/>
        </w:rPr>
        <w:t>Ramban</w:t>
      </w:r>
      <w:r>
        <w:rPr>
          <w:i/>
          <w:color w:val="5A4B1A"/>
          <w:sz w:val="18"/>
        </w:rPr>
        <w:t xml:space="preserve">, and Rav Aharon Kotler’s </w:t>
      </w:r>
      <w:r>
        <w:rPr>
          <w:i/>
          <w:color w:val="5A4B1A"/>
          <w:sz w:val="18"/>
        </w:rPr>
        <w:t>chiddush</w:t>
      </w:r>
      <w:r>
        <w:rPr>
          <w:i/>
          <w:color w:val="5A4B1A"/>
          <w:sz w:val="18"/>
        </w:rPr>
        <w:t xml:space="preserve"> on </w:t>
      </w:r>
      <w:r>
        <w:rPr>
          <w:i/>
          <w:color w:val="5A4B1A"/>
          <w:sz w:val="18"/>
        </w:rPr>
        <w:t>rav l’hoshi’a</w:t>
      </w:r>
      <w:r>
        <w:rPr>
          <w:i/>
          <w:color w:val="5A4B1A"/>
          <w:sz w:val="18"/>
        </w:rPr>
        <w:t xml:space="preserve"> and the second </w:t>
      </w:r>
      <w:r>
        <w:rPr>
          <w:i/>
          <w:color w:val="5A4B1A"/>
          <w:sz w:val="18"/>
        </w:rPr>
        <w:t>din</w:t>
      </w:r>
      <w:r>
        <w:rPr>
          <w:i/>
          <w:color w:val="5A4B1A"/>
          <w:sz w:val="18"/>
        </w:rPr>
        <w:t xml:space="preserve">. This edition rewrites the delivered </w:t>
      </w:r>
      <w:r>
        <w:rPr>
          <w:i/>
          <w:color w:val="5A4B1A"/>
          <w:sz w:val="18"/>
        </w:rPr>
        <w:t>shiur</w:t>
      </w:r>
      <w:r>
        <w:rPr>
          <w:i/>
          <w:color w:val="5A4B1A"/>
          <w:sz w:val="18"/>
        </w:rPr>
        <w:t xml:space="preserve"> in the classical sefer voice, preserving the historical narrative on Satanov in full and addressing the three original </w:t>
      </w:r>
      <w:r>
        <w:rPr>
          <w:i/>
          <w:color w:val="5A4B1A"/>
          <w:sz w:val="18"/>
        </w:rPr>
        <w:t>note-academic</w:t>
      </w:r>
      <w:r>
        <w:rPr>
          <w:i/>
          <w:color w:val="5A4B1A"/>
          <w:sz w:val="18"/>
        </w:rPr>
        <w:t xml:space="preserve"> flags with the honest caveat that their published </w:t>
      </w:r>
      <w:r>
        <w:rPr>
          <w:i/>
          <w:color w:val="5A4B1A"/>
          <w:sz w:val="18"/>
        </w:rPr>
        <w:t>mekoros</w:t>
      </w:r>
      <w:r>
        <w:rPr>
          <w:i/>
          <w:color w:val="5A4B1A"/>
          <w:sz w:val="18"/>
        </w:rPr>
        <w:t xml:space="preserve"> were not given in the </w:t>
      </w:r>
      <w:r>
        <w:rPr>
          <w:i/>
          <w:color w:val="5A4B1A"/>
          <w:sz w:val="18"/>
        </w:rPr>
        <w:t>shiur</w:t>
      </w:r>
      <w:r>
        <w:rPr>
          <w:i/>
          <w:color w:val="5A4B1A"/>
          <w:sz w:val="18"/>
        </w:rPr>
        <w:t xml:space="preserve"> and do not appear in Sefaria’s catalog.</w:t>
        <w:br/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