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קְדֻשָּׁה — הַמִּצְוָה הַיּוֹמִית שֶׁל קִדּוּשׁ הַשֵּׁם</w:t>
      </w:r>
    </w:p>
    <w:p>
      <w:pPr>
        <w:pBdr>
          <w:bottom w:val="single" w:sz="6" w:space="1" w:color="B8860B"/>
        </w:pBdr>
      </w:pPr>
    </w:p>
    <w:p>
      <w:r>
        <w:rPr>
          <w:i/>
        </w:rPr>
        <w:t xml:space="preserve">Sponsored </w:t>
      </w:r>
      <w:r>
        <w:rPr>
          <w:rFonts w:ascii="David" w:hAnsi="David"/>
          <w:i/>
        </w:rPr>
        <w:t>לעילוי נשמת אלטר מרדכי בן שמואל ז"ל</w:t>
      </w:r>
      <w:r>
        <w:rPr>
          <w:i/>
        </w:rPr>
        <w:t xml:space="preserve">; </w:t>
      </w:r>
      <w:r>
        <w:rPr>
          <w:rFonts w:ascii="David" w:hAnsi="David"/>
          <w:i/>
        </w:rPr>
        <w:t>ולרפואה שלימה פנחס בן [שמו]</w:t>
      </w:r>
      <w:r>
        <w:rPr>
          <w:i/>
        </w:rPr>
        <w:t>.</w:t>
      </w:r>
    </w:p>
    <w:p>
      <w:r>
        <w:rPr>
          <w:i/>
          <w:color w:val="3B3B3B"/>
        </w:rPr>
        <w:t>Kedushah</w:t>
      </w:r>
      <w:r>
        <w:rPr>
          <w:i/>
          <w:color w:val="3B3B3B"/>
        </w:rPr>
        <w:t xml:space="preserve"> (</w:t>
      </w:r>
      <w:r>
        <w:rPr>
          <w:rFonts w:ascii="David" w:hAnsi="David"/>
          <w:i/>
          <w:color w:val="3B3B3B"/>
        </w:rPr>
        <w:t>קדושה</w:t>
      </w:r>
      <w:r>
        <w:rPr>
          <w:i/>
          <w:color w:val="3B3B3B"/>
        </w:rPr>
        <w:t xml:space="preserve">) as a daily </w:t>
      </w:r>
      <w:r>
        <w:rPr>
          <w:i/>
          <w:color w:val="3B3B3B"/>
        </w:rPr>
        <w:t>mitzvah de’oraisa</w:t>
      </w:r>
      <w:r>
        <w:rPr>
          <w:i/>
          <w:color w:val="3B3B3B"/>
        </w:rPr>
        <w:t xml:space="preserve"> (</w:t>
      </w:r>
      <w:r>
        <w:rPr>
          <w:rFonts w:ascii="David" w:hAnsi="David"/>
          <w:i/>
          <w:color w:val="3B3B3B"/>
        </w:rPr>
        <w:t>מצוה דאורייתא</w:t>
      </w:r>
      <w:r>
        <w:rPr>
          <w:i/>
          <w:color w:val="3B3B3B"/>
        </w:rPr>
        <w:t xml:space="preserve">) grounded in </w:t>
      </w:r>
      <w:r>
        <w:rPr>
          <w:i/>
          <w:color w:val="3B3B3B"/>
        </w:rPr>
        <w:t>“v’nikdashti b’soch Bnei Yisrael”</w:t>
      </w:r>
      <w:r>
        <w:rPr>
          <w:i/>
          <w:color w:val="3B3B3B"/>
        </w:rPr>
        <w:t xml:space="preserve"> (</w:t>
      </w:r>
      <w:r>
        <w:rPr>
          <w:rFonts w:ascii="David" w:hAnsi="David"/>
          <w:i/>
          <w:color w:val="3B3B3B"/>
        </w:rPr>
        <w:t>ונקדשתי בתוך בני ישראל</w:t>
      </w:r>
      <w:r>
        <w:rPr>
          <w:i/>
          <w:color w:val="3B3B3B"/>
        </w:rPr>
        <w:t xml:space="preserve">); its rank above </w:t>
      </w:r>
      <w:r>
        <w:rPr>
          <w:i/>
          <w:color w:val="3B3B3B"/>
        </w:rPr>
        <w:t>tefillah</w:t>
      </w:r>
      <w:r>
        <w:rPr>
          <w:i/>
          <w:color w:val="3B3B3B"/>
        </w:rPr>
        <w:t xml:space="preserve"> (</w:t>
      </w:r>
      <w:r>
        <w:rPr>
          <w:rFonts w:ascii="David" w:hAnsi="David"/>
          <w:i/>
          <w:color w:val="3B3B3B"/>
        </w:rPr>
        <w:t>תפילה</w:t>
      </w:r>
      <w:r>
        <w:rPr>
          <w:i/>
          <w:color w:val="3B3B3B"/>
        </w:rPr>
        <w:t xml:space="preserve">) itself; the architecture of the </w:t>
      </w:r>
      <w:r>
        <w:rPr>
          <w:i/>
          <w:color w:val="3B3B3B"/>
        </w:rPr>
        <w:t>nusach</w:t>
      </w:r>
      <w:r>
        <w:rPr>
          <w:i/>
          <w:color w:val="3B3B3B"/>
        </w:rPr>
        <w:t xml:space="preserve"> (</w:t>
      </w:r>
      <w:r>
        <w:rPr>
          <w:rFonts w:ascii="David" w:hAnsi="David"/>
          <w:i/>
          <w:color w:val="3B3B3B"/>
        </w:rPr>
        <w:t>נוסח</w:t>
      </w:r>
      <w:r>
        <w:rPr>
          <w:i/>
          <w:color w:val="3B3B3B"/>
        </w:rPr>
        <w:t xml:space="preserve">) with the insertion of </w:t>
      </w:r>
      <w:r>
        <w:rPr>
          <w:i/>
          <w:color w:val="3B3B3B"/>
        </w:rPr>
        <w:t>David HaMelech</w:t>
      </w:r>
      <w:r>
        <w:rPr>
          <w:i/>
          <w:color w:val="3B3B3B"/>
        </w:rPr>
        <w:t xml:space="preserve">’s </w:t>
      </w:r>
      <w:r>
        <w:rPr>
          <w:i/>
          <w:color w:val="3B3B3B"/>
        </w:rPr>
        <w:t>pasuk</w:t>
      </w:r>
      <w:r>
        <w:rPr>
          <w:i/>
          <w:color w:val="3B3B3B"/>
        </w:rPr>
        <w:t xml:space="preserve">; the </w:t>
      </w:r>
      <w:r>
        <w:rPr>
          <w:i/>
          <w:color w:val="3B3B3B"/>
        </w:rPr>
        <w:t>Rosh</w:t>
      </w:r>
      <w:r>
        <w:rPr>
          <w:i/>
          <w:color w:val="3B3B3B"/>
        </w:rPr>
        <w:t>/</w:t>
      </w:r>
      <w:r>
        <w:rPr>
          <w:i/>
          <w:color w:val="3B3B3B"/>
        </w:rPr>
        <w:t>Arizal</w:t>
      </w:r>
      <w:r>
        <w:rPr>
          <w:i/>
          <w:color w:val="3B3B3B"/>
        </w:rPr>
        <w:t xml:space="preserve"> dispute over </w:t>
      </w:r>
      <w:r>
        <w:rPr>
          <w:i/>
          <w:color w:val="3B3B3B"/>
        </w:rPr>
        <w:t>“l’umasam meshabchim v’omrim”</w:t>
      </w:r>
      <w:r>
        <w:rPr>
          <w:i/>
          <w:color w:val="3B3B3B"/>
        </w:rPr>
        <w:t xml:space="preserve">; the practices of jumping, trembling, and gazing upward; the mystical romance depicted in </w:t>
      </w:r>
      <w:r>
        <w:rPr>
          <w:i/>
          <w:color w:val="3B3B3B"/>
        </w:rPr>
        <w:t>Pirkei Heichalos</w:t>
      </w:r>
      <w:r>
        <w:rPr>
          <w:i/>
          <w:color w:val="3B3B3B"/>
        </w:rPr>
        <w:t xml:space="preserve">; the biography of </w:t>
      </w:r>
      <w:r>
        <w:rPr>
          <w:i/>
          <w:color w:val="3B3B3B"/>
        </w:rPr>
        <w:t>Rabbeinu Kalonymus HaZakein</w:t>
      </w:r>
      <w:r>
        <w:rPr>
          <w:i/>
          <w:color w:val="3B3B3B"/>
        </w:rPr>
        <w:t xml:space="preserve"> from the Crusades through the burial in the </w:t>
      </w:r>
      <w:r>
        <w:rPr>
          <w:i/>
          <w:color w:val="3B3B3B"/>
        </w:rPr>
        <w:t>mikveh</w:t>
      </w:r>
      <w:r>
        <w:rPr>
          <w:i/>
          <w:color w:val="3B3B3B"/>
        </w:rPr>
        <w:t xml:space="preserve">; and the letter of </w:t>
      </w:r>
      <w:r>
        <w:rPr>
          <w:i/>
          <w:color w:val="3B3B3B"/>
        </w:rPr>
        <w:t>Rav Pirkoi ben Baboi</w:t>
      </w:r>
      <w:r>
        <w:rPr>
          <w:i/>
          <w:color w:val="3B3B3B"/>
        </w:rPr>
        <w:t xml:space="preserve">, recovered only in the Cairo Geniza, that reframes the ancient </w:t>
      </w:r>
      <w:r>
        <w:rPr>
          <w:i/>
          <w:color w:val="3B3B3B"/>
        </w:rPr>
        <w:t>Bnei Eretz Yisrael</w:t>
      </w:r>
      <w:r>
        <w:rPr>
          <w:i/>
          <w:color w:val="3B3B3B"/>
        </w:rPr>
        <w:t xml:space="preserve"> practice of </w:t>
      </w:r>
      <w:r>
        <w:rPr>
          <w:i/>
          <w:color w:val="3B3B3B"/>
        </w:rPr>
        <w:t>Shabbos</w:t>
      </w:r>
      <w:r>
        <w:rPr>
          <w:i/>
          <w:color w:val="3B3B3B"/>
        </w:rPr>
        <w:t xml:space="preserve">-only </w:t>
      </w:r>
      <w:r>
        <w:rPr>
          <w:i/>
          <w:color w:val="3B3B3B"/>
        </w:rPr>
        <w:t>Kedushah</w:t>
      </w:r>
      <w:r>
        <w:rPr>
          <w:i/>
          <w:color w:val="3B3B3B"/>
        </w:rPr>
        <w:t xml:space="preserve"> as a relic of persecution rather than a </w:t>
      </w:r>
      <w:r>
        <w:rPr>
          <w:i/>
          <w:color w:val="3B3B3B"/>
        </w:rPr>
        <w:t>minhag</w:t>
      </w:r>
      <w:r>
        <w:rPr>
          <w:i/>
          <w:color w:val="3B3B3B"/>
        </w:rPr>
        <w:t xml:space="preserve"> to be preserved.</w:t>
      </w:r>
    </w:p>
    <w:p>
      <w:r>
        <w:rPr>
          <w:b/>
          <w:color w:val="1E3A8A"/>
          <w:sz w:val="26"/>
        </w:rPr>
        <w:t>I. THE WHOLE MONTH OF NISSAN AS YOM TOV</w:t>
      </w:r>
    </w:p>
    <w:p>
      <w:pPr>
        <w:pBdr>
          <w:bottom w:val="single" w:sz="6" w:space="1" w:color="B8860B"/>
        </w:pBdr>
      </w:pPr>
    </w:p>
    <w:p>
      <w:r>
        <w:rPr>
          <w:i/>
          <w:color w:val="B8860B"/>
          <w:sz w:val="24"/>
        </w:rPr>
        <w:t>Rosh Chodesh Nissan and its Extension</w:t>
      </w:r>
    </w:p>
    <w:p>
      <w:r>
        <w:rPr>
          <w:i/>
        </w:rPr>
        <w:t>Rosh Chodesh Nissan</w:t>
      </w:r>
      <w:r>
        <w:t xml:space="preserve"> (</w:t>
      </w:r>
      <w:r>
        <w:rPr>
          <w:rFonts w:ascii="David" w:hAnsi="David"/>
        </w:rPr>
        <w:t>ראש חודש ניסן</w:t>
      </w:r>
      <w:r>
        <w:t xml:space="preserve">) is not merely one day of festive weight but the doorway into a full month bearing the sanctity of the day. The </w:t>
      </w:r>
      <w:r>
        <w:rPr>
          <w:i/>
        </w:rPr>
        <w:t>Shefa Kodesh</w:t>
      </w:r>
      <w:r>
        <w:t xml:space="preserve"> (</w:t>
      </w:r>
      <w:r>
        <w:rPr>
          <w:rFonts w:ascii="David" w:hAnsi="David"/>
        </w:rPr>
        <w:t>שפע קודש</w:t>
      </w:r>
      <w:r>
        <w:t>)</w:t>
      </w:r>
      <w:r>
        <w:rPr>
          <w:color w:val="B8860B"/>
          <w:sz w:val="16"/>
          <w:vertAlign w:val="superscript"/>
        </w:rPr>
        <w:t>[27]</w:t>
      </w:r>
      <w:r>
        <w:t xml:space="preserve"> develops the doctrine that the entire month of </w:t>
      </w:r>
      <w:r>
        <w:rPr>
          <w:i/>
        </w:rPr>
        <w:t>Nissan</w:t>
      </w:r>
      <w:r>
        <w:t xml:space="preserve"> (</w:t>
      </w:r>
      <w:r>
        <w:rPr>
          <w:rFonts w:ascii="David" w:hAnsi="David"/>
        </w:rPr>
        <w:t>ניסן</w:t>
      </w:r>
      <w:r>
        <w:t xml:space="preserve">) — anchored by </w:t>
      </w:r>
      <w:r>
        <w:rPr>
          <w:i/>
        </w:rPr>
        <w:t>Pesach</w:t>
      </w:r>
      <w:r>
        <w:t xml:space="preserve"> (</w:t>
      </w:r>
      <w:r>
        <w:rPr>
          <w:rFonts w:ascii="David" w:hAnsi="David"/>
        </w:rPr>
        <w:t>פסח</w:t>
      </w:r>
      <w:r>
        <w:t xml:space="preserve">) and the redemption from </w:t>
      </w:r>
      <w:r>
        <w:rPr>
          <w:i/>
        </w:rPr>
        <w:t>Mitzrayim</w:t>
      </w:r>
      <w:r>
        <w:t xml:space="preserve"> (</w:t>
      </w:r>
      <w:r>
        <w:rPr>
          <w:rFonts w:ascii="David" w:hAnsi="David"/>
        </w:rPr>
        <w:t>מצרים</w:t>
      </w:r>
      <w:r>
        <w:t xml:space="preserve">) — carries the </w:t>
      </w:r>
      <w:r>
        <w:rPr>
          <w:i/>
        </w:rPr>
        <w:t>kedushah</w:t>
      </w:r>
      <w:r>
        <w:t xml:space="preserve"> of </w:t>
      </w:r>
      <w:r>
        <w:rPr>
          <w:i/>
        </w:rPr>
        <w:t>Rosh Chodesh</w:t>
      </w:r>
      <w:r>
        <w:t xml:space="preserve"> throughout, and this teaching stands behind the well-established practice of omitting </w:t>
      </w:r>
      <w:r>
        <w:rPr>
          <w:i/>
        </w:rPr>
        <w:t>tachanun</w:t>
      </w:r>
      <w:r>
        <w:t xml:space="preserve"> (</w:t>
      </w:r>
      <w:r>
        <w:rPr>
          <w:rFonts w:ascii="David" w:hAnsi="David"/>
        </w:rPr>
        <w:t>תחנון</w:t>
      </w:r>
      <w:r>
        <w:t xml:space="preserve">) the entire month and of maintaining a broadly festive demeanor. The foundation lies in the </w:t>
      </w:r>
      <w:r>
        <w:rPr>
          <w:i/>
        </w:rPr>
        <w:t>Gemara</w:t>
      </w:r>
      <w:r>
        <w:t xml:space="preserve"> in </w:t>
      </w:r>
      <w:r>
        <w:rPr>
          <w:i/>
        </w:rPr>
        <w:t>Shevuos</w:t>
      </w:r>
      <w:r>
        <w:t>,</w:t>
      </w:r>
      <w:r>
        <w:rPr>
          <w:color w:val="B8860B"/>
          <w:sz w:val="16"/>
          <w:vertAlign w:val="superscript"/>
        </w:rPr>
        <w:t>[2]</w:t>
      </w:r>
      <w:r>
        <w:t xml:space="preserve"> which derives that </w:t>
      </w:r>
      <w:r>
        <w:rPr>
          <w:i/>
        </w:rPr>
        <w:t>Rosh Chodesh</w:t>
      </w:r>
      <w:r>
        <w:t xml:space="preserve"> is included in the </w:t>
      </w:r>
      <w:r>
        <w:rPr>
          <w:i/>
        </w:rPr>
        <w:t>Torah</w:t>
      </w:r>
      <w:r>
        <w:t xml:space="preserve">’s designation </w:t>
      </w:r>
      <w:r>
        <w:rPr>
          <w:i/>
        </w:rPr>
        <w:t>“mo’ed”</w:t>
      </w:r>
      <w:r>
        <w:t xml:space="preserve"> (</w:t>
      </w:r>
      <w:r>
        <w:rPr>
          <w:rFonts w:ascii="David" w:hAnsi="David"/>
        </w:rPr>
        <w:t>מועד</w:t>
      </w:r>
      <w:r>
        <w:t xml:space="preserve">): </w:t>
      </w:r>
      <w:r>
        <w:rPr>
          <w:i/>
        </w:rPr>
        <w:t>“Rosh Chodesh ikri mo’ed”</w:t>
      </w:r>
      <w:r>
        <w:t xml:space="preserve"> (</w:t>
      </w:r>
      <w:r>
        <w:rPr>
          <w:rFonts w:ascii="David" w:hAnsi="David"/>
        </w:rPr>
        <w:t>ראש חודש איקרי מועד</w:t>
      </w:r>
      <w:r>
        <w:t xml:space="preserve">) — the day is subject to the framework of </w:t>
      </w:r>
      <w:r>
        <w:rPr>
          <w:i/>
        </w:rPr>
        <w:t>Yom Tov</w:t>
      </w:r>
      <w:r>
        <w:t xml:space="preserve"> in defined respects, and this classification is what the </w:t>
      </w:r>
      <w:r>
        <w:rPr>
          <w:i/>
        </w:rPr>
        <w:t>Shefa Kodesh</w:t>
      </w:r>
      <w:r>
        <w:t xml:space="preserve"> extends across the whole of the month.</w:t>
      </w:r>
    </w:p>
    <w:p>
      <w:r>
        <w:rPr>
          <w:i/>
          <w:color w:val="B8860B"/>
          <w:sz w:val="24"/>
        </w:rPr>
        <w:t>Gehinnom Closed for the Month</w:t>
      </w:r>
    </w:p>
    <w:p>
      <w:r>
        <w:t xml:space="preserve">The </w:t>
      </w:r>
      <w:r>
        <w:rPr>
          <w:i/>
        </w:rPr>
        <w:t>Mordechai</w:t>
      </w:r>
      <w:r>
        <w:t xml:space="preserve"> (</w:t>
      </w:r>
      <w:r>
        <w:rPr>
          <w:rFonts w:ascii="David" w:hAnsi="David"/>
        </w:rPr>
        <w:t>מרדכי</w:t>
      </w:r>
      <w:r>
        <w:t xml:space="preserve">) on </w:t>
      </w:r>
      <w:r>
        <w:rPr>
          <w:i/>
        </w:rPr>
        <w:t>Maseches Pesachim</w:t>
      </w:r>
      <w:r>
        <w:rPr>
          <w:color w:val="B8860B"/>
          <w:sz w:val="16"/>
          <w:vertAlign w:val="superscript"/>
        </w:rPr>
        <w:t>[1]</w:t>
      </w:r>
      <w:r>
        <w:t xml:space="preserve"> teaches that just as </w:t>
      </w:r>
      <w:r>
        <w:rPr>
          <w:i/>
        </w:rPr>
        <w:t>Gehinnom</w:t>
      </w:r>
      <w:r>
        <w:t xml:space="preserve"> (</w:t>
      </w:r>
      <w:r>
        <w:rPr>
          <w:rFonts w:ascii="David" w:hAnsi="David"/>
        </w:rPr>
        <w:t>גהינום</w:t>
      </w:r>
      <w:r>
        <w:t xml:space="preserve">) is closed on </w:t>
      </w:r>
      <w:r>
        <w:rPr>
          <w:i/>
        </w:rPr>
        <w:t>Shabbos</w:t>
      </w:r>
      <w:r>
        <w:t xml:space="preserve">, so too it is closed on </w:t>
      </w:r>
      <w:r>
        <w:rPr>
          <w:i/>
        </w:rPr>
        <w:t>Rosh Chodesh</w:t>
      </w:r>
      <w:r>
        <w:t xml:space="preserve">. This ruling has a concrete halachic footprint. At </w:t>
      </w:r>
      <w:r>
        <w:rPr>
          <w:i/>
        </w:rPr>
        <w:t>Minchah</w:t>
      </w:r>
      <w:r>
        <w:t xml:space="preserve"> of </w:t>
      </w:r>
      <w:r>
        <w:rPr>
          <w:i/>
        </w:rPr>
        <w:t>Shabbos</w:t>
      </w:r>
      <w:r>
        <w:t xml:space="preserve"> the </w:t>
      </w:r>
      <w:r>
        <w:rPr>
          <w:i/>
        </w:rPr>
        <w:t>tzibbur</w:t>
      </w:r>
      <w:r>
        <w:t xml:space="preserve"> recites </w:t>
      </w:r>
      <w:r>
        <w:rPr>
          <w:i/>
        </w:rPr>
        <w:t>“Tzidkascha Tzedek”</w:t>
      </w:r>
      <w:r>
        <w:t xml:space="preserve"> (</w:t>
      </w:r>
      <w:r>
        <w:rPr>
          <w:rFonts w:ascii="David" w:hAnsi="David"/>
        </w:rPr>
        <w:t>צדקתך צדק</w:t>
      </w:r>
      <w:r>
        <w:t xml:space="preserve">) as a plea that the </w:t>
      </w:r>
      <w:r>
        <w:rPr>
          <w:i/>
        </w:rPr>
        <w:t>din</w:t>
      </w:r>
      <w:r>
        <w:t xml:space="preserve"> of the </w:t>
      </w:r>
      <w:r>
        <w:rPr>
          <w:i/>
        </w:rPr>
        <w:t>neshamos</w:t>
      </w:r>
      <w:r>
        <w:t xml:space="preserve"> waiting to re-enter </w:t>
      </w:r>
      <w:r>
        <w:rPr>
          <w:i/>
        </w:rPr>
        <w:t>Gehinnom</w:t>
      </w:r>
      <w:r>
        <w:t xml:space="preserve"> be delayed; on a </w:t>
      </w:r>
      <w:r>
        <w:rPr>
          <w:i/>
        </w:rPr>
        <w:t>Shabbos</w:t>
      </w:r>
      <w:r>
        <w:t xml:space="preserve"> that falls on </w:t>
      </w:r>
      <w:r>
        <w:rPr>
          <w:i/>
        </w:rPr>
        <w:t>Erev Rosh Chodesh</w:t>
      </w:r>
      <w:r>
        <w:t xml:space="preserve">, however, </w:t>
      </w:r>
      <w:r>
        <w:rPr>
          <w:i/>
        </w:rPr>
        <w:t>“Tzidkascha Tzedek”</w:t>
      </w:r>
      <w:r>
        <w:t xml:space="preserve"> is omitted — the </w:t>
      </w:r>
      <w:r>
        <w:rPr>
          <w:i/>
        </w:rPr>
        <w:t>neshamos</w:t>
      </w:r>
      <w:r>
        <w:t xml:space="preserve"> require no extension, since </w:t>
      </w:r>
      <w:r>
        <w:rPr>
          <w:i/>
        </w:rPr>
        <w:t>Gehinnom</w:t>
      </w:r>
      <w:r>
        <w:t xml:space="preserve"> remains closed on </w:t>
      </w:r>
      <w:r>
        <w:rPr>
          <w:i/>
        </w:rPr>
        <w:t>Rosh Chodesh</w:t>
      </w:r>
      <w:r>
        <w:t xml:space="preserve"> as well. The </w:t>
      </w:r>
      <w:r>
        <w:rPr>
          <w:i/>
        </w:rPr>
        <w:t>Mordechai</w:t>
      </w:r>
      <w:r>
        <w:t xml:space="preserve">’s extension is that this closure persists throughout the entire month of </w:t>
      </w:r>
      <w:r>
        <w:rPr>
          <w:i/>
        </w:rPr>
        <w:t>Nissan</w:t>
      </w:r>
      <w:r>
        <w:t xml:space="preserve">, and this extension grounds the broader festive treatment of the month. From the </w:t>
      </w:r>
      <w:r>
        <w:rPr>
          <w:i/>
        </w:rPr>
        <w:t>Mordechai</w:t>
      </w:r>
      <w:r>
        <w:t xml:space="preserve">’s own life a further weight adheres to the ruling: </w:t>
      </w:r>
      <w:r>
        <w:rPr>
          <w:i/>
        </w:rPr>
        <w:t>Rabbeinu Mordechai ben Hillel Ashkenazi</w:t>
      </w:r>
      <w:r>
        <w:t xml:space="preserve">, </w:t>
      </w:r>
      <w:r>
        <w:rPr>
          <w:i/>
        </w:rPr>
        <w:t>talmid</w:t>
      </w:r>
      <w:r>
        <w:t xml:space="preserve"> of the </w:t>
      </w:r>
      <w:r>
        <w:rPr>
          <w:i/>
        </w:rPr>
        <w:t>Maharam MiRotenburg</w:t>
      </w:r>
      <w:r>
        <w:t xml:space="preserve">, was himself killed </w:t>
      </w:r>
      <w:r>
        <w:rPr>
          <w:i/>
        </w:rPr>
        <w:t>al Kiddush Hashem</w:t>
      </w:r>
      <w:r>
        <w:t xml:space="preserve"> in the Rindfleisch massacres of 1298.</w:t>
      </w:r>
    </w:p>
    <w:p>
      <w:r>
        <w:rPr>
          <w:i/>
          <w:color w:val="B8860B"/>
          <w:sz w:val="24"/>
        </w:rPr>
        <w:t>The Gra’s Shabbos Hat on Rosh Chodesh</w:t>
      </w:r>
    </w:p>
    <w:p>
      <w:r>
        <w:t xml:space="preserve">A related </w:t>
      </w:r>
      <w:r>
        <w:rPr>
          <w:i/>
        </w:rPr>
        <w:t>minhag</w:t>
      </w:r>
      <w:r>
        <w:t xml:space="preserve"> preserved in the </w:t>
      </w:r>
      <w:r>
        <w:rPr>
          <w:i/>
        </w:rPr>
        <w:t>Ma’aseh Rav</w:t>
      </w:r>
      <w:r>
        <w:t xml:space="preserve">: the </w:t>
      </w:r>
      <w:r>
        <w:rPr>
          <w:i/>
        </w:rPr>
        <w:t>Gra</w:t>
      </w:r>
      <w:r>
        <w:t xml:space="preserve"> (</w:t>
      </w:r>
      <w:r>
        <w:rPr>
          <w:rFonts w:ascii="David" w:hAnsi="David"/>
        </w:rPr>
        <w:t>גר"א</w:t>
      </w:r>
      <w:r>
        <w:t xml:space="preserve">) wore his </w:t>
      </w:r>
      <w:r>
        <w:rPr>
          <w:i/>
        </w:rPr>
        <w:t>Shabbos</w:t>
      </w:r>
      <w:r>
        <w:t xml:space="preserve"> hat — a </w:t>
      </w:r>
      <w:r>
        <w:rPr>
          <w:i/>
        </w:rPr>
        <w:t>spodik</w:t>
      </w:r>
      <w:r>
        <w:t xml:space="preserve"> (</w:t>
      </w:r>
      <w:r>
        <w:rPr>
          <w:rFonts w:ascii="David" w:hAnsi="David"/>
        </w:rPr>
        <w:t>ספודיק</w:t>
      </w:r>
      <w:r>
        <w:t xml:space="preserve">) in the </w:t>
      </w:r>
      <w:r>
        <w:rPr>
          <w:i/>
        </w:rPr>
        <w:t>levush</w:t>
      </w:r>
      <w:r>
        <w:t xml:space="preserve"> of his time and place — on </w:t>
      </w:r>
      <w:r>
        <w:rPr>
          <w:i/>
        </w:rPr>
        <w:t>Rosh Chodesh</w:t>
      </w:r>
      <w:r>
        <w:t xml:space="preserve">, but did not change into the remainder of his </w:t>
      </w:r>
      <w:r>
        <w:rPr>
          <w:i/>
        </w:rPr>
        <w:t>bigdei Shabbos</w:t>
      </w:r>
      <w:r>
        <w:t>.</w:t>
      </w:r>
      <w:r>
        <w:rPr>
          <w:color w:val="B8860B"/>
          <w:sz w:val="16"/>
          <w:vertAlign w:val="superscript"/>
        </w:rPr>
        <w:t>[28]</w:t>
      </w:r>
      <w:r>
        <w:t xml:space="preserve"> The reasoning preserved by his </w:t>
      </w:r>
      <w:r>
        <w:rPr>
          <w:i/>
        </w:rPr>
        <w:t>talmidim</w:t>
      </w:r>
      <w:r>
        <w:t xml:space="preserve">: </w:t>
      </w:r>
      <w:r>
        <w:rPr>
          <w:i/>
        </w:rPr>
        <w:t>Rosh Chodesh</w:t>
      </w:r>
      <w:r>
        <w:t xml:space="preserve"> is </w:t>
      </w:r>
      <w:r>
        <w:rPr>
          <w:i/>
        </w:rPr>
        <w:t>Yom Tov</w:t>
      </w:r>
      <w:r>
        <w:t xml:space="preserve"> in </w:t>
      </w:r>
      <w:r>
        <w:rPr>
          <w:i/>
        </w:rPr>
        <w:t>kedushah</w:t>
      </w:r>
      <w:r>
        <w:t xml:space="preserve"> but </w:t>
      </w:r>
      <w:r>
        <w:rPr>
          <w:i/>
        </w:rPr>
        <w:t>muttar bi’melachah</w:t>
      </w:r>
      <w:r>
        <w:t xml:space="preserve"> (</w:t>
      </w:r>
      <w:r>
        <w:rPr>
          <w:rFonts w:ascii="David" w:hAnsi="David"/>
        </w:rPr>
        <w:t>מותר במלאכה</w:t>
      </w:r>
      <w:r>
        <w:t xml:space="preserve">). The </w:t>
      </w:r>
      <w:r>
        <w:rPr>
          <w:i/>
        </w:rPr>
        <w:t>neshamah</w:t>
      </w:r>
      <w:r>
        <w:t xml:space="preserve"> (</w:t>
      </w:r>
      <w:r>
        <w:rPr>
          <w:rFonts w:ascii="David" w:hAnsi="David"/>
        </w:rPr>
        <w:t>נשמה</w:t>
      </w:r>
      <w:r>
        <w:t xml:space="preserve">) experiences the full </w:t>
      </w:r>
      <w:r>
        <w:rPr>
          <w:i/>
        </w:rPr>
        <w:t>Yom Tov</w:t>
      </w:r>
      <w:r>
        <w:t xml:space="preserve">; the body does not, since ordinary </w:t>
      </w:r>
      <w:r>
        <w:rPr>
          <w:i/>
        </w:rPr>
        <w:t>melachah</w:t>
      </w:r>
      <w:r>
        <w:t xml:space="preserve"> proceeds. </w:t>
      </w:r>
      <w:r>
        <w:rPr>
          <w:i/>
        </w:rPr>
        <w:t>Kedushah</w:t>
      </w:r>
      <w:r>
        <w:t xml:space="preserve"> is </w:t>
      </w:r>
      <w:r>
        <w:rPr>
          <w:i/>
        </w:rPr>
        <w:t>l’maalah</w:t>
      </w:r>
      <w:r>
        <w:t xml:space="preserve"> (</w:t>
      </w:r>
      <w:r>
        <w:rPr>
          <w:rFonts w:ascii="David" w:hAnsi="David"/>
        </w:rPr>
        <w:t>למעלה</w:t>
      </w:r>
      <w:r>
        <w:t xml:space="preserve">) — in the head, the seat of the </w:t>
      </w:r>
      <w:r>
        <w:rPr>
          <w:i/>
        </w:rPr>
        <w:t>neshamah</w:t>
      </w:r>
      <w:r>
        <w:t xml:space="preserve"> — and so the head wears the </w:t>
      </w:r>
      <w:r>
        <w:rPr>
          <w:i/>
        </w:rPr>
        <w:t>Shabbos</w:t>
      </w:r>
      <w:r>
        <w:t xml:space="preserve"> hat while the rest of the body does not. The </w:t>
      </w:r>
      <w:r>
        <w:rPr>
          <w:i/>
        </w:rPr>
        <w:t>Shulchan Aruch</w:t>
      </w:r>
      <w:r>
        <w:t xml:space="preserve"> in </w:t>
      </w:r>
      <w:r>
        <w:rPr>
          <w:i/>
        </w:rPr>
        <w:t>Orach Chaim siman</w:t>
      </w:r>
      <w:r>
        <w:t xml:space="preserve"> </w:t>
      </w:r>
      <w:r>
        <w:rPr>
          <w:rFonts w:ascii="David" w:hAnsi="David"/>
        </w:rPr>
        <w:t>תי"ט</w:t>
      </w:r>
      <w:r>
        <w:t xml:space="preserve"> records the broader </w:t>
      </w:r>
      <w:r>
        <w:rPr>
          <w:i/>
        </w:rPr>
        <w:t>minhag</w:t>
      </w:r>
      <w:r>
        <w:t xml:space="preserve"> to wear at least some </w:t>
      </w:r>
      <w:r>
        <w:rPr>
          <w:i/>
        </w:rPr>
        <w:t>bigdei Shabbos</w:t>
      </w:r>
      <w:r>
        <w:t xml:space="preserve"> on </w:t>
      </w:r>
      <w:r>
        <w:rPr>
          <w:i/>
        </w:rPr>
        <w:t>Rosh Chodesh</w:t>
      </w:r>
      <w:r>
        <w:t xml:space="preserve">, and it is a </w:t>
      </w:r>
      <w:r>
        <w:rPr>
          <w:i/>
        </w:rPr>
        <w:t>ma’alah</w:t>
      </w:r>
      <w:r>
        <w:t xml:space="preserve"> to accustom children to this practice from a young age.</w:t>
      </w:r>
    </w:p>
    <w:p>
      <w:r>
        <w:rPr>
          <w:b/>
          <w:color w:val="1E3A8A"/>
          <w:sz w:val="26"/>
        </w:rPr>
        <w:t>II. THE PURPOSE OF CHAZARAS HASHATZ</w:t>
      </w:r>
    </w:p>
    <w:p>
      <w:pPr>
        <w:pBdr>
          <w:bottom w:val="single" w:sz="6" w:space="1" w:color="B8860B"/>
        </w:pBdr>
      </w:pPr>
    </w:p>
    <w:p>
      <w:r>
        <w:t xml:space="preserve">The received explanation for </w:t>
      </w:r>
      <w:r>
        <w:rPr>
          <w:i/>
        </w:rPr>
        <w:t>chazaras ha’shatz</w:t>
      </w:r>
      <w:r>
        <w:t xml:space="preserve"> (</w:t>
      </w:r>
      <w:r>
        <w:rPr>
          <w:rFonts w:ascii="David" w:hAnsi="David"/>
        </w:rPr>
        <w:t>חזרת הש"ץ</w:t>
      </w:r>
      <w:r>
        <w:t xml:space="preserve">) in every </w:t>
      </w:r>
      <w:r>
        <w:rPr>
          <w:i/>
        </w:rPr>
        <w:t>tefillah</w:t>
      </w:r>
      <w:r>
        <w:t xml:space="preserve"> other than </w:t>
      </w:r>
      <w:r>
        <w:rPr>
          <w:i/>
        </w:rPr>
        <w:t>Ma’ariv</w:t>
      </w:r>
      <w:r>
        <w:t xml:space="preserve"> is well known: in earlier generations, not every member of the </w:t>
      </w:r>
      <w:r>
        <w:rPr>
          <w:i/>
        </w:rPr>
        <w:t>tzibbur</w:t>
      </w:r>
      <w:r>
        <w:t xml:space="preserve"> was able to daven the </w:t>
      </w:r>
      <w:r>
        <w:rPr>
          <w:i/>
        </w:rPr>
        <w:t>Shemoneh Esrei</w:t>
      </w:r>
      <w:r>
        <w:t xml:space="preserve"> on his own. There were no </w:t>
      </w:r>
      <w:r>
        <w:rPr>
          <w:i/>
        </w:rPr>
        <w:t>siddurim</w:t>
      </w:r>
      <w:r>
        <w:t xml:space="preserve">, many could not read, and the </w:t>
      </w:r>
      <w:r>
        <w:rPr>
          <w:i/>
        </w:rPr>
        <w:t>chazarah</w:t>
      </w:r>
      <w:r>
        <w:t xml:space="preserve"> made it possible for the </w:t>
      </w:r>
      <w:r>
        <w:rPr>
          <w:i/>
        </w:rPr>
        <w:t>am ha’aretz</w:t>
      </w:r>
      <w:r>
        <w:t xml:space="preserve"> (</w:t>
      </w:r>
      <w:r>
        <w:rPr>
          <w:rFonts w:ascii="David" w:hAnsi="David"/>
        </w:rPr>
        <w:t>עם הארץ</w:t>
      </w:r>
      <w:r>
        <w:t xml:space="preserve">) to be </w:t>
      </w:r>
      <w:r>
        <w:rPr>
          <w:i/>
        </w:rPr>
        <w:t>yotzei</w:t>
      </w:r>
      <w:r>
        <w:t xml:space="preserve"> by answering </w:t>
      </w:r>
      <w:r>
        <w:rPr>
          <w:i/>
        </w:rPr>
        <w:t>amen</w:t>
      </w:r>
      <w:r>
        <w:t xml:space="preserve"> to each of the </w:t>
      </w:r>
      <w:r>
        <w:rPr>
          <w:i/>
        </w:rPr>
        <w:t>brachos</w:t>
      </w:r>
      <w:r>
        <w:t xml:space="preserve">. The category of </w:t>
      </w:r>
      <w:r>
        <w:rPr>
          <w:i/>
        </w:rPr>
        <w:t>am ha’aretz</w:t>
      </w:r>
      <w:r>
        <w:t xml:space="preserve"> in the classical sense no longer describes the contemporary </w:t>
      </w:r>
      <w:r>
        <w:rPr>
          <w:i/>
        </w:rPr>
        <w:t>kehillah</w:t>
      </w:r>
      <w:r>
        <w:t xml:space="preserve"> — nor, one must acknowledge, does the classical </w:t>
      </w:r>
      <w:r>
        <w:rPr>
          <w:i/>
        </w:rPr>
        <w:t>din</w:t>
      </w:r>
      <w:r>
        <w:t xml:space="preserve"> of </w:t>
      </w:r>
      <w:r>
        <w:rPr>
          <w:i/>
        </w:rPr>
        <w:t>talmid chacham</w:t>
      </w:r>
      <w:r>
        <w:t xml:space="preserve"> apply with its historic force. The current mispallel occupies a middle ground, and the historic function of the </w:t>
      </w:r>
      <w:r>
        <w:rPr>
          <w:i/>
        </w:rPr>
        <w:t>chazarah</w:t>
      </w:r>
      <w:r>
        <w:t xml:space="preserve"> now depends less on the literacy gap than on the deeper reason.</w:t>
      </w:r>
    </w:p>
    <w:p>
      <w:r>
        <w:t xml:space="preserve">Several </w:t>
      </w:r>
      <w:r>
        <w:rPr>
          <w:i/>
        </w:rPr>
        <w:t>Acharonim</w:t>
      </w:r>
      <w:r>
        <w:t xml:space="preserve"> identify that deeper reason as something else entirely: the </w:t>
      </w:r>
      <w:r>
        <w:rPr>
          <w:i/>
        </w:rPr>
        <w:t>chazarah</w:t>
      </w:r>
      <w:r>
        <w:t xml:space="preserve"> exists </w:t>
      </w:r>
      <w:r>
        <w:rPr>
          <w:i/>
        </w:rPr>
        <w:t>so that the</w:t>
      </w:r>
      <w:r>
        <w:t xml:space="preserve"> tzibbur </w:t>
      </w:r>
      <w:r>
        <w:rPr>
          <w:i/>
        </w:rPr>
        <w:t>can say</w:t>
      </w:r>
      <w:r>
        <w:t xml:space="preserve"> Kedushah. The whole institution of </w:t>
      </w:r>
      <w:r>
        <w:rPr>
          <w:i/>
        </w:rPr>
        <w:t>chazaras ha’shatz</w:t>
      </w:r>
      <w:r>
        <w:t xml:space="preserve"> — twice every weekday, three times on </w:t>
      </w:r>
      <w:r>
        <w:rPr>
          <w:i/>
        </w:rPr>
        <w:t>Shabbos</w:t>
      </w:r>
      <w:r>
        <w:t xml:space="preserve"> — is built around that single moment of the </w:t>
      </w:r>
      <w:r>
        <w:rPr>
          <w:i/>
        </w:rPr>
        <w:t>tzibbur</w:t>
      </w:r>
      <w:r>
        <w:t xml:space="preserve">’s </w:t>
      </w:r>
      <w:r>
        <w:rPr>
          <w:i/>
        </w:rPr>
        <w:t>Kedushah</w:t>
      </w:r>
      <w:r>
        <w:t xml:space="preserve">. This alone testifies to the centrality of the </w:t>
      </w:r>
      <w:r>
        <w:rPr>
          <w:i/>
        </w:rPr>
        <w:t>Kedushah</w:t>
      </w:r>
      <w:r>
        <w:t xml:space="preserve"> in the halachic and hashkafic architecture of the day.</w:t>
      </w:r>
    </w:p>
    <w:p>
      <w:r>
        <w:rPr>
          <w:b/>
          <w:color w:val="1E3A8A"/>
          <w:sz w:val="26"/>
        </w:rPr>
        <w:t>III. THE HALACHIC WEIGHT OF KEDUSHAH</w:t>
      </w:r>
    </w:p>
    <w:p>
      <w:pPr>
        <w:pBdr>
          <w:bottom w:val="single" w:sz="6" w:space="1" w:color="B8860B"/>
        </w:pBdr>
      </w:pPr>
    </w:p>
    <w:p>
      <w:r>
        <w:rPr>
          <w:i/>
          <w:color w:val="B8860B"/>
          <w:sz w:val="24"/>
        </w:rPr>
        <w:t>The Din of a Late Arrival</w:t>
      </w:r>
    </w:p>
    <w:p>
      <w:r>
        <w:t xml:space="preserve">The </w:t>
      </w:r>
      <w:r>
        <w:rPr>
          <w:i/>
        </w:rPr>
        <w:t>Gemara</w:t>
      </w:r>
      <w:r>
        <w:t xml:space="preserve"> in </w:t>
      </w:r>
      <w:r>
        <w:rPr>
          <w:i/>
        </w:rPr>
        <w:t>Berachos</w:t>
      </w:r>
      <w:r>
        <w:rPr>
          <w:color w:val="B8860B"/>
          <w:sz w:val="16"/>
          <w:vertAlign w:val="superscript"/>
        </w:rPr>
        <w:t>[3]</w:t>
      </w:r>
      <w:r>
        <w:t xml:space="preserve"> rules — and the </w:t>
      </w:r>
      <w:r>
        <w:rPr>
          <w:i/>
        </w:rPr>
        <w:t>Shulchan Aruch</w:t>
      </w:r>
      <w:r>
        <w:t xml:space="preserve"> in </w:t>
      </w:r>
      <w:r>
        <w:rPr>
          <w:i/>
        </w:rPr>
        <w:t>Orach Chaim siman kuf-tes</w:t>
      </w:r>
      <w:r>
        <w:rPr>
          <w:color w:val="B8860B"/>
          <w:sz w:val="16"/>
          <w:vertAlign w:val="superscript"/>
        </w:rPr>
        <w:t>[4]</w:t>
      </w:r>
      <w:r>
        <w:t xml:space="preserve"> codifies — that one who arrives at shul as the </w:t>
      </w:r>
      <w:r>
        <w:rPr>
          <w:i/>
        </w:rPr>
        <w:t>tzibbur</w:t>
      </w:r>
      <w:r>
        <w:t xml:space="preserve"> is approaching </w:t>
      </w:r>
      <w:r>
        <w:rPr>
          <w:i/>
        </w:rPr>
        <w:t>Kedushah</w:t>
      </w:r>
      <w:r>
        <w:t xml:space="preserve"> may not begin his private </w:t>
      </w:r>
      <w:r>
        <w:rPr>
          <w:i/>
        </w:rPr>
        <w:t>Shemoneh Esrei</w:t>
      </w:r>
      <w:r>
        <w:t xml:space="preserve"> until after the </w:t>
      </w:r>
      <w:r>
        <w:rPr>
          <w:i/>
        </w:rPr>
        <w:t>chazan</w:t>
      </w:r>
      <w:r>
        <w:t xml:space="preserve"> has said </w:t>
      </w:r>
      <w:r>
        <w:rPr>
          <w:i/>
        </w:rPr>
        <w:t>Kedushah</w:t>
      </w:r>
      <w:r>
        <w:t xml:space="preserve">, in order to answer </w:t>
      </w:r>
      <w:r>
        <w:rPr>
          <w:i/>
        </w:rPr>
        <w:t>“Kadosh, kadosh, kadosh”</w:t>
      </w:r>
      <w:r>
        <w:t xml:space="preserve"> (</w:t>
      </w:r>
      <w:r>
        <w:rPr>
          <w:rFonts w:ascii="David" w:hAnsi="David"/>
        </w:rPr>
        <w:t>קדוש קדוש קדוש</w:t>
      </w:r>
      <w:r>
        <w:t xml:space="preserve">) with the </w:t>
      </w:r>
      <w:r>
        <w:rPr>
          <w:i/>
        </w:rPr>
        <w:t>tzibbur</w:t>
      </w:r>
      <w:r>
        <w:t xml:space="preserve">. Even the individual’s </w:t>
      </w:r>
      <w:r>
        <w:rPr>
          <w:i/>
        </w:rPr>
        <w:t>tefillah b’tzibbur</w:t>
      </w:r>
      <w:r>
        <w:t xml:space="preserve"> defers to the </w:t>
      </w:r>
      <w:r>
        <w:rPr>
          <w:i/>
        </w:rPr>
        <w:t>Kedushah</w:t>
      </w:r>
      <w:r>
        <w:t xml:space="preserve"> — a striking measure of its rank within the structure of communal </w:t>
      </w:r>
      <w:r>
        <w:rPr>
          <w:i/>
        </w:rPr>
        <w:t>tefillah</w:t>
      </w:r>
      <w:r>
        <w:t>.</w:t>
      </w:r>
    </w:p>
    <w:p>
      <w:r>
        <w:rPr>
          <w:i/>
          <w:color w:val="B8860B"/>
          <w:sz w:val="24"/>
        </w:rPr>
        <w:t>The Aruch HaShulchan’s Tension</w:t>
      </w:r>
    </w:p>
    <w:p>
      <w:r>
        <w:t xml:space="preserve">Precisely for that reason the </w:t>
      </w:r>
      <w:r>
        <w:rPr>
          <w:i/>
        </w:rPr>
        <w:t>Aruch HaShulchan</w:t>
      </w:r>
      <w:r>
        <w:rPr>
          <w:color w:val="B8860B"/>
          <w:sz w:val="16"/>
          <w:vertAlign w:val="superscript"/>
        </w:rPr>
        <w:t>[5]</w:t>
      </w:r>
      <w:r>
        <w:t xml:space="preserve"> raises a structural tension. If </w:t>
      </w:r>
      <w:r>
        <w:rPr>
          <w:i/>
        </w:rPr>
        <w:t>Kedushah</w:t>
      </w:r>
      <w:r>
        <w:t xml:space="preserve"> is so central that </w:t>
      </w:r>
      <w:r>
        <w:rPr>
          <w:i/>
        </w:rPr>
        <w:t>Chazal</w:t>
      </w:r>
      <w:r>
        <w:t xml:space="preserve"> require the late arrival to delay his private </w:t>
      </w:r>
      <w:r>
        <w:rPr>
          <w:i/>
        </w:rPr>
        <w:t>Amidah</w:t>
      </w:r>
      <w:r>
        <w:t xml:space="preserve"> in order to catch it, what right does an ordinary mispallel — who is already davening with the </w:t>
      </w:r>
      <w:r>
        <w:rPr>
          <w:i/>
        </w:rPr>
        <w:t>tzibbur</w:t>
      </w:r>
      <w:r>
        <w:t xml:space="preserve"> — have to draw out his own </w:t>
      </w:r>
      <w:r>
        <w:rPr>
          <w:i/>
        </w:rPr>
        <w:t>Shemoneh Esrei</w:t>
      </w:r>
      <w:r>
        <w:t xml:space="preserve"> at such length that the </w:t>
      </w:r>
      <w:r>
        <w:rPr>
          <w:i/>
        </w:rPr>
        <w:t>chazan</w:t>
      </w:r>
      <w:r>
        <w:t xml:space="preserve"> reaches </w:t>
      </w:r>
      <w:r>
        <w:rPr>
          <w:i/>
        </w:rPr>
        <w:t>Kedushah</w:t>
      </w:r>
      <w:r>
        <w:t xml:space="preserve"> while the mispallel is still in his silent </w:t>
      </w:r>
      <w:r>
        <w:rPr>
          <w:i/>
        </w:rPr>
        <w:t>Amidah</w:t>
      </w:r>
      <w:r>
        <w:t xml:space="preserve">? The </w:t>
      </w:r>
      <w:r>
        <w:rPr>
          <w:i/>
        </w:rPr>
        <w:t>tzibbur</w:t>
      </w:r>
      <w:r>
        <w:t xml:space="preserve"> finishes in five or six minutes; the mispallel who lingers falls behind and forfeits participation in the </w:t>
      </w:r>
      <w:r>
        <w:rPr>
          <w:i/>
        </w:rPr>
        <w:t>tzibbur</w:t>
      </w:r>
      <w:r>
        <w:t xml:space="preserve">’s </w:t>
      </w:r>
      <w:r>
        <w:rPr>
          <w:i/>
        </w:rPr>
        <w:t>Kedushah</w:t>
      </w:r>
      <w:r>
        <w:t>.</w:t>
      </w:r>
    </w:p>
    <w:p>
      <w:r>
        <w:rPr>
          <w:i/>
        </w:rPr>
        <w:t>Le’halachah</w:t>
      </w:r>
      <w:r>
        <w:t>, the mispallel who finds himself mid-</w:t>
      </w:r>
      <w:r>
        <w:rPr>
          <w:i/>
        </w:rPr>
        <w:t>brachah</w:t>
      </w:r>
      <w:r>
        <w:t xml:space="preserve"> when the </w:t>
      </w:r>
      <w:r>
        <w:rPr>
          <w:i/>
        </w:rPr>
        <w:t>chazan</w:t>
      </w:r>
      <w:r>
        <w:t xml:space="preserve"> reaches </w:t>
      </w:r>
      <w:r>
        <w:rPr>
          <w:i/>
        </w:rPr>
        <w:t>Kedushah</w:t>
      </w:r>
      <w:r>
        <w:t xml:space="preserve"> may pause silently and have in mind what the </w:t>
      </w:r>
      <w:r>
        <w:rPr>
          <w:i/>
        </w:rPr>
        <w:t>chazan</w:t>
      </w:r>
      <w:r>
        <w:t xml:space="preserve"> says — this listening posture does not constitute </w:t>
      </w:r>
      <w:r>
        <w:rPr>
          <w:i/>
        </w:rPr>
        <w:t>hefsek</w:t>
      </w:r>
      <w:r>
        <w:t xml:space="preserve">. But the </w:t>
      </w:r>
      <w:r>
        <w:rPr>
          <w:i/>
        </w:rPr>
        <w:t>Aruch HaShulchan</w:t>
      </w:r>
      <w:r>
        <w:t xml:space="preserve"> does not offer this technical mechanism as his resolution. His answer is that </w:t>
      </w:r>
      <w:r>
        <w:rPr>
          <w:i/>
        </w:rPr>
        <w:t>Chazal</w:t>
      </w:r>
      <w:r>
        <w:t xml:space="preserve"> did not </w:t>
      </w:r>
      <w:r>
        <w:rPr>
          <w:i/>
        </w:rPr>
        <w:t>mechayev</w:t>
      </w:r>
      <w:r>
        <w:t xml:space="preserve"> the mispallel to truncate his </w:t>
      </w:r>
      <w:r>
        <w:rPr>
          <w:i/>
        </w:rPr>
        <w:t>Shemoneh Esrei</w:t>
      </w:r>
      <w:r>
        <w:t xml:space="preserve">. Where the mispallel is davening at length with genuine </w:t>
      </w:r>
      <w:r>
        <w:rPr>
          <w:i/>
        </w:rPr>
        <w:t>kavvanah</w:t>
      </w:r>
      <w:r>
        <w:t xml:space="preserve"> — </w:t>
      </w:r>
      <w:r>
        <w:rPr>
          <w:i/>
        </w:rPr>
        <w:t>“halevai!”</w:t>
      </w:r>
      <w:r>
        <w:t xml:space="preserve"> — the tension is real but not dispositive against extended </w:t>
      </w:r>
      <w:r>
        <w:rPr>
          <w:i/>
        </w:rPr>
        <w:t>kavvanah</w:t>
      </w:r>
      <w:r>
        <w:t xml:space="preserve">. The mispallel who is truly present in every </w:t>
      </w:r>
      <w:r>
        <w:rPr>
          <w:i/>
        </w:rPr>
        <w:t>brachah</w:t>
      </w:r>
      <w:r>
        <w:t xml:space="preserve"> is not required to sacrifice his </w:t>
      </w:r>
      <w:r>
        <w:rPr>
          <w:i/>
        </w:rPr>
        <w:t>Amidah</w:t>
      </w:r>
      <w:r>
        <w:t xml:space="preserve"> for the </w:t>
      </w:r>
      <w:r>
        <w:rPr>
          <w:i/>
        </w:rPr>
        <w:t>Kedushah</w:t>
      </w:r>
      <w:r>
        <w:t>, though every effort should be made to align the timing.</w:t>
      </w:r>
    </w:p>
    <w:p>
      <w:r>
        <w:rPr>
          <w:b/>
          <w:color w:val="1E3A8A"/>
          <w:sz w:val="26"/>
        </w:rPr>
        <w:t>IV. KLAL YISRAEL’S SHIRAH ABOVE THE MALACHIM’S</w:t>
      </w:r>
    </w:p>
    <w:p>
      <w:pPr>
        <w:pBdr>
          <w:bottom w:val="single" w:sz="6" w:space="1" w:color="B8860B"/>
        </w:pBdr>
      </w:pPr>
    </w:p>
    <w:p>
      <w:r>
        <w:t xml:space="preserve">The </w:t>
      </w:r>
      <w:r>
        <w:rPr>
          <w:i/>
        </w:rPr>
        <w:t>Gemara</w:t>
      </w:r>
      <w:r>
        <w:t xml:space="preserve"> in </w:t>
      </w:r>
      <w:r>
        <w:rPr>
          <w:i/>
        </w:rPr>
        <w:t>Chullin</w:t>
      </w:r>
      <w:r>
        <w:t xml:space="preserve"> tzadi-alef amud </w:t>
      </w:r>
      <w:r>
        <w:rPr>
          <w:i/>
        </w:rPr>
        <w:t>bais</w:t>
      </w:r>
      <w:r>
        <w:rPr>
          <w:color w:val="B8860B"/>
          <w:sz w:val="16"/>
          <w:vertAlign w:val="superscript"/>
        </w:rPr>
        <w:t>[6]</w:t>
      </w:r>
      <w:r>
        <w:t xml:space="preserve"> teaches a doctrine of remarkable force: the </w:t>
      </w:r>
      <w:r>
        <w:rPr>
          <w:i/>
        </w:rPr>
        <w:t>shirah</w:t>
      </w:r>
      <w:r>
        <w:t xml:space="preserve"> (</w:t>
      </w:r>
      <w:r>
        <w:rPr>
          <w:rFonts w:ascii="David" w:hAnsi="David"/>
        </w:rPr>
        <w:t>שירה</w:t>
      </w:r>
      <w:r>
        <w:t xml:space="preserve">) of </w:t>
      </w:r>
      <w:r>
        <w:rPr>
          <w:i/>
        </w:rPr>
        <w:t>Klal Yisrael</w:t>
      </w:r>
      <w:r>
        <w:t xml:space="preserve"> stands at a higher </w:t>
      </w:r>
      <w:r>
        <w:rPr>
          <w:i/>
        </w:rPr>
        <w:t>madreigah</w:t>
      </w:r>
      <w:r>
        <w:t xml:space="preserve"> than the </w:t>
      </w:r>
      <w:r>
        <w:rPr>
          <w:i/>
        </w:rPr>
        <w:t>shirah</w:t>
      </w:r>
      <w:r>
        <w:t xml:space="preserve"> of the </w:t>
      </w:r>
      <w:r>
        <w:rPr>
          <w:i/>
        </w:rPr>
        <w:t>malachei ha’shareis</w:t>
      </w:r>
      <w:r>
        <w:t xml:space="preserve"> (</w:t>
      </w:r>
      <w:r>
        <w:rPr>
          <w:rFonts w:ascii="David" w:hAnsi="David"/>
        </w:rPr>
        <w:t>מלאכי השרת</w:t>
      </w:r>
      <w:r>
        <w:t xml:space="preserve">). The </w:t>
      </w:r>
      <w:r>
        <w:rPr>
          <w:i/>
        </w:rPr>
        <w:t>sugya</w:t>
      </w:r>
      <w:r>
        <w:t xml:space="preserve"> substantiates this from two directions: the frequency of the </w:t>
      </w:r>
      <w:r>
        <w:rPr>
          <w:i/>
        </w:rPr>
        <w:t>Kedushah</w:t>
      </w:r>
      <w:r>
        <w:t xml:space="preserve"> and the intimacy of the pronunciation of the </w:t>
      </w:r>
      <w:r>
        <w:rPr>
          <w:i/>
        </w:rPr>
        <w:t>Shem</w:t>
      </w:r>
      <w:r>
        <w:t>.</w:t>
      </w:r>
    </w:p>
    <w:p>
      <w:r>
        <w:t xml:space="preserve">How often, the </w:t>
      </w:r>
      <w:r>
        <w:rPr>
          <w:i/>
        </w:rPr>
        <w:t>Gemara</w:t>
      </w:r>
      <w:r>
        <w:t xml:space="preserve"> asks, do the </w:t>
      </w:r>
      <w:r>
        <w:rPr>
          <w:i/>
        </w:rPr>
        <w:t>malachim</w:t>
      </w:r>
      <w:r>
        <w:t xml:space="preserve"> recite </w:t>
      </w:r>
      <w:r>
        <w:rPr>
          <w:i/>
        </w:rPr>
        <w:t>“Kadosh, kadosh, kadosh”</w:t>
      </w:r>
      <w:r>
        <w:t xml:space="preserve">? Several </w:t>
      </w:r>
      <w:r>
        <w:rPr>
          <w:i/>
        </w:rPr>
        <w:t>shitos</w:t>
      </w:r>
      <w:r>
        <w:t xml:space="preserve"> are brought: once a day, once a week, once a month, once a year, once every </w:t>
      </w:r>
      <w:r>
        <w:rPr>
          <w:i/>
        </w:rPr>
        <w:t>shemittah</w:t>
      </w:r>
      <w:r>
        <w:t xml:space="preserve"> (</w:t>
      </w:r>
      <w:r>
        <w:rPr>
          <w:rFonts w:ascii="David" w:hAnsi="David"/>
        </w:rPr>
        <w:t>שמיטה</w:t>
      </w:r>
      <w:r>
        <w:t xml:space="preserve">), once every </w:t>
      </w:r>
      <w:r>
        <w:rPr>
          <w:i/>
        </w:rPr>
        <w:t>yovel</w:t>
      </w:r>
      <w:r>
        <w:t xml:space="preserve"> (</w:t>
      </w:r>
      <w:r>
        <w:rPr>
          <w:rFonts w:ascii="David" w:hAnsi="David"/>
        </w:rPr>
        <w:t>יובל</w:t>
      </w:r>
      <w:r>
        <w:t xml:space="preserve">) — and, according to one opinion, only once in their entire existence. </w:t>
      </w:r>
      <w:r>
        <w:rPr>
          <w:i/>
        </w:rPr>
        <w:t>Klal Yisrael</w:t>
      </w:r>
      <w:r>
        <w:t xml:space="preserve">, by contrast, recites </w:t>
      </w:r>
      <w:r>
        <w:rPr>
          <w:i/>
        </w:rPr>
        <w:t>Kedushah</w:t>
      </w:r>
      <w:r>
        <w:t xml:space="preserve"> </w:t>
      </w:r>
      <w:r>
        <w:rPr>
          <w:i/>
        </w:rPr>
        <w:t>twice every single day</w:t>
      </w:r>
      <w:r>
        <w:t xml:space="preserve"> at </w:t>
      </w:r>
      <w:r>
        <w:rPr>
          <w:i/>
        </w:rPr>
        <w:t>Shacharis</w:t>
      </w:r>
      <w:r>
        <w:t xml:space="preserve"> and </w:t>
      </w:r>
      <w:r>
        <w:rPr>
          <w:i/>
        </w:rPr>
        <w:t>Minchah</w:t>
      </w:r>
      <w:r>
        <w:t xml:space="preserve">, without even counting the </w:t>
      </w:r>
      <w:r>
        <w:rPr>
          <w:i/>
        </w:rPr>
        <w:t>Kedushah</w:t>
      </w:r>
      <w:r>
        <w:t xml:space="preserve"> of </w:t>
      </w:r>
      <w:r>
        <w:rPr>
          <w:i/>
        </w:rPr>
        <w:t>Yotzeir Or</w:t>
      </w:r>
      <w:r>
        <w:t xml:space="preserve"> (</w:t>
      </w:r>
      <w:r>
        <w:rPr>
          <w:rFonts w:ascii="David" w:hAnsi="David"/>
        </w:rPr>
        <w:t>יוצר אור</w:t>
      </w:r>
      <w:r>
        <w:t xml:space="preserve">). And in the interval before the pronunciation of the </w:t>
      </w:r>
      <w:r>
        <w:rPr>
          <w:i/>
        </w:rPr>
        <w:t>Shem</w:t>
      </w:r>
      <w:r>
        <w:t xml:space="preserve">: when </w:t>
      </w:r>
      <w:r>
        <w:rPr>
          <w:i/>
        </w:rPr>
        <w:t>Klal Yisrael</w:t>
      </w:r>
      <w:r>
        <w:t xml:space="preserve"> says </w:t>
      </w:r>
      <w:r>
        <w:rPr>
          <w:i/>
        </w:rPr>
        <w:t>“Shema Yisrael”</w:t>
      </w:r>
      <w:r>
        <w:t xml:space="preserve">, two words later the </w:t>
      </w:r>
      <w:r>
        <w:rPr>
          <w:i/>
        </w:rPr>
        <w:t>Shem</w:t>
      </w:r>
      <w:r>
        <w:t xml:space="preserve"> is already pronounced. The </w:t>
      </w:r>
      <w:r>
        <w:rPr>
          <w:i/>
        </w:rPr>
        <w:t>malachim</w:t>
      </w:r>
      <w:r>
        <w:t xml:space="preserve"> require three words — </w:t>
      </w:r>
      <w:r>
        <w:rPr>
          <w:i/>
        </w:rPr>
        <w:t>“Kadosh, kadosh, kadosh”</w:t>
      </w:r>
      <w:r>
        <w:t xml:space="preserve"> — before </w:t>
      </w:r>
      <w:r>
        <w:rPr>
          <w:i/>
        </w:rPr>
        <w:t>“Hashem Tzeva’os”</w:t>
      </w:r>
      <w:r>
        <w:t xml:space="preserve">. </w:t>
      </w:r>
      <w:r>
        <w:rPr>
          <w:i/>
        </w:rPr>
        <w:t>Klal Yisrael</w:t>
      </w:r>
      <w:r>
        <w:t xml:space="preserve"> stands closer to the </w:t>
      </w:r>
      <w:r>
        <w:rPr>
          <w:i/>
        </w:rPr>
        <w:t>Ribbono Shel Olam</w:t>
      </w:r>
      <w:r>
        <w:t xml:space="preserve"> than the </w:t>
      </w:r>
      <w:r>
        <w:rPr>
          <w:i/>
        </w:rPr>
        <w:t>malachim</w:t>
      </w:r>
      <w:r>
        <w:t xml:space="preserve"> do. The </w:t>
      </w:r>
      <w:r>
        <w:rPr>
          <w:i/>
        </w:rPr>
        <w:t>Gemara</w:t>
      </w:r>
      <w:r>
        <w:t xml:space="preserve"> designates the </w:t>
      </w:r>
      <w:r>
        <w:rPr>
          <w:i/>
        </w:rPr>
        <w:t>Kedushah</w:t>
      </w:r>
      <w:r>
        <w:t xml:space="preserve"> itself as </w:t>
      </w:r>
      <w:r>
        <w:rPr>
          <w:i/>
        </w:rPr>
        <w:t>shirah</w:t>
      </w:r>
      <w:r>
        <w:t xml:space="preserve">: just as the </w:t>
      </w:r>
      <w:r>
        <w:rPr>
          <w:i/>
        </w:rPr>
        <w:t>malachim</w:t>
      </w:r>
      <w:r>
        <w:t xml:space="preserve"> sing </w:t>
      </w:r>
      <w:r>
        <w:rPr>
          <w:i/>
        </w:rPr>
        <w:t>shirah</w:t>
      </w:r>
      <w:r>
        <w:t xml:space="preserve">, so does </w:t>
      </w:r>
      <w:r>
        <w:rPr>
          <w:i/>
        </w:rPr>
        <w:t>Klal Yisrael</w:t>
      </w:r>
      <w:r>
        <w:t>.</w:t>
      </w:r>
    </w:p>
    <w:p>
      <w:r>
        <w:rPr>
          <w:b/>
          <w:color w:val="1E3A8A"/>
          <w:sz w:val="26"/>
        </w:rPr>
        <w:t>V. THE ARCHITECTURE OF THE KEDUSHAH</w:t>
      </w:r>
    </w:p>
    <w:p>
      <w:pPr>
        <w:pBdr>
          <w:bottom w:val="single" w:sz="6" w:space="1" w:color="B8860B"/>
        </w:pBdr>
      </w:pPr>
    </w:p>
    <w:p>
      <w:r>
        <w:rPr>
          <w:i/>
          <w:color w:val="B8860B"/>
          <w:sz w:val="24"/>
        </w:rPr>
        <w:t>The Three Pesukim</w:t>
      </w:r>
    </w:p>
    <w:p>
      <w:r>
        <w:t xml:space="preserve">The </w:t>
      </w:r>
      <w:r>
        <w:rPr>
          <w:i/>
        </w:rPr>
        <w:t>Kedushah</w:t>
      </w:r>
      <w:r>
        <w:t xml:space="preserve"> opens with the invitation: </w:t>
      </w:r>
      <w:r>
        <w:rPr>
          <w:i/>
        </w:rPr>
        <w:t>“Nakdish es Shimcha ba’olam, k’shem she’makdishim oso bi’shmei marom”</w:t>
      </w:r>
      <w:r>
        <w:t xml:space="preserve"> (</w:t>
      </w:r>
      <w:r>
        <w:rPr>
          <w:rFonts w:ascii="David" w:hAnsi="David"/>
        </w:rPr>
        <w:t>נקדיש את שמך בעולם, כשם שמקדישים אותו בשמי מרום</w:t>
      </w:r>
      <w:r>
        <w:t xml:space="preserve">) — we will sanctify Him below as He is sanctified above. The body of the </w:t>
      </w:r>
      <w:r>
        <w:rPr>
          <w:i/>
        </w:rPr>
        <w:t>Kedushah</w:t>
      </w:r>
      <w:r>
        <w:t xml:space="preserve"> then consists of three </w:t>
      </w:r>
      <w:r>
        <w:rPr>
          <w:i/>
        </w:rPr>
        <w:t>pesukim</w:t>
      </w:r>
      <w:r>
        <w:t>:</w:t>
      </w:r>
    </w:p>
    <w:p>
      <w:r>
        <w:rPr>
          <w:i/>
          <w:color w:val="B8860B"/>
          <w:sz w:val="24"/>
        </w:rPr>
        <w:t>The Avudraham’s Question</w:t>
      </w:r>
    </w:p>
    <w:p>
      <w:r>
        <w:t xml:space="preserve">If the design of the </w:t>
      </w:r>
      <w:r>
        <w:rPr>
          <w:i/>
        </w:rPr>
        <w:t>Kedushah</w:t>
      </w:r>
      <w:r>
        <w:t xml:space="preserve"> is to mirror the </w:t>
      </w:r>
      <w:r>
        <w:rPr>
          <w:i/>
        </w:rPr>
        <w:t>shiras ha’malachim</w:t>
      </w:r>
      <w:r>
        <w:t xml:space="preserve">, the third </w:t>
      </w:r>
      <w:r>
        <w:rPr>
          <w:i/>
        </w:rPr>
        <w:t>pasuk</w:t>
      </w:r>
      <w:r>
        <w:t xml:space="preserve"> is a puzzle: why is a </w:t>
      </w:r>
      <w:r>
        <w:rPr>
          <w:i/>
        </w:rPr>
        <w:t>pasuk</w:t>
      </w:r>
      <w:r>
        <w:t xml:space="preserve"> from </w:t>
      </w:r>
      <w:r>
        <w:rPr>
          <w:i/>
        </w:rPr>
        <w:t>Tehillim</w:t>
      </w:r>
      <w:r>
        <w:t xml:space="preserve"> — not the </w:t>
      </w:r>
      <w:r>
        <w:rPr>
          <w:i/>
        </w:rPr>
        <w:t>shirah</w:t>
      </w:r>
      <w:r>
        <w:t xml:space="preserve"> of the </w:t>
      </w:r>
      <w:r>
        <w:rPr>
          <w:i/>
        </w:rPr>
        <w:t>malachim</w:t>
      </w:r>
      <w:r>
        <w:t xml:space="preserve"> — inserted between the two </w:t>
      </w:r>
      <w:r>
        <w:rPr>
          <w:i/>
        </w:rPr>
        <w:t>pesukim</w:t>
      </w:r>
      <w:r>
        <w:t xml:space="preserve"> that are? The </w:t>
      </w:r>
      <w:r>
        <w:rPr>
          <w:i/>
        </w:rPr>
        <w:t>Avudraham</w:t>
      </w:r>
      <w:r>
        <w:rPr>
          <w:color w:val="B8860B"/>
          <w:sz w:val="16"/>
          <w:vertAlign w:val="superscript"/>
        </w:rPr>
        <w:t>[7]</w:t>
      </w:r>
      <w:r>
        <w:t xml:space="preserve"> offers a resolution that ties the structure directly to the theme of </w:t>
      </w:r>
      <w:r>
        <w:rPr>
          <w:i/>
        </w:rPr>
        <w:t>Chullin</w:t>
      </w:r>
      <w:r>
        <w:t xml:space="preserve"> tzadi-alef: the only figure in the whole of Jewish history who came near to a </w:t>
      </w:r>
      <w:r>
        <w:rPr>
          <w:i/>
        </w:rPr>
        <w:t>malach</w:t>
      </w:r>
      <w:r>
        <w:t xml:space="preserve"> in his </w:t>
      </w:r>
      <w:r>
        <w:rPr>
          <w:i/>
        </w:rPr>
        <w:t>shirah</w:t>
      </w:r>
      <w:r>
        <w:t xml:space="preserve"> was </w:t>
      </w:r>
      <w:r>
        <w:rPr>
          <w:i/>
        </w:rPr>
        <w:t>David HaMelech</w:t>
      </w:r>
      <w:r>
        <w:t xml:space="preserve"> (</w:t>
      </w:r>
      <w:r>
        <w:rPr>
          <w:rFonts w:ascii="David" w:hAnsi="David"/>
        </w:rPr>
        <w:t>דוד המלך</w:t>
      </w:r>
      <w:r>
        <w:t xml:space="preserve">). </w:t>
      </w:r>
      <w:r>
        <w:rPr>
          <w:i/>
        </w:rPr>
        <w:t>David HaMelech</w:t>
      </w:r>
      <w:r>
        <w:t xml:space="preserve"> composed </w:t>
      </w:r>
      <w:r>
        <w:rPr>
          <w:i/>
        </w:rPr>
        <w:t>Sefer Tehillim</w:t>
      </w:r>
      <w:r>
        <w:t xml:space="preserve">, the enduring </w:t>
      </w:r>
      <w:r>
        <w:rPr>
          <w:i/>
        </w:rPr>
        <w:t>shirah</w:t>
      </w:r>
      <w:r>
        <w:t xml:space="preserve"> of </w:t>
      </w:r>
      <w:r>
        <w:rPr>
          <w:i/>
        </w:rPr>
        <w:t>Klal Yisrael</w:t>
      </w:r>
      <w:r>
        <w:t xml:space="preserve">, and a </w:t>
      </w:r>
      <w:r>
        <w:rPr>
          <w:i/>
        </w:rPr>
        <w:t>pasuk</w:t>
      </w:r>
      <w:r>
        <w:t xml:space="preserve"> of his is inserted to mark that </w:t>
      </w:r>
      <w:r>
        <w:rPr>
          <w:i/>
        </w:rPr>
        <w:t>Klal Yisrael</w:t>
      </w:r>
      <w:r>
        <w:t xml:space="preserve">, too, has a figure whose </w:t>
      </w:r>
      <w:r>
        <w:rPr>
          <w:i/>
        </w:rPr>
        <w:t>shirah</w:t>
      </w:r>
      <w:r>
        <w:t xml:space="preserve"> stands beside the </w:t>
      </w:r>
      <w:r>
        <w:rPr>
          <w:i/>
        </w:rPr>
        <w:t>malachim</w:t>
      </w:r>
      <w:r>
        <w:t xml:space="preserve">’s. The </w:t>
      </w:r>
      <w:r>
        <w:rPr>
          <w:i/>
        </w:rPr>
        <w:t>Kedushah</w:t>
      </w:r>
      <w:r>
        <w:t xml:space="preserve"> is not the </w:t>
      </w:r>
      <w:r>
        <w:rPr>
          <w:i/>
        </w:rPr>
        <w:t>shirah</w:t>
      </w:r>
      <w:r>
        <w:t xml:space="preserve"> of the </w:t>
      </w:r>
      <w:r>
        <w:rPr>
          <w:i/>
        </w:rPr>
        <w:t>malachim</w:t>
      </w:r>
      <w:r>
        <w:t xml:space="preserve"> alone but the joint </w:t>
      </w:r>
      <w:r>
        <w:rPr>
          <w:i/>
        </w:rPr>
        <w:t>shirah</w:t>
      </w:r>
      <w:r>
        <w:t xml:space="preserve"> of the </w:t>
      </w:r>
      <w:r>
        <w:rPr>
          <w:i/>
        </w:rPr>
        <w:t>malachim</w:t>
      </w:r>
      <w:r>
        <w:t xml:space="preserve"> and </w:t>
      </w:r>
      <w:r>
        <w:rPr>
          <w:i/>
        </w:rPr>
        <w:t>Klal Yisrael</w:t>
      </w:r>
      <w:r>
        <w:t xml:space="preserve"> represented by their </w:t>
      </w:r>
      <w:r>
        <w:rPr>
          <w:i/>
        </w:rPr>
        <w:t>chazan</w:t>
      </w:r>
      <w:r>
        <w:t xml:space="preserve">, </w:t>
      </w:r>
      <w:r>
        <w:rPr>
          <w:i/>
        </w:rPr>
        <w:t>David HaMelech</w:t>
      </w:r>
      <w:r>
        <w:t>.</w:t>
      </w:r>
    </w:p>
    <w:p>
      <w:r>
        <w:t xml:space="preserve">A secondary reason is offered as well. The </w:t>
      </w:r>
      <w:r>
        <w:rPr>
          <w:i/>
        </w:rPr>
        <w:t>pasuk</w:t>
      </w:r>
      <w:r>
        <w:t xml:space="preserve"> mentions </w:t>
      </w:r>
      <w:r>
        <w:rPr>
          <w:i/>
        </w:rPr>
        <w:t>Tziyon</w:t>
      </w:r>
      <w:r>
        <w:t xml:space="preserve"> (</w:t>
      </w:r>
      <w:r>
        <w:rPr>
          <w:rFonts w:ascii="David" w:hAnsi="David"/>
        </w:rPr>
        <w:t>ציון</w:t>
      </w:r>
      <w:r>
        <w:t xml:space="preserve">), and there is a </w:t>
      </w:r>
      <w:r>
        <w:rPr>
          <w:i/>
        </w:rPr>
        <w:t>shitah</w:t>
      </w:r>
      <w:r>
        <w:t xml:space="preserve"> in the </w:t>
      </w:r>
      <w:r>
        <w:rPr>
          <w:i/>
        </w:rPr>
        <w:t>Rishonim</w:t>
      </w:r>
      <w:r>
        <w:t xml:space="preserve"> that every </w:t>
      </w:r>
      <w:r>
        <w:rPr>
          <w:i/>
        </w:rPr>
        <w:t>tefillah</w:t>
      </w:r>
      <w:r>
        <w:t xml:space="preserve"> must mention </w:t>
      </w:r>
      <w:r>
        <w:rPr>
          <w:i/>
        </w:rPr>
        <w:t>Yerushalayim</w:t>
      </w:r>
      <w:r>
        <w:t xml:space="preserve"> (</w:t>
      </w:r>
      <w:r>
        <w:rPr>
          <w:rFonts w:ascii="David" w:hAnsi="David"/>
        </w:rPr>
        <w:t>ירושלים</w:t>
      </w:r>
      <w:r>
        <w:t xml:space="preserve">) and </w:t>
      </w:r>
      <w:r>
        <w:rPr>
          <w:i/>
        </w:rPr>
        <w:t>Tziyon</w:t>
      </w:r>
      <w:r>
        <w:t xml:space="preserve"> — </w:t>
      </w:r>
      <w:r>
        <w:rPr>
          <w:i/>
        </w:rPr>
        <w:t>“im lo a’aleh es Yerushalayim al rosh simchasi”</w:t>
      </w:r>
      <w:r>
        <w:t xml:space="preserve"> (</w:t>
      </w:r>
      <w:r>
        <w:rPr>
          <w:rFonts w:ascii="David" w:hAnsi="David"/>
        </w:rPr>
        <w:t>אם לא אעלה את ירושלים על ראש שמחתי</w:t>
      </w:r>
      <w:r>
        <w:t xml:space="preserve">). The </w:t>
      </w:r>
      <w:r>
        <w:rPr>
          <w:i/>
        </w:rPr>
        <w:t>Kedushah</w:t>
      </w:r>
      <w:r>
        <w:t xml:space="preserve"> of </w:t>
      </w:r>
      <w:r>
        <w:rPr>
          <w:i/>
        </w:rPr>
        <w:t>chazaras ha’shatz</w:t>
      </w:r>
      <w:r>
        <w:t xml:space="preserve"> is one place where this requirement is satisfied; the </w:t>
      </w:r>
      <w:r>
        <w:rPr>
          <w:i/>
        </w:rPr>
        <w:t>Kedushah d’Yotzeir Or</w:t>
      </w:r>
      <w:r>
        <w:t xml:space="preserve"> does not require it because the surrounding </w:t>
      </w:r>
      <w:r>
        <w:rPr>
          <w:i/>
        </w:rPr>
        <w:t>brachos</w:t>
      </w:r>
      <w:r>
        <w:t xml:space="preserve"> already include it.</w:t>
      </w:r>
    </w:p>
    <w:p>
      <w:r>
        <w:rPr>
          <w:b/>
          <w:color w:val="1E3A8A"/>
          <w:sz w:val="26"/>
        </w:rPr>
        <w:t>VI. NUSACH HAKEDUSHAH — THE ROSH AND THE ARIZAL</w:t>
      </w:r>
    </w:p>
    <w:p>
      <w:pPr>
        <w:pBdr>
          <w:bottom w:val="single" w:sz="6" w:space="1" w:color="B8860B"/>
        </w:pBdr>
      </w:pPr>
    </w:p>
    <w:p>
      <w:r>
        <w:rPr>
          <w:i/>
          <w:color w:val="B8860B"/>
          <w:sz w:val="24"/>
        </w:rPr>
        <w:t>The Litvish Practice and its Halachic Consequence</w:t>
      </w:r>
    </w:p>
    <w:p>
      <w:r>
        <w:t xml:space="preserve">The scope of what the </w:t>
      </w:r>
      <w:r>
        <w:rPr>
          <w:i/>
        </w:rPr>
        <w:t>kahal</w:t>
      </w:r>
      <w:r>
        <w:t xml:space="preserve"> recites during the </w:t>
      </w:r>
      <w:r>
        <w:rPr>
          <w:i/>
        </w:rPr>
        <w:t>chazan</w:t>
      </w:r>
      <w:r>
        <w:t xml:space="preserve">’s </w:t>
      </w:r>
      <w:r>
        <w:rPr>
          <w:i/>
        </w:rPr>
        <w:t>Kedushah</w:t>
      </w:r>
      <w:r>
        <w:t xml:space="preserve"> is the subject of a live </w:t>
      </w:r>
      <w:r>
        <w:rPr>
          <w:i/>
        </w:rPr>
        <w:t>machlokes</w:t>
      </w:r>
      <w:r>
        <w:t xml:space="preserve">. In Litvish </w:t>
      </w:r>
      <w:r>
        <w:rPr>
          <w:i/>
        </w:rPr>
        <w:t>batei knesios</w:t>
      </w:r>
      <w:r>
        <w:t xml:space="preserve">, the </w:t>
      </w:r>
      <w:r>
        <w:rPr>
          <w:i/>
        </w:rPr>
        <w:t>kahal</w:t>
      </w:r>
      <w:r>
        <w:t xml:space="preserve"> recites only </w:t>
      </w:r>
      <w:r>
        <w:rPr>
          <w:i/>
        </w:rPr>
        <w:t>“Kadosh, kadosh, kadosh”</w:t>
      </w:r>
      <w:r>
        <w:t xml:space="preserve"> and </w:t>
      </w:r>
      <w:r>
        <w:rPr>
          <w:i/>
        </w:rPr>
        <w:t>“Baruch kevod Hashem mi’mekomo”</w:t>
      </w:r>
      <w:r>
        <w:t xml:space="preserve">. They do not say the bridging phrase </w:t>
      </w:r>
      <w:r>
        <w:rPr>
          <w:i/>
        </w:rPr>
        <w:t>“L’umasam meshabchim v’omrim”</w:t>
      </w:r>
      <w:r>
        <w:t xml:space="preserve"> (</w:t>
      </w:r>
      <w:r>
        <w:rPr>
          <w:rFonts w:ascii="David" w:hAnsi="David"/>
        </w:rPr>
        <w:t>לעומתם משבחים ואומרים</w:t>
      </w:r>
      <w:r>
        <w:t>).</w:t>
      </w:r>
    </w:p>
    <w:p>
      <w:r>
        <w:t xml:space="preserve">This is not merely a stylistic difference. It has a direct halachic consequence in the </w:t>
      </w:r>
      <w:r>
        <w:rPr>
          <w:i/>
        </w:rPr>
        <w:t>halachos</w:t>
      </w:r>
      <w:r>
        <w:t xml:space="preserve"> of </w:t>
      </w:r>
      <w:r>
        <w:rPr>
          <w:i/>
        </w:rPr>
        <w:t>hefsek</w:t>
      </w:r>
      <w:r>
        <w:t xml:space="preserve">. The </w:t>
      </w:r>
      <w:r>
        <w:rPr>
          <w:i/>
        </w:rPr>
        <w:t>halachah</w:t>
      </w:r>
      <w:r>
        <w:t xml:space="preserve"> permits interrupting </w:t>
      </w:r>
      <w:r>
        <w:rPr>
          <w:i/>
        </w:rPr>
        <w:t>Kri’as Shema</w:t>
      </w:r>
      <w:r>
        <w:t xml:space="preserve"> (</w:t>
      </w:r>
      <w:r>
        <w:rPr>
          <w:rFonts w:ascii="David" w:hAnsi="David"/>
        </w:rPr>
        <w:t>קריאת שמע</w:t>
      </w:r>
      <w:r>
        <w:t xml:space="preserve">) for </w:t>
      </w:r>
      <w:r>
        <w:rPr>
          <w:i/>
        </w:rPr>
        <w:t>Kedushah</w:t>
      </w:r>
      <w:r>
        <w:t xml:space="preserve"> — but only for the </w:t>
      </w:r>
      <w:r>
        <w:rPr>
          <w:i/>
        </w:rPr>
        <w:t>essential pesukim</w:t>
      </w:r>
      <w:r>
        <w:t xml:space="preserve">, namely </w:t>
      </w:r>
      <w:r>
        <w:rPr>
          <w:i/>
        </w:rPr>
        <w:t>“Kadosh, kadosh, kadosh”</w:t>
      </w:r>
      <w:r>
        <w:t xml:space="preserve"> and </w:t>
      </w:r>
      <w:r>
        <w:rPr>
          <w:i/>
        </w:rPr>
        <w:t>“Baruch kevod Hashem mi’mekomo”</w:t>
      </w:r>
      <w:r>
        <w:t xml:space="preserve">. One does </w:t>
      </w:r>
      <w:r>
        <w:rPr>
          <w:i/>
        </w:rPr>
        <w:t>not</w:t>
      </w:r>
      <w:r>
        <w:t xml:space="preserve"> interrupt </w:t>
      </w:r>
      <w:r>
        <w:rPr>
          <w:i/>
        </w:rPr>
        <w:t>Kri’as Shema</w:t>
      </w:r>
      <w:r>
        <w:t xml:space="preserve"> for </w:t>
      </w:r>
      <w:r>
        <w:rPr>
          <w:i/>
        </w:rPr>
        <w:t>“L’umasam...”</w:t>
      </w:r>
      <w:r>
        <w:t xml:space="preserve"> The taxonomy is: within </w:t>
      </w:r>
      <w:r>
        <w:rPr>
          <w:i/>
        </w:rPr>
        <w:t>Pesukei D’zimra</w:t>
      </w:r>
      <w:r>
        <w:t xml:space="preserve"> (</w:t>
      </w:r>
      <w:r>
        <w:rPr>
          <w:rFonts w:ascii="David" w:hAnsi="David"/>
        </w:rPr>
        <w:t>פסוקי דזמרה</w:t>
      </w:r>
      <w:r>
        <w:t xml:space="preserve">) one may recite the entire </w:t>
      </w:r>
      <w:r>
        <w:rPr>
          <w:i/>
        </w:rPr>
        <w:t>nusach</w:t>
      </w:r>
      <w:r>
        <w:t xml:space="preserve">; within </w:t>
      </w:r>
      <w:r>
        <w:rPr>
          <w:i/>
        </w:rPr>
        <w:t>Kri’as Shema</w:t>
      </w:r>
      <w:r>
        <w:t xml:space="preserve"> proper, only the essentials are permitted.</w:t>
      </w:r>
    </w:p>
    <w:p>
      <w:r>
        <w:rPr>
          <w:i/>
          <w:color w:val="B8860B"/>
          <w:sz w:val="24"/>
        </w:rPr>
        <w:t>The Rosh’s Reasoning</w:t>
      </w:r>
    </w:p>
    <w:p>
      <w:r>
        <w:t xml:space="preserve">The </w:t>
      </w:r>
      <w:r>
        <w:rPr>
          <w:i/>
        </w:rPr>
        <w:t>Rosh</w:t>
      </w:r>
      <w:r>
        <w:rPr>
          <w:color w:val="B8860B"/>
          <w:sz w:val="16"/>
          <w:vertAlign w:val="superscript"/>
        </w:rPr>
        <w:t>[8]</w:t>
      </w:r>
      <w:r>
        <w:t xml:space="preserve"> supplies the reasoning by analogy to </w:t>
      </w:r>
      <w:r>
        <w:rPr>
          <w:i/>
        </w:rPr>
        <w:t>Kaddish</w:t>
      </w:r>
      <w:r>
        <w:t xml:space="preserve">. When does anyone say </w:t>
      </w:r>
      <w:r>
        <w:rPr>
          <w:i/>
        </w:rPr>
        <w:t>“Yisgadal v’yiskadash Shmei Rabba”</w:t>
      </w:r>
      <w:r>
        <w:t xml:space="preserve"> (</w:t>
      </w:r>
      <w:r>
        <w:rPr>
          <w:rFonts w:ascii="David" w:hAnsi="David"/>
        </w:rPr>
        <w:t>יתגדל ויתקדש שמיה רבא</w:t>
      </w:r>
      <w:r>
        <w:t xml:space="preserve">) together with the </w:t>
      </w:r>
      <w:r>
        <w:rPr>
          <w:i/>
        </w:rPr>
        <w:t>chazan</w:t>
      </w:r>
      <w:r>
        <w:t xml:space="preserve">? Nobody. The </w:t>
      </w:r>
      <w:r>
        <w:rPr>
          <w:i/>
        </w:rPr>
        <w:t>chazan</w:t>
      </w:r>
      <w:r>
        <w:t xml:space="preserve"> says </w:t>
      </w:r>
      <w:r>
        <w:rPr>
          <w:i/>
        </w:rPr>
        <w:t>“Yisgadal”</w:t>
      </w:r>
      <w:r>
        <w:t xml:space="preserve">; the </w:t>
      </w:r>
      <w:r>
        <w:rPr>
          <w:i/>
        </w:rPr>
        <w:t>kahal</w:t>
      </w:r>
      <w:r>
        <w:t xml:space="preserve"> answers </w:t>
      </w:r>
      <w:r>
        <w:rPr>
          <w:i/>
        </w:rPr>
        <w:t>amen</w:t>
      </w:r>
      <w:r>
        <w:t xml:space="preserve">. The </w:t>
      </w:r>
      <w:r>
        <w:rPr>
          <w:i/>
        </w:rPr>
        <w:t>Kedushah</w:t>
      </w:r>
      <w:r>
        <w:t xml:space="preserve">, in the </w:t>
      </w:r>
      <w:r>
        <w:rPr>
          <w:i/>
        </w:rPr>
        <w:t>Rosh</w:t>
      </w:r>
      <w:r>
        <w:t xml:space="preserve">’s reading, follows the same model. The </w:t>
      </w:r>
      <w:r>
        <w:rPr>
          <w:i/>
        </w:rPr>
        <w:t>chazan</w:t>
      </w:r>
      <w:r>
        <w:t xml:space="preserve"> says </w:t>
      </w:r>
      <w:r>
        <w:rPr>
          <w:i/>
        </w:rPr>
        <w:t>“Nakdishcha”</w:t>
      </w:r>
      <w:r>
        <w:t xml:space="preserve"> (</w:t>
      </w:r>
      <w:r>
        <w:rPr>
          <w:rFonts w:ascii="David" w:hAnsi="David"/>
        </w:rPr>
        <w:t>נקדישך</w:t>
      </w:r>
      <w:r>
        <w:t xml:space="preserve">) — that is his invitation to the </w:t>
      </w:r>
      <w:r>
        <w:rPr>
          <w:i/>
        </w:rPr>
        <w:t>kahal</w:t>
      </w:r>
      <w:r>
        <w:t xml:space="preserve"> to sanctify; the </w:t>
      </w:r>
      <w:r>
        <w:rPr>
          <w:i/>
        </w:rPr>
        <w:t>kahal</w:t>
      </w:r>
      <w:r>
        <w:t xml:space="preserve">’s role is the response, not the invitation. According to the </w:t>
      </w:r>
      <w:r>
        <w:rPr>
          <w:i/>
        </w:rPr>
        <w:t>Rosh</w:t>
      </w:r>
      <w:r>
        <w:t xml:space="preserve">, the </w:t>
      </w:r>
      <w:r>
        <w:rPr>
          <w:i/>
        </w:rPr>
        <w:t>kahal</w:t>
      </w:r>
      <w:r>
        <w:t xml:space="preserve"> should not even say </w:t>
      </w:r>
      <w:r>
        <w:rPr>
          <w:i/>
        </w:rPr>
        <w:t>“Nakdishcha”</w:t>
      </w:r>
      <w:r>
        <w:t xml:space="preserve"> along with the </w:t>
      </w:r>
      <w:r>
        <w:rPr>
          <w:i/>
        </w:rPr>
        <w:t>chazan</w:t>
      </w:r>
      <w:r>
        <w:t xml:space="preserve">. The only words that belong to the </w:t>
      </w:r>
      <w:r>
        <w:rPr>
          <w:i/>
        </w:rPr>
        <w:t>kahal</w:t>
      </w:r>
      <w:r>
        <w:t xml:space="preserve"> are the two response-</w:t>
      </w:r>
      <w:r>
        <w:rPr>
          <w:i/>
        </w:rPr>
        <w:t>pesukim</w:t>
      </w:r>
      <w:r>
        <w:t xml:space="preserve">. The Litvish </w:t>
      </w:r>
      <w:r>
        <w:rPr>
          <w:i/>
        </w:rPr>
        <w:t>minhag</w:t>
      </w:r>
      <w:r>
        <w:t xml:space="preserve"> rests on this </w:t>
      </w:r>
      <w:r>
        <w:rPr>
          <w:i/>
        </w:rPr>
        <w:t>shitah</w:t>
      </w:r>
      <w:r>
        <w:t>.</w:t>
      </w:r>
    </w:p>
    <w:p>
      <w:r>
        <w:rPr>
          <w:i/>
          <w:color w:val="B8860B"/>
          <w:sz w:val="24"/>
        </w:rPr>
        <w:t>The Arizal’s Ruling</w:t>
      </w:r>
    </w:p>
    <w:p>
      <w:r>
        <w:t xml:space="preserve">The </w:t>
      </w:r>
      <w:r>
        <w:rPr>
          <w:i/>
        </w:rPr>
        <w:t>Arizal HaKadosh</w:t>
      </w:r>
      <w:r>
        <w:t xml:space="preserve"> (</w:t>
      </w:r>
      <w:r>
        <w:rPr>
          <w:rFonts w:ascii="David" w:hAnsi="David"/>
        </w:rPr>
        <w:t>אריז"ל הקדוש</w:t>
      </w:r>
      <w:r>
        <w:t>),</w:t>
      </w:r>
      <w:r>
        <w:rPr>
          <w:color w:val="B8860B"/>
          <w:sz w:val="16"/>
          <w:vertAlign w:val="superscript"/>
        </w:rPr>
        <w:t>[29]</w:t>
      </w:r>
      <w:r>
        <w:t xml:space="preserve"> however, ruled — on </w:t>
      </w:r>
      <w:r>
        <w:rPr>
          <w:i/>
        </w:rPr>
        <w:t>kabbalah</w:t>
      </w:r>
      <w:r>
        <w:t xml:space="preserve"> grounds — that the </w:t>
      </w:r>
      <w:r>
        <w:rPr>
          <w:i/>
        </w:rPr>
        <w:t>kahal</w:t>
      </w:r>
      <w:r>
        <w:t xml:space="preserve"> must recite the </w:t>
      </w:r>
      <w:r>
        <w:rPr>
          <w:i/>
        </w:rPr>
        <w:t>entire</w:t>
      </w:r>
      <w:r>
        <w:t xml:space="preserve"> </w:t>
      </w:r>
      <w:r>
        <w:rPr>
          <w:i/>
        </w:rPr>
        <w:t>nusach</w:t>
      </w:r>
      <w:r>
        <w:t xml:space="preserve">: </w:t>
      </w:r>
      <w:r>
        <w:rPr>
          <w:i/>
        </w:rPr>
        <w:t>“Nakdishcha v’na’aritzcha”</w:t>
      </w:r>
      <w:r>
        <w:t xml:space="preserve">, the bridging phrases </w:t>
      </w:r>
      <w:r>
        <w:rPr>
          <w:i/>
        </w:rPr>
        <w:t>“L’umasam meshabchim v’omrim”</w:t>
      </w:r>
      <w:r>
        <w:t xml:space="preserve">, and the third </w:t>
      </w:r>
      <w:r>
        <w:rPr>
          <w:i/>
        </w:rPr>
        <w:t>pasuk</w:t>
      </w:r>
      <w:r>
        <w:t xml:space="preserve">. The reasoning is that each phrase corresponds to a specific </w:t>
      </w:r>
      <w:r>
        <w:rPr>
          <w:i/>
        </w:rPr>
        <w:t>tikkun</w:t>
      </w:r>
      <w:r>
        <w:t xml:space="preserve"> in the upper worlds, and the </w:t>
      </w:r>
      <w:r>
        <w:rPr>
          <w:i/>
        </w:rPr>
        <w:t>kahal</w:t>
      </w:r>
      <w:r>
        <w:t xml:space="preserve">’s participation is essential to the structural ascent. This is the ruling that stands behind the majority </w:t>
      </w:r>
      <w:r>
        <w:rPr>
          <w:i/>
        </w:rPr>
        <w:t>Ashkenazi</w:t>
      </w:r>
      <w:r>
        <w:t xml:space="preserve"> practice today, in which the </w:t>
      </w:r>
      <w:r>
        <w:rPr>
          <w:i/>
        </w:rPr>
        <w:t>kahal</w:t>
      </w:r>
      <w:r>
        <w:t xml:space="preserve"> says the full </w:t>
      </w:r>
      <w:r>
        <w:rPr>
          <w:i/>
        </w:rPr>
        <w:t>nusach</w:t>
      </w:r>
      <w:r>
        <w:t>.</w:t>
      </w:r>
    </w:p>
    <w:p>
      <w:r>
        <w:rPr>
          <w:i/>
          <w:color w:val="B8860B"/>
          <w:sz w:val="24"/>
        </w:rPr>
        <w:t>The Magen Avraham’s Harmonizing Pesak</w:t>
      </w:r>
    </w:p>
    <w:p>
      <w:r>
        <w:t xml:space="preserve">The </w:t>
      </w:r>
      <w:r>
        <w:rPr>
          <w:i/>
        </w:rPr>
        <w:t>Magen Avraham</w:t>
      </w:r>
      <w:r>
        <w:rPr>
          <w:color w:val="B8860B"/>
          <w:sz w:val="16"/>
          <w:vertAlign w:val="superscript"/>
        </w:rPr>
        <w:t>[9]</w:t>
      </w:r>
      <w:r>
        <w:t xml:space="preserve"> supplies the harmonizing pesak. The phrases </w:t>
      </w:r>
      <w:r>
        <w:rPr>
          <w:i/>
        </w:rPr>
        <w:t>“L’umasam meshabchim v’omrim”</w:t>
      </w:r>
      <w:r>
        <w:t xml:space="preserve"> are, in his reading, </w:t>
      </w:r>
      <w:r>
        <w:rPr>
          <w:i/>
        </w:rPr>
        <w:t>descriptive narrative</w:t>
      </w:r>
      <w:r>
        <w:t xml:space="preserve"> — narrating that the second group of </w:t>
      </w:r>
      <w:r>
        <w:rPr>
          <w:i/>
        </w:rPr>
        <w:t>malachim</w:t>
      </w:r>
      <w:r>
        <w:t xml:space="preserve">, positioned opposite the first, also responds — and not part of the </w:t>
      </w:r>
      <w:r>
        <w:rPr>
          <w:i/>
        </w:rPr>
        <w:t>Kedushah</w:t>
      </w:r>
      <w:r>
        <w:t xml:space="preserve">’s essential </w:t>
      </w:r>
      <w:r>
        <w:rPr>
          <w:i/>
        </w:rPr>
        <w:t>pesukim</w:t>
      </w:r>
      <w:r>
        <w:t xml:space="preserve">. Where the </w:t>
      </w:r>
      <w:r>
        <w:rPr>
          <w:i/>
        </w:rPr>
        <w:t>minhag</w:t>
      </w:r>
      <w:r>
        <w:t xml:space="preserve"> is to recite them, they should be said </w:t>
      </w:r>
      <w:r>
        <w:rPr>
          <w:i/>
        </w:rPr>
        <w:t>quietly</w:t>
      </w:r>
      <w:r>
        <w:t xml:space="preserve">, and </w:t>
      </w:r>
      <w:r>
        <w:rPr>
          <w:i/>
        </w:rPr>
        <w:t>only after the</w:t>
      </w:r>
      <w:r>
        <w:t xml:space="preserve"> chazan — not with him. The Litvish practice omits them; the </w:t>
      </w:r>
      <w:r>
        <w:rPr>
          <w:i/>
        </w:rPr>
        <w:t>Ashkenazi</w:t>
      </w:r>
      <w:r>
        <w:t xml:space="preserve"> practice includes them; the </w:t>
      </w:r>
      <w:r>
        <w:rPr>
          <w:i/>
        </w:rPr>
        <w:t>Magen Avraham</w:t>
      </w:r>
      <w:r>
        <w:t>’s qualification governs the manner in which they are said where they are said.</w:t>
      </w:r>
    </w:p>
    <w:p>
      <w:r>
        <w:rPr>
          <w:b/>
          <w:color w:val="1E3A8A"/>
          <w:sz w:val="26"/>
        </w:rPr>
        <w:t>VII. KEDUSHAH D’YOTZEIR OR IS NOT THE SAME KEDUSHAH</w:t>
      </w:r>
    </w:p>
    <w:p>
      <w:pPr>
        <w:pBdr>
          <w:bottom w:val="single" w:sz="6" w:space="1" w:color="B8860B"/>
        </w:pBdr>
      </w:pPr>
    </w:p>
    <w:p>
      <w:r>
        <w:t xml:space="preserve">The </w:t>
      </w:r>
      <w:r>
        <w:rPr>
          <w:i/>
        </w:rPr>
        <w:t>Gemara</w:t>
      </w:r>
      <w:r>
        <w:t xml:space="preserve"> in </w:t>
      </w:r>
      <w:r>
        <w:rPr>
          <w:i/>
        </w:rPr>
        <w:t>Megillah</w:t>
      </w:r>
      <w:r>
        <w:rPr>
          <w:color w:val="B8860B"/>
          <w:sz w:val="16"/>
          <w:vertAlign w:val="superscript"/>
        </w:rPr>
        <w:t>[10]</w:t>
      </w:r>
      <w:r>
        <w:t xml:space="preserve"> establishes the category of </w:t>
      </w:r>
      <w:r>
        <w:rPr>
          <w:i/>
        </w:rPr>
        <w:t>davar sh’bi’kedushah</w:t>
      </w:r>
      <w:r>
        <w:t xml:space="preserve"> (</w:t>
      </w:r>
      <w:r>
        <w:rPr>
          <w:rFonts w:ascii="David" w:hAnsi="David"/>
        </w:rPr>
        <w:t>דבר שבקדושה</w:t>
      </w:r>
      <w:r>
        <w:t xml:space="preserve">) — items that may not be said without a </w:t>
      </w:r>
      <w:r>
        <w:rPr>
          <w:i/>
        </w:rPr>
        <w:t>minyan</w:t>
      </w:r>
      <w:r>
        <w:t xml:space="preserve"> of ten — and includes </w:t>
      </w:r>
      <w:r>
        <w:rPr>
          <w:i/>
        </w:rPr>
        <w:t>Kedushah</w:t>
      </w:r>
      <w:r>
        <w:t xml:space="preserve"> in that list. It follows immediately that </w:t>
      </w:r>
      <w:r>
        <w:rPr>
          <w:i/>
        </w:rPr>
        <w:t>Kedushah</w:t>
      </w:r>
      <w:r>
        <w:t xml:space="preserve"> proper cannot be said alone.</w:t>
      </w:r>
    </w:p>
    <w:p>
      <w:r>
        <w:t xml:space="preserve">What then is the status of the </w:t>
      </w:r>
      <w:r>
        <w:rPr>
          <w:i/>
        </w:rPr>
        <w:t>“Kadosh, kadosh, kadosh”</w:t>
      </w:r>
      <w:r>
        <w:t xml:space="preserve"> embedded in the </w:t>
      </w:r>
      <w:r>
        <w:rPr>
          <w:i/>
        </w:rPr>
        <w:t>Kedushah d’Yotzeir Or</w:t>
      </w:r>
      <w:r>
        <w:t xml:space="preserve">? An individual davening alone at home recites </w:t>
      </w:r>
      <w:r>
        <w:rPr>
          <w:i/>
        </w:rPr>
        <w:t>Yotzeir Or</w:t>
      </w:r>
      <w:r>
        <w:t xml:space="preserve"> with </w:t>
      </w:r>
      <w:r>
        <w:rPr>
          <w:i/>
        </w:rPr>
        <w:t>“u’v’divrei kodshecha kasuv leimor: Kadosh, kadosh, kadosh...”</w:t>
      </w:r>
      <w:r>
        <w:t xml:space="preserve"> (</w:t>
      </w:r>
      <w:r>
        <w:rPr>
          <w:rFonts w:ascii="David" w:hAnsi="David"/>
        </w:rPr>
        <w:t>ובדברי קדשך כתוב לאמר: קדוש קדוש קדוש</w:t>
      </w:r>
      <w:r>
        <w:t xml:space="preserve">). The </w:t>
      </w:r>
      <w:r>
        <w:rPr>
          <w:i/>
        </w:rPr>
        <w:t>Rishonim</w:t>
      </w:r>
      <w:r>
        <w:t xml:space="preserve"> answer that this is </w:t>
      </w:r>
      <w:r>
        <w:rPr>
          <w:i/>
        </w:rPr>
        <w:t>not</w:t>
      </w:r>
      <w:r>
        <w:t xml:space="preserve"> </w:t>
      </w:r>
      <w:r>
        <w:rPr>
          <w:i/>
        </w:rPr>
        <w:t>Kedushah</w:t>
      </w:r>
      <w:r>
        <w:t xml:space="preserve">. It is </w:t>
      </w:r>
      <w:r>
        <w:rPr>
          <w:b/>
        </w:rPr>
        <w:t>narrative</w:t>
      </w:r>
      <w:r>
        <w:t xml:space="preserve"> — the mispallel is </w:t>
      </w:r>
      <w:r>
        <w:rPr>
          <w:i/>
        </w:rPr>
        <w:t>describing</w:t>
      </w:r>
      <w:r>
        <w:t xml:space="preserve"> what the </w:t>
      </w:r>
      <w:r>
        <w:rPr>
          <w:i/>
        </w:rPr>
        <w:t>malachim</w:t>
      </w:r>
      <w:r>
        <w:t xml:space="preserve"> say, not himself performing an act of </w:t>
      </w:r>
      <w:r>
        <w:rPr>
          <w:i/>
        </w:rPr>
        <w:t>Kedushah</w:t>
      </w:r>
      <w:r>
        <w:t xml:space="preserve">. The actual </w:t>
      </w:r>
      <w:r>
        <w:rPr>
          <w:i/>
        </w:rPr>
        <w:t>Kedushah</w:t>
      </w:r>
      <w:r>
        <w:t xml:space="preserve"> takes place only in </w:t>
      </w:r>
      <w:r>
        <w:rPr>
          <w:i/>
        </w:rPr>
        <w:t>chazaras ha’shatz</w:t>
      </w:r>
      <w:r>
        <w:t xml:space="preserve">; that is where the </w:t>
      </w:r>
      <w:r>
        <w:rPr>
          <w:i/>
        </w:rPr>
        <w:t>mitzvah</w:t>
      </w:r>
      <w:r>
        <w:t xml:space="preserve"> of </w:t>
      </w:r>
      <w:r>
        <w:rPr>
          <w:i/>
        </w:rPr>
        <w:t>“v’nikdashti b’soch Bnei Yisrael”</w:t>
      </w:r>
      <w:r>
        <w:t xml:space="preserve"> is discharged.</w:t>
      </w:r>
    </w:p>
    <w:p>
      <w:r>
        <w:t xml:space="preserve">The proof is sharp. If a </w:t>
      </w:r>
      <w:r>
        <w:rPr>
          <w:i/>
        </w:rPr>
        <w:t>goy</w:t>
      </w:r>
      <w:r>
        <w:t xml:space="preserve"> held a gun to a Jew’s head on </w:t>
      </w:r>
      <w:r>
        <w:rPr>
          <w:i/>
        </w:rPr>
        <w:t>Shabbos</w:t>
      </w:r>
      <w:r>
        <w:t xml:space="preserve"> and demanded that he recite </w:t>
      </w:r>
      <w:r>
        <w:rPr>
          <w:i/>
        </w:rPr>
        <w:t>“Kadosh, kadosh, kadosh”</w:t>
      </w:r>
      <w:r>
        <w:t xml:space="preserve"> as a performance of public </w:t>
      </w:r>
      <w:r>
        <w:rPr>
          <w:i/>
        </w:rPr>
        <w:t>chillul Shabbos</w:t>
      </w:r>
      <w:r>
        <w:t xml:space="preserve">, the Jew would be forbidden to comply. But an individual reciting the narrative </w:t>
      </w:r>
      <w:r>
        <w:rPr>
          <w:i/>
        </w:rPr>
        <w:t>“Kadosh, kadosh, kadosh”</w:t>
      </w:r>
      <w:r>
        <w:t xml:space="preserve"> of </w:t>
      </w:r>
      <w:r>
        <w:rPr>
          <w:i/>
        </w:rPr>
        <w:t>Yotzeir Or</w:t>
      </w:r>
      <w:r>
        <w:t xml:space="preserve"> commits no violation whatever, since in that context the words are not an act of </w:t>
      </w:r>
      <w:r>
        <w:rPr>
          <w:i/>
        </w:rPr>
        <w:t>Kedushah</w:t>
      </w:r>
      <w:r>
        <w:t xml:space="preserve">. The categorical distinction is intrinsic: </w:t>
      </w:r>
      <w:r>
        <w:rPr>
          <w:i/>
        </w:rPr>
        <w:t>Kedushah</w:t>
      </w:r>
      <w:r>
        <w:t xml:space="preserve"> as </w:t>
      </w:r>
      <w:r>
        <w:rPr>
          <w:i/>
        </w:rPr>
        <w:t>davar sh’bi’kedushah</w:t>
      </w:r>
      <w:r>
        <w:t xml:space="preserve"> exists only where the </w:t>
      </w:r>
      <w:r>
        <w:rPr>
          <w:i/>
        </w:rPr>
        <w:t>tzibbur</w:t>
      </w:r>
      <w:r>
        <w:t xml:space="preserve"> is present to constitute the framework.</w:t>
      </w:r>
    </w:p>
    <w:p>
      <w:r>
        <w:rPr>
          <w:b/>
          <w:color w:val="1E3A8A"/>
          <w:sz w:val="26"/>
        </w:rPr>
        <w:t>VIII. KEDUSHAH AS A DAILY MITZVAH DE’ORAISA</w:t>
      </w:r>
    </w:p>
    <w:p>
      <w:pPr>
        <w:pBdr>
          <w:bottom w:val="single" w:sz="6" w:space="1" w:color="B8860B"/>
        </w:pBdr>
      </w:pPr>
    </w:p>
    <w:p>
      <w:r>
        <w:rPr>
          <w:i/>
          <w:color w:val="B8860B"/>
          <w:sz w:val="24"/>
        </w:rPr>
        <w:t>The Pasuk and the Two Kiyumim</w:t>
      </w:r>
    </w:p>
    <w:p>
      <w:r>
        <w:t xml:space="preserve">The </w:t>
      </w:r>
      <w:r>
        <w:rPr>
          <w:i/>
        </w:rPr>
        <w:t>pasuk</w:t>
      </w:r>
      <w:r>
        <w:t xml:space="preserve"> </w:t>
      </w:r>
      <w:r>
        <w:rPr>
          <w:i/>
        </w:rPr>
        <w:t>“v’nikdashti b’soch Bnei Yisrael”</w:t>
      </w:r>
      <w:r>
        <w:t xml:space="preserve"> (</w:t>
      </w:r>
      <w:r>
        <w:rPr>
          <w:i/>
        </w:rPr>
        <w:t>Vayikra</w:t>
      </w:r>
      <w:r>
        <w:t xml:space="preserve"> </w:t>
      </w:r>
      <w:r>
        <w:rPr>
          <w:rFonts w:ascii="David" w:hAnsi="David"/>
        </w:rPr>
        <w:t>כ"ב:ל"ב</w:t>
      </w:r>
      <w:r>
        <w:t xml:space="preserve">) is the source from which the </w:t>
      </w:r>
      <w:r>
        <w:rPr>
          <w:i/>
        </w:rPr>
        <w:t>Gemara</w:t>
      </w:r>
      <w:r>
        <w:t xml:space="preserve"> derives the well-known </w:t>
      </w:r>
      <w:r>
        <w:rPr>
          <w:i/>
        </w:rPr>
        <w:t>din</w:t>
      </w:r>
      <w:r>
        <w:t xml:space="preserve"> of </w:t>
      </w:r>
      <w:r>
        <w:rPr>
          <w:i/>
        </w:rPr>
        <w:t>Kiddush Hashem</w:t>
      </w:r>
      <w:r>
        <w:t xml:space="preserve"> (</w:t>
      </w:r>
      <w:r>
        <w:rPr>
          <w:rFonts w:ascii="David" w:hAnsi="David"/>
        </w:rPr>
        <w:t>קידוש השם</w:t>
      </w:r>
      <w:r>
        <w:t xml:space="preserve">) in the classical case: where a </w:t>
      </w:r>
      <w:r>
        <w:rPr>
          <w:i/>
        </w:rPr>
        <w:t>goy</w:t>
      </w:r>
      <w:r>
        <w:t xml:space="preserve"> demands public idolatry under threat of death, one gives one’s life. </w:t>
      </w:r>
      <w:r>
        <w:rPr>
          <w:i/>
        </w:rPr>
        <w:t>Baruch Hashem</w:t>
      </w:r>
      <w:r>
        <w:t>, the gun-to-the-head case does not describe the daily reality of the contemporary Jew.</w:t>
      </w:r>
    </w:p>
    <w:p>
      <w:r>
        <w:rPr>
          <w:i/>
          <w:color w:val="B8860B"/>
          <w:sz w:val="24"/>
        </w:rPr>
        <w:t>The Shaarei Kedushah’s Chiddush</w:t>
      </w:r>
    </w:p>
    <w:p>
      <w:r>
        <w:t xml:space="preserve">The </w:t>
      </w:r>
      <w:r>
        <w:rPr>
          <w:i/>
        </w:rPr>
        <w:t>Shaarei Kedushah</w:t>
      </w:r>
      <w:r>
        <w:rPr>
          <w:color w:val="B8860B"/>
          <w:sz w:val="16"/>
          <w:vertAlign w:val="superscript"/>
        </w:rPr>
        <w:t>[23]</w:t>
      </w:r>
      <w:r>
        <w:t xml:space="preserve"> of </w:t>
      </w:r>
      <w:r>
        <w:rPr>
          <w:i/>
        </w:rPr>
        <w:t>Rabbi Chaim Vital</w:t>
      </w:r>
      <w:r>
        <w:t xml:space="preserve">, foremost </w:t>
      </w:r>
      <w:r>
        <w:rPr>
          <w:i/>
        </w:rPr>
        <w:t>talmid</w:t>
      </w:r>
      <w:r>
        <w:t xml:space="preserve"> of the </w:t>
      </w:r>
      <w:r>
        <w:rPr>
          <w:i/>
        </w:rPr>
        <w:t>Arizal</w:t>
      </w:r>
      <w:r>
        <w:t xml:space="preserve">, develops the doctrine that the same </w:t>
      </w:r>
      <w:r>
        <w:rPr>
          <w:i/>
        </w:rPr>
        <w:t>pasuk</w:t>
      </w:r>
      <w:r>
        <w:t xml:space="preserve"> grounds a </w:t>
      </w:r>
      <w:r>
        <w:rPr>
          <w:b/>
        </w:rPr>
        <w:t xml:space="preserve">daily </w:t>
      </w:r>
      <w:r>
        <w:rPr>
          <w:b/>
          <w:i/>
        </w:rPr>
        <w:t>mitzvah</w:t>
      </w:r>
      <w:r>
        <w:t xml:space="preserve">: the </w:t>
      </w:r>
      <w:r>
        <w:rPr>
          <w:i/>
        </w:rPr>
        <w:t>kiyum</w:t>
      </w:r>
      <w:r>
        <w:t xml:space="preserve"> of </w:t>
      </w:r>
      <w:r>
        <w:rPr>
          <w:i/>
        </w:rPr>
        <w:t>Kiddush Hashem</w:t>
      </w:r>
      <w:r>
        <w:t xml:space="preserve"> in the form of the </w:t>
      </w:r>
      <w:r>
        <w:rPr>
          <w:i/>
        </w:rPr>
        <w:t>Kedushah</w:t>
      </w:r>
      <w:r>
        <w:t xml:space="preserve"> recited with a </w:t>
      </w:r>
      <w:r>
        <w:rPr>
          <w:i/>
        </w:rPr>
        <w:t>minyan</w:t>
      </w:r>
      <w:r>
        <w:t xml:space="preserve">. The </w:t>
      </w:r>
      <w:r>
        <w:rPr>
          <w:i/>
        </w:rPr>
        <w:t>Mishnah Berurah</w:t>
      </w:r>
      <w:r>
        <w:rPr>
          <w:color w:val="B8860B"/>
          <w:sz w:val="16"/>
          <w:vertAlign w:val="superscript"/>
        </w:rPr>
        <w:t>[11]</w:t>
      </w:r>
      <w:r>
        <w:t xml:space="preserve"> codifies this </w:t>
      </w:r>
      <w:r>
        <w:rPr>
          <w:i/>
        </w:rPr>
        <w:t>lechatchilah</w:t>
      </w:r>
      <w:r>
        <w:t xml:space="preserve">: when the mispallel stands for </w:t>
      </w:r>
      <w:r>
        <w:rPr>
          <w:i/>
        </w:rPr>
        <w:t>Kedushah</w:t>
      </w:r>
      <w:r>
        <w:t xml:space="preserve">, he should have explicitly in mind the words, </w:t>
      </w:r>
      <w:r>
        <w:rPr>
          <w:i/>
        </w:rPr>
        <w:t>“I am about to fulfill the</w:t>
      </w:r>
      <w:r>
        <w:t xml:space="preserve"> mitzvas aseih d’oraisa </w:t>
      </w:r>
      <w:r>
        <w:rPr>
          <w:i/>
        </w:rPr>
        <w:t>of ‘v’nikdashti b’soch Bnei Yisrael.’”</w:t>
      </w:r>
      <w:r>
        <w:t xml:space="preserve"> This </w:t>
      </w:r>
      <w:r>
        <w:rPr>
          <w:i/>
        </w:rPr>
        <w:t>kavvanah</w:t>
      </w:r>
      <w:r>
        <w:t xml:space="preserve"> is not decorative but essential to the </w:t>
      </w:r>
      <w:r>
        <w:rPr>
          <w:i/>
        </w:rPr>
        <w:t>kiyum</w:t>
      </w:r>
      <w:r>
        <w:t xml:space="preserve">, since the daily </w:t>
      </w:r>
      <w:r>
        <w:rPr>
          <w:i/>
        </w:rPr>
        <w:t>Kedushah</w:t>
      </w:r>
      <w:r>
        <w:t xml:space="preserve"> is the principal non-martyrdom </w:t>
      </w:r>
      <w:r>
        <w:rPr>
          <w:i/>
        </w:rPr>
        <w:t>kiyum</w:t>
      </w:r>
      <w:r>
        <w:t xml:space="preserve"> of the </w:t>
      </w:r>
      <w:r>
        <w:rPr>
          <w:i/>
        </w:rPr>
        <w:t>pasuk</w:t>
      </w:r>
      <w:r>
        <w:t>.</w:t>
      </w:r>
    </w:p>
    <w:p>
      <w:r>
        <w:t xml:space="preserve">The </w:t>
      </w:r>
      <w:r>
        <w:rPr>
          <w:i/>
        </w:rPr>
        <w:t>chiddush</w:t>
      </w:r>
      <w:r>
        <w:t xml:space="preserve"> that follows is of significant halachic-hashkafic weight: the </w:t>
      </w:r>
      <w:r>
        <w:rPr>
          <w:i/>
        </w:rPr>
        <w:t>Kedushah</w:t>
      </w:r>
      <w:r>
        <w:t xml:space="preserve"> stands on a </w:t>
      </w:r>
      <w:r>
        <w:rPr>
          <w:i/>
        </w:rPr>
        <w:t>higher tier</w:t>
      </w:r>
      <w:r>
        <w:t xml:space="preserve"> than </w:t>
      </w:r>
      <w:r>
        <w:rPr>
          <w:i/>
        </w:rPr>
        <w:t>tefillah</w:t>
      </w:r>
      <w:r>
        <w:t xml:space="preserve"> itself, which is </w:t>
      </w:r>
      <w:r>
        <w:rPr>
          <w:i/>
        </w:rPr>
        <w:t>de’rabbanan</w:t>
      </w:r>
      <w:r>
        <w:t xml:space="preserve">. The mispallel who davens </w:t>
      </w:r>
      <w:r>
        <w:rPr>
          <w:i/>
        </w:rPr>
        <w:t>Shemoneh Esrei</w:t>
      </w:r>
      <w:r>
        <w:t xml:space="preserve"> is discharging a </w:t>
      </w:r>
      <w:r>
        <w:rPr>
          <w:i/>
        </w:rPr>
        <w:t>mitzvah de’rabbanan</w:t>
      </w:r>
      <w:r>
        <w:t xml:space="preserve">; the mispallel who says </w:t>
      </w:r>
      <w:r>
        <w:rPr>
          <w:i/>
        </w:rPr>
        <w:t>Kedushah</w:t>
      </w:r>
      <w:r>
        <w:t xml:space="preserve"> with the </w:t>
      </w:r>
      <w:r>
        <w:rPr>
          <w:i/>
        </w:rPr>
        <w:t>tzibbur</w:t>
      </w:r>
      <w:r>
        <w:t xml:space="preserve"> is discharging a </w:t>
      </w:r>
      <w:r>
        <w:rPr>
          <w:i/>
        </w:rPr>
        <w:t>mitzvah de’oraisa</w:t>
      </w:r>
      <w:r>
        <w:t xml:space="preserve">. The </w:t>
      </w:r>
      <w:r>
        <w:rPr>
          <w:i/>
        </w:rPr>
        <w:t>Arizal HaKadosh</w:t>
      </w:r>
      <w:r>
        <w:t xml:space="preserve"> was </w:t>
      </w:r>
      <w:r>
        <w:rPr>
          <w:i/>
        </w:rPr>
        <w:t>makpid</w:t>
      </w:r>
      <w:r>
        <w:t xml:space="preserve"> on this </w:t>
      </w:r>
      <w:r>
        <w:rPr>
          <w:i/>
        </w:rPr>
        <w:t>kavvanah</w:t>
      </w:r>
      <w:r>
        <w:t xml:space="preserve">; saying </w:t>
      </w:r>
      <w:r>
        <w:rPr>
          <w:i/>
        </w:rPr>
        <w:t>Kedushah</w:t>
      </w:r>
      <w:r>
        <w:t xml:space="preserve"> with this consciousness draws the </w:t>
      </w:r>
      <w:r>
        <w:rPr>
          <w:i/>
        </w:rPr>
        <w:t>kedushah</w:t>
      </w:r>
      <w:r>
        <w:t xml:space="preserve"> down </w:t>
      </w:r>
      <w:r>
        <w:rPr>
          <w:i/>
        </w:rPr>
        <w:t>“b’soch Bnei Yisrael”</w:t>
      </w:r>
      <w:r>
        <w:t>.</w:t>
      </w:r>
    </w:p>
    <w:p>
      <w:r>
        <w:rPr>
          <w:b/>
          <w:color w:val="1E3A8A"/>
          <w:sz w:val="26"/>
        </w:rPr>
        <w:t>IX. REGEL YESHARA — JOINING THE STANCE OF THE MALACHIM</w:t>
      </w:r>
    </w:p>
    <w:p>
      <w:pPr>
        <w:pBdr>
          <w:bottom w:val="single" w:sz="6" w:space="1" w:color="B8860B"/>
        </w:pBdr>
      </w:pPr>
    </w:p>
    <w:p>
      <w:r>
        <w:t xml:space="preserve">The </w:t>
      </w:r>
      <w:r>
        <w:rPr>
          <w:i/>
        </w:rPr>
        <w:t>Terumas HaDeshen</w:t>
      </w:r>
      <w:r>
        <w:rPr>
          <w:color w:val="B8860B"/>
          <w:sz w:val="16"/>
          <w:vertAlign w:val="superscript"/>
        </w:rPr>
        <w:t>[12]</w:t>
      </w:r>
      <w:r>
        <w:t xml:space="preserve"> rules that during </w:t>
      </w:r>
      <w:r>
        <w:rPr>
          <w:i/>
        </w:rPr>
        <w:t>Kedushah</w:t>
      </w:r>
      <w:r>
        <w:t xml:space="preserve"> one stands with feet together — </w:t>
      </w:r>
      <w:r>
        <w:rPr>
          <w:i/>
        </w:rPr>
        <w:t>“regel yeshara”</w:t>
      </w:r>
      <w:r>
        <w:t xml:space="preserve"> (</w:t>
      </w:r>
      <w:r>
        <w:rPr>
          <w:rFonts w:ascii="David" w:hAnsi="David"/>
        </w:rPr>
        <w:t>רגל ישרה</w:t>
      </w:r>
      <w:r>
        <w:t xml:space="preserve">) — exactly as during </w:t>
      </w:r>
      <w:r>
        <w:rPr>
          <w:i/>
        </w:rPr>
        <w:t>Shemoneh Esrei</w:t>
      </w:r>
      <w:r>
        <w:t xml:space="preserve">. The reasoning is textual: the </w:t>
      </w:r>
      <w:r>
        <w:rPr>
          <w:i/>
        </w:rPr>
        <w:t>pasuk</w:t>
      </w:r>
      <w:r>
        <w:t xml:space="preserve"> in </w:t>
      </w:r>
      <w:r>
        <w:rPr>
          <w:i/>
        </w:rPr>
        <w:t>Yechezkel</w:t>
      </w:r>
      <w:r>
        <w:t xml:space="preserve"> </w:t>
      </w:r>
      <w:r>
        <w:rPr>
          <w:rFonts w:ascii="David" w:hAnsi="David"/>
        </w:rPr>
        <w:t>א':ז'</w:t>
      </w:r>
      <w:r>
        <w:t xml:space="preserve"> describes the </w:t>
      </w:r>
      <w:r>
        <w:rPr>
          <w:i/>
        </w:rPr>
        <w:t>malachim</w:t>
      </w:r>
      <w:r>
        <w:t xml:space="preserve">: </w:t>
      </w:r>
      <w:r>
        <w:rPr>
          <w:i/>
        </w:rPr>
        <w:t>“v’ragleihem regel yeshara”</w:t>
      </w:r>
      <w:r>
        <w:t xml:space="preserve"> (</w:t>
      </w:r>
      <w:r>
        <w:rPr>
          <w:rFonts w:ascii="David" w:hAnsi="David"/>
        </w:rPr>
        <w:t>ורגליהם רגל ישרה</w:t>
      </w:r>
      <w:r>
        <w:t xml:space="preserve">). The mispallel physically joins the </w:t>
      </w:r>
      <w:r>
        <w:rPr>
          <w:i/>
        </w:rPr>
        <w:t>malachim</w:t>
      </w:r>
      <w:r>
        <w:t xml:space="preserve">’s stance as he joins their </w:t>
      </w:r>
      <w:r>
        <w:rPr>
          <w:i/>
        </w:rPr>
        <w:t>shirah</w:t>
      </w:r>
      <w:r>
        <w:t>.</w:t>
      </w:r>
    </w:p>
    <w:p>
      <w:r>
        <w:rPr>
          <w:b/>
          <w:color w:val="1E3A8A"/>
          <w:sz w:val="26"/>
        </w:rPr>
        <w:t>X. THE MYSTICAL DIMENSION — PIRKEI HEICHALOS</w:t>
      </w:r>
    </w:p>
    <w:p>
      <w:pPr>
        <w:pBdr>
          <w:bottom w:val="single" w:sz="6" w:space="1" w:color="B8860B"/>
        </w:pBdr>
      </w:pPr>
    </w:p>
    <w:p>
      <w:r>
        <w:rPr>
          <w:i/>
          <w:color w:val="B8860B"/>
          <w:sz w:val="24"/>
        </w:rPr>
        <w:t>The Tur’s Unusual Citation</w:t>
      </w:r>
    </w:p>
    <w:p>
      <w:r>
        <w:t xml:space="preserve">The </w:t>
      </w:r>
      <w:r>
        <w:rPr>
          <w:i/>
        </w:rPr>
        <w:t>Tur</w:t>
      </w:r>
      <w:r>
        <w:t xml:space="preserve">, </w:t>
      </w:r>
      <w:r>
        <w:rPr>
          <w:i/>
        </w:rPr>
        <w:t>Rabbeinu Yaakov Baal HaTurim</w:t>
      </w:r>
      <w:r>
        <w:t xml:space="preserve"> — who is characteristically distant from kabbalistic literature in his halachic compendium — uniquely cites </w:t>
      </w:r>
      <w:r>
        <w:rPr>
          <w:i/>
        </w:rPr>
        <w:t>Pirkei Heichalos</w:t>
      </w:r>
      <w:r>
        <w:t xml:space="preserve"> (</w:t>
      </w:r>
      <w:r>
        <w:rPr>
          <w:rFonts w:ascii="David" w:hAnsi="David"/>
        </w:rPr>
        <w:t>פרקי היכלות</w:t>
      </w:r>
      <w:r>
        <w:t xml:space="preserve">) in his treatment of </w:t>
      </w:r>
      <w:r>
        <w:rPr>
          <w:i/>
        </w:rPr>
        <w:t>Kedushah</w:t>
      </w:r>
      <w:r>
        <w:t>.</w:t>
      </w:r>
      <w:r>
        <w:rPr>
          <w:color w:val="B8860B"/>
          <w:sz w:val="16"/>
          <w:vertAlign w:val="superscript"/>
        </w:rPr>
        <w:t>[13]</w:t>
      </w:r>
      <w:r>
        <w:t xml:space="preserve"> </w:t>
      </w:r>
      <w:r>
        <w:rPr>
          <w:i/>
        </w:rPr>
        <w:t>Pirkei Heichalos</w:t>
      </w:r>
      <w:r>
        <w:t xml:space="preserve"> is a tannaitic-era mystical text — some twenty-odd pages dense with names of </w:t>
      </w:r>
      <w:r>
        <w:rPr>
          <w:i/>
        </w:rPr>
        <w:t>malachim</w:t>
      </w:r>
      <w:r>
        <w:t xml:space="preserve"> and a description of the </w:t>
      </w:r>
      <w:r>
        <w:rPr>
          <w:i/>
        </w:rPr>
        <w:t>shamayim</w:t>
      </w:r>
      <w:r>
        <w:t xml:space="preserve"> during </w:t>
      </w:r>
      <w:r>
        <w:rPr>
          <w:i/>
        </w:rPr>
        <w:t>Kedushah</w:t>
      </w:r>
      <w:r>
        <w:t xml:space="preserve">; only serious </w:t>
      </w:r>
      <w:r>
        <w:rPr>
          <w:i/>
        </w:rPr>
        <w:t>mekubalim</w:t>
      </w:r>
      <w:r>
        <w:t xml:space="preserve"> ordinarily learn it. The </w:t>
      </w:r>
      <w:r>
        <w:rPr>
          <w:i/>
        </w:rPr>
        <w:t>Tur</w:t>
      </w:r>
      <w:r>
        <w:t xml:space="preserve">’s decision to lift its imagery into mainstream halachic awareness signals how central this dimension is to the </w:t>
      </w:r>
      <w:r>
        <w:rPr>
          <w:i/>
        </w:rPr>
        <w:t>Kedushah</w:t>
      </w:r>
      <w:r>
        <w:t>’s meaning.</w:t>
      </w:r>
    </w:p>
    <w:p>
      <w:r>
        <w:rPr>
          <w:i/>
          <w:color w:val="B8860B"/>
          <w:sz w:val="24"/>
        </w:rPr>
        <w:t>The Scene Described</w:t>
      </w:r>
    </w:p>
    <w:p>
      <w:r>
        <w:t xml:space="preserve">When </w:t>
      </w:r>
      <w:r>
        <w:rPr>
          <w:i/>
        </w:rPr>
        <w:t>Yidden</w:t>
      </w:r>
      <w:r>
        <w:t xml:space="preserve"> below recite </w:t>
      </w:r>
      <w:r>
        <w:rPr>
          <w:i/>
        </w:rPr>
        <w:t>Kedushah</w:t>
      </w:r>
      <w:r>
        <w:t xml:space="preserve"> — lifting their heels, gazing upward — the </w:t>
      </w:r>
      <w:r>
        <w:rPr>
          <w:i/>
        </w:rPr>
        <w:t>Ribbono Shel Olam</w:t>
      </w:r>
      <w:r>
        <w:t xml:space="preserve">, </w:t>
      </w:r>
      <w:r>
        <w:rPr>
          <w:i/>
        </w:rPr>
        <w:t>kaviyachol</w:t>
      </w:r>
      <w:r>
        <w:t xml:space="preserve"> (</w:t>
      </w:r>
      <w:r>
        <w:rPr>
          <w:rFonts w:ascii="David" w:hAnsi="David"/>
        </w:rPr>
        <w:t>כביכול</w:t>
      </w:r>
      <w:r>
        <w:t xml:space="preserve">), experiences an immense </w:t>
      </w:r>
      <w:r>
        <w:rPr>
          <w:i/>
        </w:rPr>
        <w:t>simchah</w:t>
      </w:r>
      <w:r>
        <w:t xml:space="preserve">. It is as if </w:t>
      </w:r>
      <w:r>
        <w:rPr>
          <w:i/>
        </w:rPr>
        <w:t>Klal Yisrael</w:t>
      </w:r>
      <w:r>
        <w:t xml:space="preserve"> and the </w:t>
      </w:r>
      <w:r>
        <w:rPr>
          <w:i/>
        </w:rPr>
        <w:t>Ribbono Shel Olam</w:t>
      </w:r>
      <w:r>
        <w:t xml:space="preserve"> lock eyes; </w:t>
      </w:r>
      <w:r>
        <w:rPr>
          <w:i/>
        </w:rPr>
        <w:t>Klal Yisrael</w:t>
      </w:r>
      <w:r>
        <w:t xml:space="preserve"> is in love with Him in that moment, and He looks back. He grasps the </w:t>
      </w:r>
      <w:r>
        <w:rPr>
          <w:i/>
        </w:rPr>
        <w:t>Kisei HaKavod</w:t>
      </w:r>
      <w:r>
        <w:t xml:space="preserve"> (</w:t>
      </w:r>
      <w:r>
        <w:rPr>
          <w:rFonts w:ascii="David" w:hAnsi="David"/>
        </w:rPr>
        <w:t>כסא הכבוד</w:t>
      </w:r>
      <w:r>
        <w:t xml:space="preserve">) — specifically the part upon which the image of </w:t>
      </w:r>
      <w:r>
        <w:rPr>
          <w:i/>
        </w:rPr>
        <w:t>Yaakov Avinu</w:t>
      </w:r>
      <w:r>
        <w:t xml:space="preserve"> is engraved (</w:t>
      </w:r>
      <w:r>
        <w:rPr>
          <w:i/>
        </w:rPr>
        <w:t>“Yaakov chakuk al Kisei HaKavod”</w:t>
      </w:r>
      <w:r>
        <w:t xml:space="preserve">, </w:t>
      </w:r>
      <w:r>
        <w:rPr>
          <w:rFonts w:ascii="David" w:hAnsi="David"/>
        </w:rPr>
        <w:t>יעקב חקוק על כסא הכבוד</w:t>
      </w:r>
      <w:r>
        <w:t>)</w:t>
      </w:r>
      <w:r>
        <w:rPr>
          <w:color w:val="B8860B"/>
          <w:sz w:val="16"/>
          <w:vertAlign w:val="superscript"/>
        </w:rPr>
        <w:t>[14]</w:t>
      </w:r>
      <w:r>
        <w:t xml:space="preserve"> — the image standing for </w:t>
      </w:r>
      <w:r>
        <w:rPr>
          <w:i/>
        </w:rPr>
        <w:t>Klal Yisrael</w:t>
      </w:r>
      <w:r>
        <w:t xml:space="preserve"> below. The </w:t>
      </w:r>
      <w:r>
        <w:rPr>
          <w:i/>
        </w:rPr>
        <w:t>Midrash</w:t>
      </w:r>
      <w:r>
        <w:t xml:space="preserve"> describes what follows in language of unmistakable intimacy: </w:t>
      </w:r>
      <w:r>
        <w:rPr>
          <w:i/>
        </w:rPr>
        <w:t>“u’mchabek u’menashek”</w:t>
      </w:r>
      <w:r>
        <w:t xml:space="preserve"> (</w:t>
      </w:r>
      <w:r>
        <w:rPr>
          <w:rFonts w:ascii="David" w:hAnsi="David"/>
        </w:rPr>
        <w:t>ומחבק ומנשק</w:t>
      </w:r>
      <w:r>
        <w:t xml:space="preserve">) — He embraces and kisses. He declares: </w:t>
      </w:r>
      <w:r>
        <w:rPr>
          <w:i/>
        </w:rPr>
        <w:t>“They are in love with Me!”</w:t>
      </w:r>
      <w:r>
        <w:t xml:space="preserve"> — and at that moment, He awakens </w:t>
      </w:r>
      <w:r>
        <w:rPr>
          <w:i/>
        </w:rPr>
        <w:t>geulah</w:t>
      </w:r>
      <w:r>
        <w:t xml:space="preserve"> (</w:t>
      </w:r>
      <w:r>
        <w:rPr>
          <w:rFonts w:ascii="David" w:hAnsi="David"/>
        </w:rPr>
        <w:t>גאולה</w:t>
      </w:r>
      <w:r>
        <w:t>).</w:t>
      </w:r>
    </w:p>
    <w:p>
      <w:r>
        <w:rPr>
          <w:i/>
        </w:rPr>
        <w:t>Klal Yisrael</w:t>
      </w:r>
      <w:r>
        <w:t xml:space="preserve"> has been doing this every day for centuries and the </w:t>
      </w:r>
      <w:r>
        <w:rPr>
          <w:i/>
        </w:rPr>
        <w:t>geulah</w:t>
      </w:r>
      <w:r>
        <w:t xml:space="preserve"> has not yet come. Yet the scene is not thereby diminished. It remains a </w:t>
      </w:r>
      <w:r>
        <w:rPr>
          <w:i/>
        </w:rPr>
        <w:t>rega</w:t>
      </w:r>
      <w:r>
        <w:t xml:space="preserve"> (</w:t>
      </w:r>
      <w:r>
        <w:rPr>
          <w:rFonts w:ascii="David" w:hAnsi="David"/>
        </w:rPr>
        <w:t>רגע</w:t>
      </w:r>
      <w:r>
        <w:t xml:space="preserve">) of </w:t>
      </w:r>
      <w:r>
        <w:rPr>
          <w:i/>
        </w:rPr>
        <w:t>deveikus</w:t>
      </w:r>
      <w:r>
        <w:t xml:space="preserve"> (</w:t>
      </w:r>
      <w:r>
        <w:rPr>
          <w:rFonts w:ascii="David" w:hAnsi="David"/>
        </w:rPr>
        <w:t>דביקות</w:t>
      </w:r>
      <w:r>
        <w:t xml:space="preserve">) between </w:t>
      </w:r>
      <w:r>
        <w:rPr>
          <w:i/>
        </w:rPr>
        <w:t>Klal Yisrael</w:t>
      </w:r>
      <w:r>
        <w:t xml:space="preserve"> and the </w:t>
      </w:r>
      <w:r>
        <w:rPr>
          <w:i/>
        </w:rPr>
        <w:t>Ribbono Shel Olam</w:t>
      </w:r>
      <w:r>
        <w:t xml:space="preserve"> that the </w:t>
      </w:r>
      <w:r>
        <w:rPr>
          <w:i/>
        </w:rPr>
        <w:t>poskim</w:t>
      </w:r>
      <w:r>
        <w:t xml:space="preserve"> bring down as </w:t>
      </w:r>
      <w:r>
        <w:rPr>
          <w:i/>
        </w:rPr>
        <w:t>halachah</w:t>
      </w:r>
      <w:r>
        <w:t>, not merely as poetic elaboration.</w:t>
      </w:r>
    </w:p>
    <w:p>
      <w:r>
        <w:rPr>
          <w:b/>
          <w:color w:val="1E3A8A"/>
          <w:sz w:val="26"/>
        </w:rPr>
        <w:t>XI. THE MECHANICS — JUMPING, TREMBLING, GAZING</w:t>
      </w:r>
    </w:p>
    <w:p>
      <w:pPr>
        <w:pBdr>
          <w:bottom w:val="single" w:sz="6" w:space="1" w:color="B8860B"/>
        </w:pBdr>
      </w:pPr>
    </w:p>
    <w:p>
      <w:r>
        <w:rPr>
          <w:i/>
          <w:color w:val="B8860B"/>
          <w:sz w:val="24"/>
        </w:rPr>
        <w:t>Jumping at Kadosh</w:t>
      </w:r>
    </w:p>
    <w:p>
      <w:r>
        <w:t xml:space="preserve">The </w:t>
      </w:r>
      <w:r>
        <w:rPr>
          <w:i/>
        </w:rPr>
        <w:t>Rishonim</w:t>
      </w:r>
      <w:r>
        <w:t xml:space="preserve"> and the </w:t>
      </w:r>
      <w:r>
        <w:rPr>
          <w:i/>
        </w:rPr>
        <w:t>Shulchan Aruch</w:t>
      </w:r>
      <w:r>
        <w:t xml:space="preserve"> in </w:t>
      </w:r>
      <w:r>
        <w:rPr>
          <w:i/>
        </w:rPr>
        <w:t>siman</w:t>
      </w:r>
      <w:r>
        <w:t xml:space="preserve"> </w:t>
      </w:r>
      <w:r>
        <w:rPr>
          <w:rFonts w:ascii="David" w:hAnsi="David"/>
        </w:rPr>
        <w:t>קכ"ה</w:t>
      </w:r>
      <w:r>
        <w:t xml:space="preserve"> and </w:t>
      </w:r>
      <w:r>
        <w:rPr>
          <w:rFonts w:ascii="David" w:hAnsi="David"/>
        </w:rPr>
        <w:t>קכ"ח</w:t>
      </w:r>
      <w:r>
        <w:rPr>
          <w:color w:val="B8860B"/>
          <w:sz w:val="16"/>
          <w:vertAlign w:val="superscript"/>
        </w:rPr>
        <w:t>[19]</w:t>
      </w:r>
      <w:r>
        <w:t xml:space="preserve"> describe the </w:t>
      </w:r>
      <w:r>
        <w:rPr>
          <w:i/>
        </w:rPr>
        <w:t>minhag</w:t>
      </w:r>
      <w:r>
        <w:t xml:space="preserve"> of jumping at each </w:t>
      </w:r>
      <w:r>
        <w:rPr>
          <w:i/>
        </w:rPr>
        <w:t>“Kadosh”</w:t>
      </w:r>
      <w:r>
        <w:t xml:space="preserve">. Variations are recorded: some lift the toes only with heels remaining grounded; some lift the heels with toes grounded; some leave the ground entirely. The </w:t>
      </w:r>
      <w:r>
        <w:rPr>
          <w:i/>
        </w:rPr>
        <w:t>Mishnah Berurah</w:t>
      </w:r>
      <w:r>
        <w:t xml:space="preserve"> records the full range. The </w:t>
      </w:r>
      <w:r>
        <w:rPr>
          <w:i/>
        </w:rPr>
        <w:t>Magen Avraham</w:t>
      </w:r>
      <w:r>
        <w:t xml:space="preserve"> cautions against a complete jump in a shul where this is not the </w:t>
      </w:r>
      <w:r>
        <w:rPr>
          <w:i/>
        </w:rPr>
        <w:t>minhag</w:t>
      </w:r>
      <w:r>
        <w:t xml:space="preserve"> of the community — </w:t>
      </w:r>
      <w:r>
        <w:rPr>
          <w:i/>
        </w:rPr>
        <w:t>lest one provoke mockery</w:t>
      </w:r>
      <w:r>
        <w:t xml:space="preserve"> — and rules that </w:t>
      </w:r>
      <w:r>
        <w:rPr>
          <w:i/>
        </w:rPr>
        <w:t>lechatchilah</w:t>
      </w:r>
      <w:r>
        <w:t xml:space="preserve"> the lifting of the heels suffices. The </w:t>
      </w:r>
      <w:r>
        <w:rPr>
          <w:i/>
        </w:rPr>
        <w:t>mekubalim</w:t>
      </w:r>
      <w:r>
        <w:t xml:space="preserve">: three lifts at the three </w:t>
      </w:r>
      <w:r>
        <w:rPr>
          <w:i/>
        </w:rPr>
        <w:t>“Kadosh”</w:t>
      </w:r>
      <w:r>
        <w:t xml:space="preserve">s and one at </w:t>
      </w:r>
      <w:r>
        <w:rPr>
          <w:i/>
        </w:rPr>
        <w:t>“Baruch kevod.”</w:t>
      </w:r>
    </w:p>
    <w:p>
      <w:r>
        <w:rPr>
          <w:i/>
          <w:color w:val="B8860B"/>
          <w:sz w:val="24"/>
        </w:rPr>
        <w:t>The Two Reasons for Motion</w:t>
      </w:r>
    </w:p>
    <w:p>
      <w:r>
        <w:t xml:space="preserve">Two sources ground the practice of physical motion at the </w:t>
      </w:r>
      <w:r>
        <w:rPr>
          <w:i/>
        </w:rPr>
        <w:t>Kedushah</w:t>
      </w:r>
      <w:r>
        <w:t>:</w:t>
      </w:r>
    </w:p>
    <w:p>
      <w:r>
        <w:rPr>
          <w:i/>
          <w:color w:val="B8860B"/>
          <w:sz w:val="24"/>
        </w:rPr>
        <w:t>Looking Upward</w:t>
      </w:r>
    </w:p>
    <w:p>
      <w:r>
        <w:t xml:space="preserve">Though not explicit in the body of the </w:t>
      </w:r>
      <w:r>
        <w:rPr>
          <w:i/>
        </w:rPr>
        <w:t>Shulchan Aruch</w:t>
      </w:r>
      <w:r>
        <w:t xml:space="preserve">, the </w:t>
      </w:r>
      <w:r>
        <w:rPr>
          <w:i/>
        </w:rPr>
        <w:t>nose’ei keilim</w:t>
      </w:r>
      <w:r>
        <w:t xml:space="preserve"> record the practice of looking upward at </w:t>
      </w:r>
      <w:r>
        <w:rPr>
          <w:i/>
        </w:rPr>
        <w:t>“Kadosh, kadosh, kadosh.”</w:t>
      </w:r>
      <w:r>
        <w:t xml:space="preserve"> The </w:t>
      </w:r>
      <w:r>
        <w:rPr>
          <w:i/>
        </w:rPr>
        <w:t>mekubalim</w:t>
      </w:r>
      <w:r>
        <w:t xml:space="preserve"> hold that the eyes ought to be closed; the general </w:t>
      </w:r>
      <w:r>
        <w:rPr>
          <w:i/>
        </w:rPr>
        <w:t>minhag</w:t>
      </w:r>
      <w:r>
        <w:t xml:space="preserve"> is that the eyes are open. Either way, the head is oriented upward — the physical posture of the mispallel enacts the theological content of the </w:t>
      </w:r>
      <w:r>
        <w:rPr>
          <w:i/>
        </w:rPr>
        <w:t>Kedushah</w:t>
      </w:r>
      <w:r>
        <w:t>.</w:t>
      </w:r>
    </w:p>
    <w:p>
      <w:r>
        <w:rPr>
          <w:b/>
          <w:color w:val="1E3A8A"/>
          <w:sz w:val="26"/>
        </w:rPr>
        <w:t>XII. RABBEINU KALONYMUS HAZAKEIN</w:t>
      </w:r>
    </w:p>
    <w:p>
      <w:pPr>
        <w:pBdr>
          <w:bottom w:val="single" w:sz="6" w:space="1" w:color="B8860B"/>
        </w:pBdr>
      </w:pPr>
    </w:p>
    <w:p>
      <w:r>
        <w:t xml:space="preserve">The most consequential </w:t>
      </w:r>
      <w:r>
        <w:rPr>
          <w:i/>
        </w:rPr>
        <w:t>Rishon</w:t>
      </w:r>
      <w:r>
        <w:t xml:space="preserve"> standing behind the </w:t>
      </w:r>
      <w:r>
        <w:rPr>
          <w:i/>
        </w:rPr>
        <w:t>Ashkenazi</w:t>
      </w:r>
      <w:r>
        <w:t xml:space="preserve"> </w:t>
      </w:r>
      <w:r>
        <w:rPr>
          <w:i/>
        </w:rPr>
        <w:t>nusach ha’tefillah</w:t>
      </w:r>
      <w:r>
        <w:t xml:space="preserve"> and its </w:t>
      </w:r>
      <w:r>
        <w:rPr>
          <w:i/>
        </w:rPr>
        <w:t>minhagim</w:t>
      </w:r>
      <w:r>
        <w:t xml:space="preserve"> is </w:t>
      </w:r>
      <w:r>
        <w:rPr>
          <w:i/>
        </w:rPr>
        <w:t>Rabbeinu Kalonymus HaZakein</w:t>
      </w:r>
      <w:r>
        <w:t xml:space="preserve"> (</w:t>
      </w:r>
      <w:r>
        <w:rPr>
          <w:rFonts w:ascii="David" w:hAnsi="David"/>
        </w:rPr>
        <w:t>רבינו קלונימוס הזקן</w:t>
      </w:r>
      <w:r>
        <w:t xml:space="preserve">). Every </w:t>
      </w:r>
      <w:r>
        <w:rPr>
          <w:i/>
        </w:rPr>
        <w:t>ben Torah</w:t>
      </w:r>
      <w:r>
        <w:t xml:space="preserve"> should know who he was.</w:t>
      </w:r>
      <w:r>
        <w:rPr>
          <w:color w:val="B8860B"/>
          <w:sz w:val="16"/>
          <w:vertAlign w:val="superscript"/>
        </w:rPr>
        <w:t>[25]</w:t>
      </w:r>
    </w:p>
    <w:p>
      <w:r>
        <w:rPr>
          <w:rFonts w:ascii="David" w:hAnsi="David"/>
          <w:i/>
          <w:color w:val="B8860B"/>
          <w:sz w:val="24"/>
        </w:rPr>
        <w:t>The First Crusade — 1096 /תתנ"ו</w:t>
      </w:r>
    </w:p>
    <w:p>
      <w:r>
        <w:t>The First Crusade began in 1096.</w:t>
      </w:r>
      <w:r>
        <w:rPr>
          <w:color w:val="B8860B"/>
          <w:sz w:val="16"/>
          <w:vertAlign w:val="superscript"/>
        </w:rPr>
        <w:t>[15]</w:t>
      </w:r>
      <w:r>
        <w:t xml:space="preserve"> Pope Urban II called Christians to retake </w:t>
      </w:r>
      <w:r>
        <w:rPr>
          <w:i/>
        </w:rPr>
        <w:t>Yerushalayim</w:t>
      </w:r>
      <w:r>
        <w:t xml:space="preserve"> from the Fatimid Caliphate; it took three years for the Crusader armies to take the city in July of 1099, with the slaughter of its Muslim and Jewish populations. But the Crusader path through Europe — particularly through Germany and France — left in its wake the devastation of the </w:t>
      </w:r>
      <w:r>
        <w:rPr>
          <w:i/>
        </w:rPr>
        <w:t>kehillos ha’kedoshos</w:t>
      </w:r>
      <w:r>
        <w:t xml:space="preserve"> known collectively by the acronym </w:t>
      </w:r>
      <w:r>
        <w:rPr>
          <w:i/>
        </w:rPr>
        <w:t>ShUM</w:t>
      </w:r>
      <w:r>
        <w:t xml:space="preserve"> (</w:t>
      </w:r>
      <w:r>
        <w:rPr>
          <w:rFonts w:ascii="David" w:hAnsi="David"/>
        </w:rPr>
        <w:t>שו"ם</w:t>
      </w:r>
      <w:r>
        <w:t>):</w:t>
      </w:r>
      <w:r>
        <w:rPr>
          <w:color w:val="B8860B"/>
          <w:sz w:val="16"/>
          <w:vertAlign w:val="superscript"/>
        </w:rPr>
        <w:t>[16]</w:t>
      </w:r>
    </w:p>
    <w:p>
      <w:r>
        <w:t xml:space="preserve">The </w:t>
      </w:r>
      <w:r>
        <w:rPr>
          <w:i/>
        </w:rPr>
        <w:t>Maharal MiPrague</w:t>
      </w:r>
      <w:r>
        <w:t xml:space="preserve"> taught that every </w:t>
      </w:r>
      <w:r>
        <w:rPr>
          <w:i/>
        </w:rPr>
        <w:t>ben Torah</w:t>
      </w:r>
      <w:r>
        <w:t xml:space="preserve"> is obligated to know this. These are the cities from which the </w:t>
      </w:r>
      <w:r>
        <w:rPr>
          <w:i/>
        </w:rPr>
        <w:t>Ashkenazi</w:t>
      </w:r>
      <w:r>
        <w:t xml:space="preserve"> </w:t>
      </w:r>
      <w:r>
        <w:rPr>
          <w:i/>
        </w:rPr>
        <w:t>mesorah</w:t>
      </w:r>
      <w:r>
        <w:t xml:space="preserve"> and the </w:t>
      </w:r>
      <w:r>
        <w:rPr>
          <w:i/>
        </w:rPr>
        <w:t>nusach ha’tefillah</w:t>
      </w:r>
      <w:r>
        <w:t xml:space="preserve"> descend — the brief and devastating window of the early </w:t>
      </w:r>
      <w:r>
        <w:rPr>
          <w:i/>
        </w:rPr>
        <w:t>Rishonim</w:t>
      </w:r>
      <w:r>
        <w:t xml:space="preserve"> from </w:t>
      </w:r>
      <w:r>
        <w:rPr>
          <w:i/>
        </w:rPr>
        <w:t>Rabbeinu Kalonymus HaZakein</w:t>
      </w:r>
      <w:r>
        <w:t xml:space="preserve"> through </w:t>
      </w:r>
      <w:r>
        <w:rPr>
          <w:i/>
        </w:rPr>
        <w:t>Rashi</w:t>
      </w:r>
      <w:r>
        <w:t>.</w:t>
      </w:r>
    </w:p>
    <w:p>
      <w:r>
        <w:rPr>
          <w:i/>
          <w:color w:val="B8860B"/>
          <w:sz w:val="24"/>
        </w:rPr>
        <w:t>The Burial in the Mikveh</w:t>
      </w:r>
    </w:p>
    <w:p>
      <w:r>
        <w:rPr>
          <w:i/>
        </w:rPr>
        <w:t>Rabbeinu Kalonymus HaZakein</w:t>
      </w:r>
      <w:r>
        <w:t xml:space="preserve"> was among the few survivors of the </w:t>
      </w:r>
      <w:r>
        <w:rPr>
          <w:i/>
        </w:rPr>
        <w:t>gezeiros</w:t>
      </w:r>
      <w:r>
        <w:t xml:space="preserve"> in Worms. He fled to Mainz, where cousins took him and his son into their home. When he was </w:t>
      </w:r>
      <w:r>
        <w:rPr>
          <w:i/>
        </w:rPr>
        <w:t>niftar</w:t>
      </w:r>
      <w:r>
        <w:t xml:space="preserve">, however, Worms was still under siege — the community could not bring him to the </w:t>
      </w:r>
      <w:r>
        <w:rPr>
          <w:i/>
        </w:rPr>
        <w:t>beis ha’kevaros</w:t>
      </w:r>
      <w:r>
        <w:t xml:space="preserve"> of Worms, where his ancestors lay, though they wished to bring him to </w:t>
      </w:r>
      <w:r>
        <w:rPr>
          <w:i/>
        </w:rPr>
        <w:t>kever avosav</w:t>
      </w:r>
      <w:r>
        <w:t>.</w:t>
      </w:r>
    </w:p>
    <w:p>
      <w:r>
        <w:t xml:space="preserve">The </w:t>
      </w:r>
      <w:r>
        <w:rPr>
          <w:i/>
        </w:rPr>
        <w:t>Rosh</w:t>
      </w:r>
      <w:r>
        <w:t xml:space="preserve"> in </w:t>
      </w:r>
      <w:r>
        <w:rPr>
          <w:i/>
        </w:rPr>
        <w:t>Maseches Mo’ed Katan</w:t>
      </w:r>
      <w:r>
        <w:t xml:space="preserve"> records the </w:t>
      </w:r>
      <w:r>
        <w:rPr>
          <w:i/>
        </w:rPr>
        <w:t>ma’aseh</w:t>
      </w:r>
      <w:r>
        <w:t xml:space="preserve">, and the </w:t>
      </w:r>
      <w:r>
        <w:rPr>
          <w:i/>
        </w:rPr>
        <w:t>Shulchan Aruch</w:t>
      </w:r>
      <w:r>
        <w:t xml:space="preserve"> in </w:t>
      </w:r>
      <w:r>
        <w:rPr>
          <w:i/>
        </w:rPr>
        <w:t>Yoreh De’ah siman shin-ayin-hei</w:t>
      </w:r>
      <w:r>
        <w:t xml:space="preserve"> brings the </w:t>
      </w:r>
      <w:r>
        <w:rPr>
          <w:i/>
        </w:rPr>
        <w:t>pesak</w:t>
      </w:r>
      <w:r>
        <w:t>:</w:t>
      </w:r>
      <w:r>
        <w:rPr>
          <w:color w:val="B8860B"/>
          <w:sz w:val="16"/>
          <w:vertAlign w:val="superscript"/>
        </w:rPr>
        <w:t>[17]</w:t>
      </w:r>
      <w:r>
        <w:t xml:space="preserve"> the community placed the </w:t>
      </w:r>
      <w:r>
        <w:rPr>
          <w:i/>
        </w:rPr>
        <w:t>aron</w:t>
      </w:r>
      <w:r>
        <w:t xml:space="preserve"> in the </w:t>
      </w:r>
      <w:r>
        <w:rPr>
          <w:i/>
        </w:rPr>
        <w:t>mikveh</w:t>
      </w:r>
      <w:r>
        <w:t xml:space="preserve">. Several weeks later, when the siege lifted, they transported him to Worms for </w:t>
      </w:r>
      <w:r>
        <w:rPr>
          <w:i/>
        </w:rPr>
        <w:t>kevurah</w:t>
      </w:r>
      <w:r>
        <w:t xml:space="preserve">. From this </w:t>
      </w:r>
      <w:r>
        <w:rPr>
          <w:i/>
        </w:rPr>
        <w:t>ma’aseh</w:t>
      </w:r>
      <w:r>
        <w:t xml:space="preserve"> the </w:t>
      </w:r>
      <w:r>
        <w:rPr>
          <w:i/>
        </w:rPr>
        <w:t>Rosh</w:t>
      </w:r>
      <w:r>
        <w:t xml:space="preserve"> develops the halachic discussion of </w:t>
      </w:r>
      <w:r>
        <w:rPr>
          <w:i/>
        </w:rPr>
        <w:t>kevurah zemannis</w:t>
      </w:r>
      <w:r>
        <w:t xml:space="preserve"> (</w:t>
      </w:r>
      <w:r>
        <w:rPr>
          <w:rFonts w:ascii="David" w:hAnsi="David"/>
        </w:rPr>
        <w:t>קבורה זמנית</w:t>
      </w:r>
      <w:r>
        <w:t xml:space="preserve">) — the parameters of permitted delay in </w:t>
      </w:r>
      <w:r>
        <w:rPr>
          <w:i/>
        </w:rPr>
        <w:t>kevurah</w:t>
      </w:r>
      <w:r>
        <w:t xml:space="preserve"> and what constitutes an acceptable temporary interment. A snippet of catastrophic Jewish history sits embedded permanently in </w:t>
      </w:r>
      <w:r>
        <w:rPr>
          <w:i/>
        </w:rPr>
        <w:t>halachah</w:t>
      </w:r>
      <w:r>
        <w:t>.</w:t>
      </w:r>
    </w:p>
    <w:p>
      <w:r>
        <w:rPr>
          <w:i/>
          <w:color w:val="B8860B"/>
          <w:sz w:val="24"/>
        </w:rPr>
        <w:t>The Chain of Sodos HaTefillah</w:t>
      </w:r>
    </w:p>
    <w:p>
      <w:r>
        <w:rPr>
          <w:i/>
        </w:rPr>
        <w:t>Rabbeinu Kalonymus HaZakein</w:t>
      </w:r>
      <w:r>
        <w:t xml:space="preserve">’s </w:t>
      </w:r>
      <w:r>
        <w:rPr>
          <w:i/>
        </w:rPr>
        <w:t>Torah</w:t>
      </w:r>
      <w:r>
        <w:t xml:space="preserve"> reaches later generations through a precise chain of transmission. The </w:t>
      </w:r>
      <w:r>
        <w:rPr>
          <w:i/>
        </w:rPr>
        <w:t>hakdamos</w:t>
      </w:r>
      <w:r>
        <w:t xml:space="preserve"> to </w:t>
      </w:r>
      <w:r>
        <w:rPr>
          <w:i/>
        </w:rPr>
        <w:t>Sefer Chassidim</w:t>
      </w:r>
      <w:r>
        <w:t xml:space="preserve"> record the sequence:</w:t>
      </w:r>
    </w:p>
    <w:p>
      <w:pPr>
        <w:ind w:left="432"/>
      </w:pPr>
      <w:r>
        <w:rPr>
          <w:i/>
        </w:rPr>
        <w:br/>
      </w:r>
      <w:r>
        <w:rPr>
          <w:rFonts w:ascii="David" w:hAnsi="David"/>
          <w:i/>
        </w:rPr>
        <w:t>רבינו קלונימוס הזקן</w:t>
      </w:r>
      <w:r>
        <w:rPr>
          <w:i/>
        </w:rPr>
        <w:t xml:space="preserve"> → his son → </w:t>
      </w:r>
      <w:r>
        <w:rPr>
          <w:rFonts w:ascii="David" w:hAnsi="David"/>
          <w:i/>
        </w:rPr>
        <w:t>רבי יהודה החסיד</w:t>
      </w:r>
      <w:r>
        <w:rPr>
          <w:i/>
        </w:rPr>
        <w:t xml:space="preserve"> (author of </w:t>
      </w:r>
      <w:r>
        <w:rPr>
          <w:i/>
        </w:rPr>
        <w:t>Sefer Chassidim</w:t>
      </w:r>
      <w:r>
        <w:rPr>
          <w:i/>
        </w:rPr>
        <w:t xml:space="preserve">) → the </w:t>
      </w:r>
      <w:r>
        <w:rPr>
          <w:rFonts w:ascii="David" w:hAnsi="David"/>
          <w:i/>
        </w:rPr>
        <w:t>רוקח</w:t>
      </w:r>
      <w:r>
        <w:rPr>
          <w:i/>
        </w:rPr>
        <w:br/>
      </w:r>
    </w:p>
    <w:p>
      <w:r>
        <w:t xml:space="preserve">The </w:t>
      </w:r>
      <w:r>
        <w:rPr>
          <w:i/>
        </w:rPr>
        <w:t>sodos ha’tefillah</w:t>
      </w:r>
      <w:r>
        <w:t xml:space="preserve"> (</w:t>
      </w:r>
      <w:r>
        <w:rPr>
          <w:rFonts w:ascii="David" w:hAnsi="David"/>
        </w:rPr>
        <w:t>סודות התפילה</w:t>
      </w:r>
      <w:r>
        <w:t xml:space="preserve">) were transmitted father-to-son and </w:t>
      </w:r>
      <w:r>
        <w:rPr>
          <w:i/>
        </w:rPr>
        <w:t>rebbi-to-talmid</w:t>
      </w:r>
      <w:r>
        <w:t xml:space="preserve">. The </w:t>
      </w:r>
      <w:r>
        <w:rPr>
          <w:i/>
        </w:rPr>
        <w:t>Rokeach</w:t>
      </w:r>
      <w:r>
        <w:t xml:space="preserve"> — </w:t>
      </w:r>
      <w:r>
        <w:rPr>
          <w:i/>
        </w:rPr>
        <w:t>Rabbi Elazar MiGarmeiza</w:t>
      </w:r>
      <w:r>
        <w:t xml:space="preserve">, of Worms — was the most prolific writer of these </w:t>
      </w:r>
      <w:r>
        <w:rPr>
          <w:i/>
        </w:rPr>
        <w:t>peirushei ha’tefillah</w:t>
      </w:r>
      <w:r>
        <w:t xml:space="preserve">. </w:t>
      </w:r>
      <w:r>
        <w:rPr>
          <w:i/>
        </w:rPr>
        <w:t>Rashi</w:t>
      </w:r>
      <w:r>
        <w:t xml:space="preserve"> and </w:t>
      </w:r>
      <w:r>
        <w:rPr>
          <w:i/>
        </w:rPr>
        <w:t>Tosafos</w:t>
      </w:r>
      <w:r>
        <w:t xml:space="preserve"> quote </w:t>
      </w:r>
      <w:r>
        <w:rPr>
          <w:i/>
        </w:rPr>
        <w:t>Rabbeinu Kalonymus HaZakein</w:t>
      </w:r>
      <w:r>
        <w:t xml:space="preserve"> repeatedly, and most of the </w:t>
      </w:r>
      <w:r>
        <w:rPr>
          <w:i/>
        </w:rPr>
        <w:t>Ashkenazi</w:t>
      </w:r>
      <w:r>
        <w:t xml:space="preserve"> </w:t>
      </w:r>
      <w:r>
        <w:rPr>
          <w:i/>
        </w:rPr>
        <w:t>nusach ha’tefillah</w:t>
      </w:r>
      <w:r>
        <w:t xml:space="preserve"> traces ultimately to him.</w:t>
      </w:r>
    </w:p>
    <w:p>
      <w:r>
        <w:rPr>
          <w:b/>
          <w:color w:val="1E3A8A"/>
          <w:sz w:val="26"/>
        </w:rPr>
        <w:t>XIII. THE DAILY CHIYUV — RABBEINU KALONYMUS VS. RASHI</w:t>
      </w:r>
    </w:p>
    <w:p>
      <w:pPr>
        <w:pBdr>
          <w:bottom w:val="single" w:sz="6" w:space="1" w:color="B8860B"/>
        </w:pBdr>
      </w:pPr>
    </w:p>
    <w:p>
      <w:r>
        <w:rPr>
          <w:i/>
        </w:rPr>
        <w:t>Rabbeinu Kalonymus HaZakein</w:t>
      </w:r>
      <w:r>
        <w:t xml:space="preserve"> writes a striking </w:t>
      </w:r>
      <w:r>
        <w:rPr>
          <w:i/>
        </w:rPr>
        <w:t>teshuvah</w:t>
      </w:r>
      <w:r>
        <w:t xml:space="preserve">: the </w:t>
      </w:r>
      <w:r>
        <w:rPr>
          <w:i/>
        </w:rPr>
        <w:t>Kedushah</w:t>
      </w:r>
      <w:r>
        <w:t xml:space="preserve"> that a mispallel says as part of </w:t>
      </w:r>
      <w:r>
        <w:rPr>
          <w:i/>
        </w:rPr>
        <w:t>Kedushah d’Yotzeir Or</w:t>
      </w:r>
      <w:r>
        <w:t xml:space="preserve"> in the morning does </w:t>
      </w:r>
      <w:r>
        <w:rPr>
          <w:i/>
        </w:rPr>
        <w:t>not</w:t>
      </w:r>
      <w:r>
        <w:t xml:space="preserve"> discharge the daily </w:t>
      </w:r>
      <w:r>
        <w:rPr>
          <w:i/>
        </w:rPr>
        <w:t>chiyuv</w:t>
      </w:r>
      <w:r>
        <w:t xml:space="preserve"> of </w:t>
      </w:r>
      <w:r>
        <w:rPr>
          <w:i/>
        </w:rPr>
        <w:t>“v’nikdashti b’soch Bnei Yisrael.”</w:t>
      </w:r>
      <w:r>
        <w:t xml:space="preserve"> To discharge that </w:t>
      </w:r>
      <w:r>
        <w:rPr>
          <w:i/>
        </w:rPr>
        <w:t>chiyuv</w:t>
      </w:r>
      <w:r>
        <w:t xml:space="preserve">, one must say the </w:t>
      </w:r>
      <w:r>
        <w:rPr>
          <w:i/>
        </w:rPr>
        <w:t>Kedushah</w:t>
      </w:r>
      <w:r>
        <w:t xml:space="preserve"> of </w:t>
      </w:r>
      <w:r>
        <w:rPr>
          <w:i/>
        </w:rPr>
        <w:t>chazaras ha’shatz</w:t>
      </w:r>
      <w:r>
        <w:t xml:space="preserve"> — the </w:t>
      </w:r>
      <w:r>
        <w:rPr>
          <w:i/>
        </w:rPr>
        <w:t>Kedushah</w:t>
      </w:r>
      <w:r>
        <w:t xml:space="preserve"> recited with the </w:t>
      </w:r>
      <w:r>
        <w:rPr>
          <w:i/>
        </w:rPr>
        <w:t>minyan</w:t>
      </w:r>
      <w:r>
        <w:t>.</w:t>
      </w:r>
    </w:p>
    <w:p>
      <w:r>
        <w:rPr>
          <w:i/>
        </w:rPr>
        <w:t>Rashi</w:t>
      </w:r>
      <w:r>
        <w:t xml:space="preserve">, </w:t>
      </w:r>
      <w:r>
        <w:rPr>
          <w:i/>
        </w:rPr>
        <w:t>talmid</w:t>
      </w:r>
      <w:r>
        <w:t xml:space="preserve"> of a </w:t>
      </w:r>
      <w:r>
        <w:rPr>
          <w:i/>
        </w:rPr>
        <w:t>talmid</w:t>
      </w:r>
      <w:r>
        <w:t xml:space="preserve"> of </w:t>
      </w:r>
      <w:r>
        <w:rPr>
          <w:i/>
        </w:rPr>
        <w:t>Rabbeinu Kalonymus</w:t>
      </w:r>
      <w:r>
        <w:t xml:space="preserve">, dissents: </w:t>
      </w:r>
      <w:r>
        <w:rPr>
          <w:i/>
        </w:rPr>
        <w:t>“I have not found such a</w:t>
      </w:r>
      <w:r>
        <w:t xml:space="preserve"> chiyuv </w:t>
      </w:r>
      <w:r>
        <w:rPr>
          <w:i/>
        </w:rPr>
        <w:t>in the</w:t>
      </w:r>
      <w:r>
        <w:t xml:space="preserve"> Gemara.</w:t>
      </w:r>
      <w:r>
        <w:rPr>
          <w:i/>
        </w:rPr>
        <w:t>”</w:t>
      </w:r>
      <w:r>
        <w:t xml:space="preserve"> </w:t>
      </w:r>
      <w:r>
        <w:rPr>
          <w:i/>
        </w:rPr>
        <w:t>Rashi</w:t>
      </w:r>
      <w:r>
        <w:t xml:space="preserve"> regards the </w:t>
      </w:r>
      <w:r>
        <w:rPr>
          <w:i/>
        </w:rPr>
        <w:t>Kedushah</w:t>
      </w:r>
      <w:r>
        <w:t xml:space="preserve"> as beautiful and beloved to the </w:t>
      </w:r>
      <w:r>
        <w:rPr>
          <w:i/>
        </w:rPr>
        <w:t>Ribbono Shel Olam</w:t>
      </w:r>
      <w:r>
        <w:t xml:space="preserve">, but not as constituting an absolute daily </w:t>
      </w:r>
      <w:r>
        <w:rPr>
          <w:i/>
        </w:rPr>
        <w:t>chiyuv</w:t>
      </w:r>
      <w:r>
        <w:t>.</w:t>
      </w:r>
    </w:p>
    <w:p>
      <w:r>
        <w:t xml:space="preserve">The received </w:t>
      </w:r>
      <w:r>
        <w:rPr>
          <w:i/>
        </w:rPr>
        <w:t>pesak</w:t>
      </w:r>
      <w:r>
        <w:t xml:space="preserve"> follows </w:t>
      </w:r>
      <w:r>
        <w:rPr>
          <w:i/>
        </w:rPr>
        <w:t>Rabbeinu Kalonymus</w:t>
      </w:r>
      <w:r>
        <w:t xml:space="preserve">. The </w:t>
      </w:r>
      <w:r>
        <w:rPr>
          <w:i/>
        </w:rPr>
        <w:t>Shulchan Aruch</w:t>
      </w:r>
      <w:r>
        <w:rPr>
          <w:color w:val="B8860B"/>
          <w:sz w:val="16"/>
          <w:vertAlign w:val="superscript"/>
        </w:rPr>
        <w:t>[18]</w:t>
      </w:r>
      <w:r>
        <w:t xml:space="preserve"> rules accordingly, and the </w:t>
      </w:r>
      <w:r>
        <w:rPr>
          <w:i/>
        </w:rPr>
        <w:t>Zohar HaKadosh</w:t>
      </w:r>
      <w:r>
        <w:t xml:space="preserve"> treats the </w:t>
      </w:r>
      <w:r>
        <w:rPr>
          <w:i/>
        </w:rPr>
        <w:t>Kedushah</w:t>
      </w:r>
      <w:r>
        <w:t xml:space="preserve"> as a </w:t>
      </w:r>
      <w:r>
        <w:rPr>
          <w:i/>
        </w:rPr>
        <w:t>kiyum</w:t>
      </w:r>
      <w:r>
        <w:t xml:space="preserve"> to be discharged daily. The practical implication follows immediately: if a mispallel has missed </w:t>
      </w:r>
      <w:r>
        <w:rPr>
          <w:i/>
        </w:rPr>
        <w:t>Kedushah</w:t>
      </w:r>
      <w:r>
        <w:t xml:space="preserve"> at </w:t>
      </w:r>
      <w:r>
        <w:rPr>
          <w:i/>
        </w:rPr>
        <w:t>Shacharis</w:t>
      </w:r>
      <w:r>
        <w:t xml:space="preserve">, he should make every effort to catch it at </w:t>
      </w:r>
      <w:r>
        <w:rPr>
          <w:i/>
        </w:rPr>
        <w:t>Minchah</w:t>
      </w:r>
      <w:r>
        <w:t xml:space="preserve">, or to locate a later </w:t>
      </w:r>
      <w:r>
        <w:rPr>
          <w:i/>
        </w:rPr>
        <w:t>minyan</w:t>
      </w:r>
      <w:r>
        <w:t xml:space="preserve">, and should not let the day pass without </w:t>
      </w:r>
      <w:r>
        <w:rPr>
          <w:i/>
        </w:rPr>
        <w:t>Kedushah</w:t>
      </w:r>
      <w:r>
        <w:t>.</w:t>
      </w:r>
    </w:p>
    <w:p>
      <w:r>
        <w:rPr>
          <w:b/>
          <w:color w:val="1E3A8A"/>
          <w:sz w:val="26"/>
        </w:rPr>
        <w:t>XIV. THE BNEI ERETZ YISRAEL PRACTICE — AND THE CAIRO GENIZA</w:t>
      </w:r>
    </w:p>
    <w:p>
      <w:pPr>
        <w:pBdr>
          <w:bottom w:val="single" w:sz="6" w:space="1" w:color="B8860B"/>
        </w:pBdr>
      </w:pPr>
    </w:p>
    <w:p>
      <w:r>
        <w:rPr>
          <w:i/>
          <w:color w:val="B8860B"/>
          <w:sz w:val="24"/>
        </w:rPr>
        <w:t>The Old Minhag</w:t>
      </w:r>
    </w:p>
    <w:p>
      <w:r>
        <w:t xml:space="preserve">In ancient </w:t>
      </w:r>
      <w:r>
        <w:rPr>
          <w:i/>
        </w:rPr>
        <w:t>Eretz Yisrael</w:t>
      </w:r>
      <w:r>
        <w:t xml:space="preserve"> — long before the era of the </w:t>
      </w:r>
      <w:r>
        <w:rPr>
          <w:i/>
        </w:rPr>
        <w:t>Shulchan Aruch</w:t>
      </w:r>
      <w:r>
        <w:t xml:space="preserve"> — the </w:t>
      </w:r>
      <w:r>
        <w:rPr>
          <w:i/>
        </w:rPr>
        <w:t>minhag</w:t>
      </w:r>
      <w:r>
        <w:t xml:space="preserve"> was to recite </w:t>
      </w:r>
      <w:r>
        <w:rPr>
          <w:i/>
        </w:rPr>
        <w:t>Kedushah</w:t>
      </w:r>
      <w:r>
        <w:t xml:space="preserve"> only on </w:t>
      </w:r>
      <w:r>
        <w:rPr>
          <w:i/>
        </w:rPr>
        <w:t>Shabbos</w:t>
      </w:r>
      <w:r>
        <w:t xml:space="preserve"> and </w:t>
      </w:r>
      <w:r>
        <w:rPr>
          <w:i/>
        </w:rPr>
        <w:t>Yom Tov</w:t>
      </w:r>
      <w:r>
        <w:t xml:space="preserve">, not during the week. This is striking in light of everything said above about the daily </w:t>
      </w:r>
      <w:r>
        <w:rPr>
          <w:i/>
        </w:rPr>
        <w:t>mitzvah</w:t>
      </w:r>
      <w:r>
        <w:t xml:space="preserve">. The </w:t>
      </w:r>
      <w:r>
        <w:rPr>
          <w:i/>
        </w:rPr>
        <w:t>Tosafos</w:t>
      </w:r>
      <w:r>
        <w:t xml:space="preserve"> in </w:t>
      </w:r>
      <w:r>
        <w:rPr>
          <w:i/>
        </w:rPr>
        <w:t>Sanhedrin</w:t>
      </w:r>
      <w:r>
        <w:t xml:space="preserve"> </w:t>
      </w:r>
      <w:r>
        <w:rPr>
          <w:rFonts w:ascii="David" w:hAnsi="David"/>
        </w:rPr>
        <w:t>ל"ז ע"ב</w:t>
      </w:r>
      <w:r>
        <w:rPr>
          <w:color w:val="B8860B"/>
          <w:sz w:val="16"/>
          <w:vertAlign w:val="superscript"/>
        </w:rPr>
        <w:t>[21]</w:t>
      </w:r>
      <w:r>
        <w:t xml:space="preserve"> offers a kabbalistic reason for this ancient practice. The </w:t>
      </w:r>
      <w:r>
        <w:rPr>
          <w:i/>
        </w:rPr>
        <w:t>malachim</w:t>
      </w:r>
      <w:r>
        <w:t xml:space="preserve"> have </w:t>
      </w:r>
      <w:r>
        <w:rPr>
          <w:i/>
        </w:rPr>
        <w:t>six</w:t>
      </w:r>
      <w:r>
        <w:t xml:space="preserve"> wings, one for each weekday. On </w:t>
      </w:r>
      <w:r>
        <w:rPr>
          <w:i/>
        </w:rPr>
        <w:t>Shabbos</w:t>
      </w:r>
      <w:r>
        <w:t xml:space="preserve"> they have no seventh wing on which to elevate the </w:t>
      </w:r>
      <w:r>
        <w:rPr>
          <w:i/>
        </w:rPr>
        <w:t>Kedushah</w:t>
      </w:r>
      <w:r>
        <w:t xml:space="preserve">; the </w:t>
      </w:r>
      <w:r>
        <w:rPr>
          <w:i/>
        </w:rPr>
        <w:t>Ribbono Shel Olam</w:t>
      </w:r>
      <w:r>
        <w:t xml:space="preserve"> answers them, </w:t>
      </w:r>
      <w:r>
        <w:rPr>
          <w:i/>
        </w:rPr>
        <w:t xml:space="preserve">“I have a seventh wing below — </w:t>
      </w:r>
      <w:r>
        <w:t>Klal Yisrael.</w:t>
      </w:r>
      <w:r>
        <w:rPr>
          <w:i/>
        </w:rPr>
        <w:t>”</w:t>
      </w:r>
      <w:r>
        <w:t xml:space="preserve"> On </w:t>
      </w:r>
      <w:r>
        <w:rPr>
          <w:i/>
        </w:rPr>
        <w:t>Shabbos</w:t>
      </w:r>
      <w:r>
        <w:t xml:space="preserve">, in this reading, the </w:t>
      </w:r>
      <w:r>
        <w:rPr>
          <w:i/>
        </w:rPr>
        <w:t>Kedushah</w:t>
      </w:r>
      <w:r>
        <w:t xml:space="preserve"> is </w:t>
      </w:r>
      <w:r>
        <w:rPr>
          <w:i/>
        </w:rPr>
        <w:t>Klal Yisrael</w:t>
      </w:r>
      <w:r>
        <w:t xml:space="preserve">’s; during the week it belongs to the </w:t>
      </w:r>
      <w:r>
        <w:rPr>
          <w:i/>
        </w:rPr>
        <w:t>malachim</w:t>
      </w:r>
      <w:r>
        <w:t>.</w:t>
      </w:r>
    </w:p>
    <w:p>
      <w:r>
        <w:rPr>
          <w:i/>
          <w:color w:val="B8860B"/>
          <w:sz w:val="24"/>
        </w:rPr>
        <w:t>The Cairo Geniza</w:t>
      </w:r>
    </w:p>
    <w:p>
      <w:r>
        <w:t xml:space="preserve">The history by which the real story of the </w:t>
      </w:r>
      <w:r>
        <w:rPr>
          <w:i/>
        </w:rPr>
        <w:t>Shabbos</w:t>
      </w:r>
      <w:r>
        <w:t xml:space="preserve">-only </w:t>
      </w:r>
      <w:r>
        <w:rPr>
          <w:i/>
        </w:rPr>
        <w:t>Kedushah</w:t>
      </w:r>
      <w:r>
        <w:t xml:space="preserve"> came to be known is itself remarkable. In the late 1800s, two Scottish twin sisters — </w:t>
      </w:r>
      <w:r>
        <w:rPr>
          <w:i/>
        </w:rPr>
        <w:t>Margaret Gibson</w:t>
      </w:r>
      <w:r>
        <w:t xml:space="preserve"> and </w:t>
      </w:r>
      <w:r>
        <w:rPr>
          <w:i/>
        </w:rPr>
        <w:t>Agnes Smith Lewis</w:t>
      </w:r>
      <w:r>
        <w:t xml:space="preserve"> — devoted themselves to Semitic studies and traveled the world hunting for ancient manuscripts for the libraries and universities of Britain. </w:t>
      </w:r>
      <w:r>
        <w:rPr>
          <w:i/>
        </w:rPr>
        <w:t>Solomon Schechter</w:t>
      </w:r>
      <w:r>
        <w:t xml:space="preserve"> was a Jew on the faculty of Cambridge. The sisters traveled to Egypt, to the ancient quarter of </w:t>
      </w:r>
      <w:r>
        <w:rPr>
          <w:i/>
        </w:rPr>
        <w:t>Fustat</w:t>
      </w:r>
      <w:r>
        <w:t xml:space="preserve"> in Cairo where the </w:t>
      </w:r>
      <w:r>
        <w:rPr>
          <w:i/>
        </w:rPr>
        <w:t>Rambam</w:t>
      </w:r>
      <w:r>
        <w:t xml:space="preserve"> had once lived, and there they learned of the Ben Ezra Synagogue’s </w:t>
      </w:r>
      <w:r>
        <w:rPr>
          <w:i/>
        </w:rPr>
        <w:t>geniza</w:t>
      </w:r>
      <w:r>
        <w:t xml:space="preserve"> — an upstairs </w:t>
      </w:r>
      <w:r>
        <w:rPr>
          <w:i/>
        </w:rPr>
        <w:t>shaimos</w:t>
      </w:r>
      <w:r>
        <w:t xml:space="preserve"> repository hundreds of years deep. Schechter saw what they had brought back, recognized what it was, and traveled to Egypt himself. He spent months in an attic without windows or doors — sitting with the manuscripts of a thousand years of </w:t>
      </w:r>
      <w:r>
        <w:rPr>
          <w:i/>
        </w:rPr>
        <w:t>Klal Yisrael</w:t>
      </w:r>
      <w:r>
        <w:t xml:space="preserve"> — sorting, cataloging, and arranging orderly transit to Cambridge. The bulk of the collection remains at Cambridge University Library to this day, available for scholarly consultation. The discovery transformed the modern scholarly understanding of ancient Jewish life.</w:t>
      </w:r>
    </w:p>
    <w:p>
      <w:r>
        <w:rPr>
          <w:i/>
          <w:color w:val="B8860B"/>
          <w:sz w:val="24"/>
        </w:rPr>
        <w:t>Rav Pirkoi ben Baboi’s Letter</w:t>
      </w:r>
    </w:p>
    <w:p>
      <w:r>
        <w:t xml:space="preserve">Among the manuscripts recovered from the geniza was a letter from a previously unknown </w:t>
      </w:r>
      <w:r>
        <w:rPr>
          <w:i/>
        </w:rPr>
        <w:t>Gaon</w:t>
      </w:r>
      <w:r>
        <w:t xml:space="preserve">: </w:t>
      </w:r>
      <w:r>
        <w:rPr>
          <w:i/>
        </w:rPr>
        <w:t>Rav Pirkoi ben Baboi</w:t>
      </w:r>
      <w:r>
        <w:t xml:space="preserve"> (</w:t>
      </w:r>
      <w:r>
        <w:rPr>
          <w:rFonts w:ascii="David" w:hAnsi="David"/>
        </w:rPr>
        <w:t>רב פרקוי בן באבוי</w:t>
      </w:r>
      <w:r>
        <w:t>),</w:t>
      </w:r>
      <w:r>
        <w:rPr>
          <w:color w:val="B8860B"/>
          <w:sz w:val="16"/>
          <w:vertAlign w:val="superscript"/>
        </w:rPr>
        <w:t>[26]</w:t>
      </w:r>
      <w:r>
        <w:t xml:space="preserve"> a </w:t>
      </w:r>
      <w:r>
        <w:rPr>
          <w:i/>
        </w:rPr>
        <w:t>talmid</w:t>
      </w:r>
      <w:r>
        <w:t xml:space="preserve"> of </w:t>
      </w:r>
      <w:r>
        <w:rPr>
          <w:i/>
        </w:rPr>
        <w:t>Rav Yehudai Gaon</w:t>
      </w:r>
      <w:r>
        <w:t xml:space="preserve"> of the yeshiva of </w:t>
      </w:r>
      <w:r>
        <w:rPr>
          <w:i/>
        </w:rPr>
        <w:t>Sura</w:t>
      </w:r>
      <w:r>
        <w:t xml:space="preserve">. His letter, sharp in tone, is directed against several </w:t>
      </w:r>
      <w:r>
        <w:rPr>
          <w:i/>
        </w:rPr>
        <w:t>minhagim</w:t>
      </w:r>
      <w:r>
        <w:t xml:space="preserve"> of </w:t>
      </w:r>
      <w:r>
        <w:rPr>
          <w:i/>
        </w:rPr>
        <w:t>Eretz Yisrael</w:t>
      </w:r>
      <w:r>
        <w:t xml:space="preserve"> — including the </w:t>
      </w:r>
      <w:r>
        <w:rPr>
          <w:i/>
        </w:rPr>
        <w:t>Shabbos</w:t>
      </w:r>
      <w:r>
        <w:t xml:space="preserve">-only </w:t>
      </w:r>
      <w:r>
        <w:rPr>
          <w:i/>
        </w:rPr>
        <w:t>Kedushah</w:t>
      </w:r>
      <w:r>
        <w:t>.</w:t>
      </w:r>
    </w:p>
    <w:p>
      <w:r>
        <w:rPr>
          <w:i/>
          <w:color w:val="B8860B"/>
          <w:sz w:val="24"/>
        </w:rPr>
        <w:t>The Yesod</w:t>
      </w:r>
    </w:p>
    <w:p>
      <w:r>
        <w:rPr>
          <w:i/>
        </w:rPr>
        <w:t>Rav Pirkoi</w:t>
      </w:r>
      <w:r>
        <w:t xml:space="preserve">’s </w:t>
      </w:r>
      <w:r>
        <w:rPr>
          <w:i/>
        </w:rPr>
        <w:t>yesod</w:t>
      </w:r>
      <w:r>
        <w:t xml:space="preserve"> is breathtaking and, on his own view, decisive. The only authentic, unbroken chain of </w:t>
      </w:r>
      <w:r>
        <w:rPr>
          <w:i/>
        </w:rPr>
        <w:t>mesorah</w:t>
      </w:r>
      <w:r>
        <w:t xml:space="preserve"> from the </w:t>
      </w:r>
      <w:r>
        <w:rPr>
          <w:i/>
        </w:rPr>
        <w:t>Beis HaMikdash</w:t>
      </w:r>
      <w:r>
        <w:t xml:space="preserve"> ran through </w:t>
      </w:r>
      <w:r>
        <w:rPr>
          <w:i/>
        </w:rPr>
        <w:t>Bavel</w:t>
      </w:r>
      <w:r>
        <w:t xml:space="preserve">. The </w:t>
      </w:r>
      <w:r>
        <w:rPr>
          <w:i/>
        </w:rPr>
        <w:t>yeshivos</w:t>
      </w:r>
      <w:r>
        <w:t xml:space="preserve"> of </w:t>
      </w:r>
      <w:r>
        <w:rPr>
          <w:i/>
        </w:rPr>
        <w:t>Eretz Yisrael</w:t>
      </w:r>
      <w:r>
        <w:t xml:space="preserve"> suffered </w:t>
      </w:r>
      <w:r>
        <w:rPr>
          <w:i/>
        </w:rPr>
        <w:t>gezeiros</w:t>
      </w:r>
      <w:r>
        <w:t xml:space="preserve">, </w:t>
      </w:r>
      <w:r>
        <w:rPr>
          <w:i/>
        </w:rPr>
        <w:t>redifos</w:t>
      </w:r>
      <w:r>
        <w:t xml:space="preserve">, and </w:t>
      </w:r>
      <w:r>
        <w:rPr>
          <w:i/>
        </w:rPr>
        <w:t>shmad</w:t>
      </w:r>
      <w:r>
        <w:t xml:space="preserve"> (</w:t>
      </w:r>
      <w:r>
        <w:rPr>
          <w:rFonts w:ascii="David" w:hAnsi="David"/>
        </w:rPr>
        <w:t>שמד</w:t>
      </w:r>
      <w:r>
        <w:t xml:space="preserve">) on a continuous basis from non-Jewish authorities; the </w:t>
      </w:r>
      <w:r>
        <w:rPr>
          <w:i/>
        </w:rPr>
        <w:t>minhagim</w:t>
      </w:r>
      <w:r>
        <w:t xml:space="preserve"> that emerged there in those generations, therefore, cannot be presumed to be unbroken </w:t>
      </w:r>
      <w:r>
        <w:rPr>
          <w:i/>
        </w:rPr>
        <w:t>Torah sheba’al peh</w:t>
      </w:r>
      <w:r>
        <w:t xml:space="preserve">. They must be examined and, where the historical record allows, distinguished from authentic </w:t>
      </w:r>
      <w:r>
        <w:rPr>
          <w:i/>
        </w:rPr>
        <w:t>minhag</w:t>
      </w:r>
      <w:r>
        <w:t>.</w:t>
      </w:r>
    </w:p>
    <w:p>
      <w:r>
        <w:rPr>
          <w:i/>
          <w:color w:val="B8860B"/>
          <w:sz w:val="24"/>
        </w:rPr>
        <w:t>The Historical Reason for Shabbos-Only Kedushah</w:t>
      </w:r>
    </w:p>
    <w:p>
      <w:r>
        <w:t xml:space="preserve">According to </w:t>
      </w:r>
      <w:r>
        <w:rPr>
          <w:i/>
        </w:rPr>
        <w:t>Rav Pirkoi</w:t>
      </w:r>
      <w:r>
        <w:t xml:space="preserve">, the </w:t>
      </w:r>
      <w:r>
        <w:rPr>
          <w:i/>
        </w:rPr>
        <w:t>Shabbos</w:t>
      </w:r>
      <w:r>
        <w:t xml:space="preserve">-only </w:t>
      </w:r>
      <w:r>
        <w:rPr>
          <w:i/>
        </w:rPr>
        <w:t>Kedushah</w:t>
      </w:r>
      <w:r>
        <w:t xml:space="preserve"> in </w:t>
      </w:r>
      <w:r>
        <w:rPr>
          <w:i/>
        </w:rPr>
        <w:t>Eretz Yisrael</w:t>
      </w:r>
      <w:r>
        <w:t xml:space="preserve"> was </w:t>
      </w:r>
      <w:r>
        <w:rPr>
          <w:i/>
        </w:rPr>
        <w:t>not</w:t>
      </w:r>
      <w:r>
        <w:t xml:space="preserve"> a kabbalistic </w:t>
      </w:r>
      <w:r>
        <w:rPr>
          <w:i/>
        </w:rPr>
        <w:t>minhag</w:t>
      </w:r>
      <w:r>
        <w:t xml:space="preserve"> built on the </w:t>
      </w:r>
      <w:r>
        <w:rPr>
          <w:i/>
        </w:rPr>
        <w:t>Tosafos</w:t>
      </w:r>
      <w:r>
        <w:t xml:space="preserve">’ reading of the </w:t>
      </w:r>
      <w:r>
        <w:rPr>
          <w:i/>
        </w:rPr>
        <w:t>malachim</w:t>
      </w:r>
      <w:r>
        <w:t xml:space="preserve">’s six wings. It was a </w:t>
      </w:r>
      <w:r>
        <w:rPr>
          <w:i/>
        </w:rPr>
        <w:t>relic of persecution</w:t>
      </w:r>
      <w:r>
        <w:t xml:space="preserve">. At one point there had been a </w:t>
      </w:r>
      <w:r>
        <w:rPr>
          <w:i/>
        </w:rPr>
        <w:t>gezeirah</w:t>
      </w:r>
      <w:r>
        <w:t xml:space="preserve"> (a Byzantine-era decree) that forbade </w:t>
      </w:r>
      <w:r>
        <w:rPr>
          <w:i/>
        </w:rPr>
        <w:t>tefillah be’rabbim</w:t>
      </w:r>
      <w:r>
        <w:t xml:space="preserve"> (</w:t>
      </w:r>
      <w:r>
        <w:rPr>
          <w:rFonts w:ascii="David" w:hAnsi="David"/>
        </w:rPr>
        <w:t>תפילה ברבים</w:t>
      </w:r>
      <w:r>
        <w:t xml:space="preserve">) in </w:t>
      </w:r>
      <w:r>
        <w:rPr>
          <w:i/>
        </w:rPr>
        <w:t>Eretz Yisrael</w:t>
      </w:r>
      <w:r>
        <w:t xml:space="preserve"> during the week; the </w:t>
      </w:r>
      <w:r>
        <w:rPr>
          <w:i/>
        </w:rPr>
        <w:t>batei knesios</w:t>
      </w:r>
      <w:r>
        <w:t xml:space="preserve"> were closed. </w:t>
      </w:r>
      <w:r>
        <w:rPr>
          <w:i/>
        </w:rPr>
        <w:t>Kedushah</w:t>
      </w:r>
      <w:r>
        <w:t xml:space="preserve">, which requires a </w:t>
      </w:r>
      <w:r>
        <w:rPr>
          <w:i/>
        </w:rPr>
        <w:t>minyan</w:t>
      </w:r>
      <w:r>
        <w:t xml:space="preserve">, simply could not be said. When the </w:t>
      </w:r>
      <w:r>
        <w:rPr>
          <w:i/>
        </w:rPr>
        <w:t>gezeirah</w:t>
      </w:r>
      <w:r>
        <w:t xml:space="preserve"> lifted, the </w:t>
      </w:r>
      <w:r>
        <w:rPr>
          <w:i/>
        </w:rPr>
        <w:t>Shabbos</w:t>
      </w:r>
      <w:r>
        <w:t xml:space="preserve">-only practice ossified into a </w:t>
      </w:r>
      <w:r>
        <w:rPr>
          <w:i/>
        </w:rPr>
        <w:t>minhag</w:t>
      </w:r>
      <w:r>
        <w:t>.</w:t>
      </w:r>
    </w:p>
    <w:p>
      <w:r>
        <w:rPr>
          <w:i/>
        </w:rPr>
        <w:t>Rav Pirkoi</w:t>
      </w:r>
      <w:r>
        <w:t xml:space="preserve">’s </w:t>
      </w:r>
      <w:r>
        <w:rPr>
          <w:i/>
        </w:rPr>
        <w:t>pesak</w:t>
      </w:r>
      <w:r>
        <w:t xml:space="preserve"> is uncompromising: do not preserve a </w:t>
      </w:r>
      <w:r>
        <w:rPr>
          <w:i/>
        </w:rPr>
        <w:t>minhag</w:t>
      </w:r>
      <w:r>
        <w:t xml:space="preserve"> born of </w:t>
      </w:r>
      <w:r>
        <w:rPr>
          <w:i/>
        </w:rPr>
        <w:t>shmad</w:t>
      </w:r>
      <w:r>
        <w:t xml:space="preserve">. Recite </w:t>
      </w:r>
      <w:r>
        <w:rPr>
          <w:i/>
        </w:rPr>
        <w:t>Kedushah</w:t>
      </w:r>
      <w:r>
        <w:t xml:space="preserve"> daily, as in </w:t>
      </w:r>
      <w:r>
        <w:rPr>
          <w:i/>
        </w:rPr>
        <w:t>Bavel</w:t>
      </w:r>
      <w:r>
        <w:t xml:space="preserve">, where the </w:t>
      </w:r>
      <w:r>
        <w:rPr>
          <w:i/>
        </w:rPr>
        <w:t>mesorah</w:t>
      </w:r>
      <w:r>
        <w:t xml:space="preserve"> ran without interruption. The kabbalistic reading of </w:t>
      </w:r>
      <w:r>
        <w:rPr>
          <w:i/>
        </w:rPr>
        <w:t>Tosafos</w:t>
      </w:r>
      <w:r>
        <w:t xml:space="preserve"> is a beautiful theological gloss but does not, in his view, explain how the practice actually arose.</w:t>
      </w:r>
    </w:p>
    <w:p>
      <w:r>
        <w:rPr>
          <w:i/>
          <w:color w:val="B8860B"/>
          <w:sz w:val="24"/>
        </w:rPr>
        <w:t>The Larger Machlokes</w:t>
      </w:r>
    </w:p>
    <w:p>
      <w:r>
        <w:t xml:space="preserve">The </w:t>
      </w:r>
      <w:r>
        <w:rPr>
          <w:i/>
        </w:rPr>
        <w:t>Kedushah</w:t>
      </w:r>
      <w:r>
        <w:t xml:space="preserve"> question was in fact a single facet of a far larger </w:t>
      </w:r>
      <w:r>
        <w:rPr>
          <w:i/>
        </w:rPr>
        <w:t>machlokes</w:t>
      </w:r>
      <w:r>
        <w:t xml:space="preserve"> between the </w:t>
      </w:r>
      <w:r>
        <w:rPr>
          <w:i/>
        </w:rPr>
        <w:t>Bnei Bavel</w:t>
      </w:r>
      <w:r>
        <w:t xml:space="preserve"> (</w:t>
      </w:r>
      <w:r>
        <w:rPr>
          <w:rFonts w:ascii="David" w:hAnsi="David"/>
        </w:rPr>
        <w:t>בני בבל</w:t>
      </w:r>
      <w:r>
        <w:t xml:space="preserve">) and the </w:t>
      </w:r>
      <w:r>
        <w:rPr>
          <w:i/>
        </w:rPr>
        <w:t>Bnei Eretz Yisrael</w:t>
      </w:r>
      <w:r>
        <w:t xml:space="preserve">. In the 900s, for two full years, the two communities observed the </w:t>
      </w:r>
      <w:r>
        <w:rPr>
          <w:i/>
        </w:rPr>
        <w:t>Yamim Tovim</w:t>
      </w:r>
      <w:r>
        <w:t xml:space="preserve"> on different days</w:t>
      </w:r>
      <w:r>
        <w:rPr>
          <w:color w:val="B8860B"/>
          <w:sz w:val="16"/>
          <w:vertAlign w:val="superscript"/>
        </w:rPr>
        <w:t>[22]</w:t>
      </w:r>
      <w:r>
        <w:t xml:space="preserve"> — </w:t>
      </w:r>
      <w:r>
        <w:rPr>
          <w:i/>
        </w:rPr>
        <w:t>Pesach</w:t>
      </w:r>
      <w:r>
        <w:t xml:space="preserve"> on Sunday for one and Monday for the other; </w:t>
      </w:r>
      <w:r>
        <w:rPr>
          <w:i/>
        </w:rPr>
        <w:t>Shavuos</w:t>
      </w:r>
      <w:r>
        <w:t xml:space="preserve"> on different days as well. The dispute concerned authority over the </w:t>
      </w:r>
      <w:r>
        <w:rPr>
          <w:i/>
        </w:rPr>
        <w:t>luach</w:t>
      </w:r>
      <w:r>
        <w:t xml:space="preserve"> after the transition from empirical </w:t>
      </w:r>
      <w:r>
        <w:rPr>
          <w:i/>
        </w:rPr>
        <w:t>Kiddush HaChodesh</w:t>
      </w:r>
      <w:r>
        <w:t xml:space="preserve"> by witnesses to the fixed </w:t>
      </w:r>
      <w:r>
        <w:rPr>
          <w:i/>
        </w:rPr>
        <w:t>cheshbon</w:t>
      </w:r>
      <w:r>
        <w:t xml:space="preserve">. </w:t>
      </w:r>
      <w:r>
        <w:rPr>
          <w:i/>
        </w:rPr>
        <w:t>Bnei Eretz Yisrael</w:t>
      </w:r>
      <w:r>
        <w:t xml:space="preserve"> claimed authority by location; </w:t>
      </w:r>
      <w:r>
        <w:rPr>
          <w:i/>
        </w:rPr>
        <w:t>Bnei Bavel</w:t>
      </w:r>
      <w:r>
        <w:t xml:space="preserve"> claimed it by </w:t>
      </w:r>
      <w:r>
        <w:rPr>
          <w:i/>
        </w:rPr>
        <w:t>mesorah</w:t>
      </w:r>
      <w:r>
        <w:t xml:space="preserve">. Every recitation of the </w:t>
      </w:r>
      <w:r>
        <w:rPr>
          <w:i/>
        </w:rPr>
        <w:t>Kedushah</w:t>
      </w:r>
      <w:r>
        <w:t xml:space="preserve"> on a Tuesday morning stands downstream of this larger dispute.</w:t>
      </w:r>
    </w:p>
    <w:p>
      <w:r>
        <w:rPr>
          <w:b/>
          <w:color w:val="1E3A8A"/>
          <w:sz w:val="26"/>
        </w:rPr>
        <w:t>XV. SYNTHESIS</w:t>
      </w:r>
    </w:p>
    <w:p>
      <w:pPr>
        <w:pBdr>
          <w:bottom w:val="single" w:sz="6" w:space="1" w:color="B8860B"/>
        </w:pBdr>
      </w:pPr>
    </w:p>
    <w:p>
      <w:r>
        <w:t xml:space="preserve">The </w:t>
      </w:r>
      <w:r>
        <w:rPr>
          <w:i/>
        </w:rPr>
        <w:t>Kedushah</w:t>
      </w:r>
      <w:r>
        <w:t xml:space="preserve"> is the </w:t>
      </w:r>
      <w:r>
        <w:rPr>
          <w:i/>
        </w:rPr>
        <w:t>tefillah</w:t>
      </w:r>
      <w:r>
        <w:t xml:space="preserve"> in which </w:t>
      </w:r>
      <w:r>
        <w:rPr>
          <w:i/>
        </w:rPr>
        <w:t>Klal Yisrael</w:t>
      </w:r>
      <w:r>
        <w:t xml:space="preserve"> stands with the </w:t>
      </w:r>
      <w:r>
        <w:rPr>
          <w:i/>
        </w:rPr>
        <w:t>malachim</w:t>
      </w:r>
      <w:r>
        <w:t xml:space="preserve"> and declares itself — through the </w:t>
      </w:r>
      <w:r>
        <w:rPr>
          <w:i/>
        </w:rPr>
        <w:t>Gemara</w:t>
      </w:r>
      <w:r>
        <w:t xml:space="preserve">’s </w:t>
      </w:r>
      <w:r>
        <w:rPr>
          <w:i/>
        </w:rPr>
        <w:t>chiddush</w:t>
      </w:r>
      <w:r>
        <w:t xml:space="preserve"> — higher than they are; embeds </w:t>
      </w:r>
      <w:r>
        <w:rPr>
          <w:i/>
        </w:rPr>
        <w:t>David HaMelech</w:t>
      </w:r>
      <w:r>
        <w:t xml:space="preserve">’s </w:t>
      </w:r>
      <w:r>
        <w:rPr>
          <w:i/>
        </w:rPr>
        <w:t>pasuk</w:t>
      </w:r>
      <w:r>
        <w:t xml:space="preserve"> alongside the </w:t>
      </w:r>
      <w:r>
        <w:rPr>
          <w:i/>
        </w:rPr>
        <w:t>shirah</w:t>
      </w:r>
      <w:r>
        <w:t xml:space="preserve"> of the </w:t>
      </w:r>
      <w:r>
        <w:rPr>
          <w:i/>
        </w:rPr>
        <w:t>malachim</w:t>
      </w:r>
      <w:r>
        <w:t xml:space="preserve">; jumps or trembles or looks upward, mirroring the wing-motion and the trembling thresholds; locks eyes with the </w:t>
      </w:r>
      <w:r>
        <w:rPr>
          <w:i/>
        </w:rPr>
        <w:t>Ribbono Shel Olam</w:t>
      </w:r>
      <w:r>
        <w:t xml:space="preserve"> while He embraces the image of </w:t>
      </w:r>
      <w:r>
        <w:rPr>
          <w:i/>
        </w:rPr>
        <w:t>Yaakov</w:t>
      </w:r>
      <w:r>
        <w:t xml:space="preserve"> engraved upon the </w:t>
      </w:r>
      <w:r>
        <w:rPr>
          <w:i/>
        </w:rPr>
        <w:t>Kisei HaKavod</w:t>
      </w:r>
      <w:r>
        <w:t xml:space="preserve">; and discharges a daily </w:t>
      </w:r>
      <w:r>
        <w:rPr>
          <w:i/>
        </w:rPr>
        <w:t>mitzvah de’oraisa</w:t>
      </w:r>
      <w:r>
        <w:t xml:space="preserve"> that stands, in halachic weight, </w:t>
      </w:r>
      <w:r>
        <w:rPr>
          <w:i/>
        </w:rPr>
        <w:t>l’maalah</w:t>
      </w:r>
      <w:r>
        <w:t xml:space="preserve"> from </w:t>
      </w:r>
      <w:r>
        <w:rPr>
          <w:i/>
        </w:rPr>
        <w:t>tefillah</w:t>
      </w:r>
      <w:r>
        <w:t xml:space="preserve"> itself.</w:t>
      </w:r>
    </w:p>
    <w:p>
      <w:r>
        <w:t xml:space="preserve">Behind the </w:t>
      </w:r>
      <w:r>
        <w:rPr>
          <w:i/>
        </w:rPr>
        <w:t>Kedushah</w:t>
      </w:r>
      <w:r>
        <w:t xml:space="preserve"> stands </w:t>
      </w:r>
      <w:r>
        <w:rPr>
          <w:i/>
        </w:rPr>
        <w:t>Rabbeinu Kalonymus HaZakein</w:t>
      </w:r>
      <w:r>
        <w:t xml:space="preserve">’s </w:t>
      </w:r>
      <w:r>
        <w:rPr>
          <w:i/>
        </w:rPr>
        <w:t>teshuvah</w:t>
      </w:r>
      <w:r>
        <w:t xml:space="preserve">, transmitted from the burning of </w:t>
      </w:r>
      <w:r>
        <w:rPr>
          <w:i/>
        </w:rPr>
        <w:t>ShUM</w:t>
      </w:r>
      <w:r>
        <w:t xml:space="preserve"> through </w:t>
      </w:r>
      <w:r>
        <w:rPr>
          <w:i/>
        </w:rPr>
        <w:t>Sefer Chassidim</w:t>
      </w:r>
      <w:r>
        <w:t xml:space="preserve"> and the </w:t>
      </w:r>
      <w:r>
        <w:rPr>
          <w:i/>
        </w:rPr>
        <w:t>Rokeach</w:t>
      </w:r>
      <w:r>
        <w:t xml:space="preserve"> to every </w:t>
      </w:r>
      <w:r>
        <w:rPr>
          <w:i/>
        </w:rPr>
        <w:t>Ashkenazi</w:t>
      </w:r>
      <w:r>
        <w:t xml:space="preserve"> </w:t>
      </w:r>
      <w:r>
        <w:rPr>
          <w:i/>
        </w:rPr>
        <w:t>siddur</w:t>
      </w:r>
      <w:r>
        <w:t xml:space="preserve"> in use today. In front of it stands </w:t>
      </w:r>
      <w:r>
        <w:rPr>
          <w:i/>
        </w:rPr>
        <w:t>Rav Pirkoi ben Baboi</w:t>
      </w:r>
      <w:r>
        <w:t xml:space="preserve">’s letter, unknown to the medieval </w:t>
      </w:r>
      <w:r>
        <w:rPr>
          <w:i/>
        </w:rPr>
        <w:t>poskim</w:t>
      </w:r>
      <w:r>
        <w:t xml:space="preserve"> and recovered a thousand years later from a Cairo geniza through the work of two Scottish twins and a Cambridge Jew. May we say </w:t>
      </w:r>
      <w:r>
        <w:rPr>
          <w:i/>
        </w:rPr>
        <w:t>Kedushah</w:t>
      </w:r>
      <w:r>
        <w:t xml:space="preserve"> tomorrow morning with all of it in mind.</w:t>
      </w:r>
    </w:p>
    <w:p>
      <w:r>
        <w:rPr>
          <w:b/>
          <w:color w:val="1E3A8A"/>
          <w:sz w:val="26"/>
        </w:rPr>
        <w:t>XVI. PRACTICAL SUMMARY</w:t>
      </w:r>
    </w:p>
    <w:p>
      <w:pPr>
        <w:pBdr>
          <w:bottom w:val="single" w:sz="6" w:space="1" w:color="B8860B"/>
        </w:pBdr>
      </w:pPr>
    </w:p>
    <w:p>
      <w:pPr>
        <w:pBdr>
          <w:bottom w:val="single" w:sz="6" w:space="1" w:color="B8860B"/>
        </w:pBdr>
      </w:pPr>
    </w:p>
    <w:p>
      <w:r>
        <w:rPr>
          <w:rFonts w:ascii="David" w:hAnsi="David"/>
          <w:b/>
          <w:color w:val="1E3A8A"/>
          <w:sz w:val="26"/>
        </w:rPr>
        <w:t>מראה מקומות·  MAREH MEKOMOS</w:t>
      </w:r>
    </w:p>
    <w:p>
      <w:r>
        <w:rPr>
          <w:b/>
          <w:color w:val="1E3A8A"/>
        </w:rPr>
        <w:t xml:space="preserve">1. </w:t>
      </w:r>
      <w:r>
        <w:rPr>
          <w:b/>
          <w:i/>
          <w:color w:val="1E3A8A"/>
        </w:rPr>
        <w:t>Mordechai</w:t>
      </w:r>
      <w:r>
        <w:rPr>
          <w:b/>
          <w:color w:val="1E3A8A"/>
        </w:rPr>
        <w:t xml:space="preserve"> on </w:t>
      </w:r>
      <w:r>
        <w:rPr>
          <w:b/>
          <w:i/>
          <w:color w:val="1E3A8A"/>
        </w:rPr>
        <w:t>Maseches Pesachim</w:t>
      </w:r>
      <w:r>
        <w:rPr>
          <w:b/>
          <w:color w:val="1E3A8A"/>
        </w:rPr>
        <w:t xml:space="preserve"> — </w:t>
      </w:r>
      <w:r>
        <w:rPr>
          <w:b/>
          <w:i/>
          <w:color w:val="1E3A8A"/>
        </w:rPr>
        <w:t>Gehinnom</w:t>
      </w:r>
      <w:r>
        <w:rPr>
          <w:b/>
          <w:color w:val="1E3A8A"/>
        </w:rPr>
        <w:t xml:space="preserve"> closed on </w:t>
      </w:r>
      <w:r>
        <w:rPr>
          <w:b/>
          <w:i/>
          <w:color w:val="1E3A8A"/>
        </w:rPr>
        <w:t>Rosh Chodesh</w:t>
      </w:r>
      <w:r>
        <w:rPr>
          <w:b/>
          <w:color w:val="1E3A8A"/>
        </w:rPr>
        <w:t xml:space="preserve"> and throughout </w:t>
      </w:r>
      <w:r>
        <w:rPr>
          <w:b/>
          <w:i/>
          <w:color w:val="1E3A8A"/>
        </w:rPr>
        <w:t>Nissan</w:t>
      </w:r>
      <w:r>
        <w:rPr>
          <w:b/>
          <w:color w:val="1E3A8A"/>
        </w:rPr>
        <w:t>.</w:t>
      </w:r>
      <w:r>
        <w:t xml:space="preserve"> </w:t>
      </w:r>
      <w:r>
        <w:t xml:space="preserve">— </w:t>
      </w:r>
      <w:r>
        <w:rPr>
          <w:i/>
        </w:rPr>
        <w:t>Rabbeinu Mordechai ben Hillel Ashkenazi</w:t>
      </w:r>
      <w:r>
        <w:t xml:space="preserve"> (the </w:t>
      </w:r>
      <w:r>
        <w:rPr>
          <w:i/>
        </w:rPr>
        <w:t>Mordechai</w:t>
      </w:r>
      <w:r>
        <w:t xml:space="preserve">, c. 1250–1298, </w:t>
      </w:r>
      <w:r>
        <w:rPr>
          <w:i/>
        </w:rPr>
        <w:t>talmid</w:t>
      </w:r>
      <w:r>
        <w:t xml:space="preserve"> of the </w:t>
      </w:r>
      <w:r>
        <w:rPr>
          <w:i/>
        </w:rPr>
        <w:t>Maharam MiRotenburg</w:t>
      </w:r>
      <w:r>
        <w:t xml:space="preserve">; killed </w:t>
      </w:r>
      <w:r>
        <w:rPr>
          <w:i/>
        </w:rPr>
        <w:t>al Kiddush Hashem</w:t>
      </w:r>
      <w:r>
        <w:t xml:space="preserve"> in the Rindfleisch massacres of 1298), in his commentary on the </w:t>
      </w:r>
      <w:r>
        <w:rPr>
          <w:i/>
        </w:rPr>
        <w:t>Rif</w:t>
      </w:r>
      <w:r>
        <w:t xml:space="preserve"> on </w:t>
      </w:r>
      <w:r>
        <w:rPr>
          <w:i/>
        </w:rPr>
        <w:t>Maseches Pesachim</w:t>
      </w:r>
      <w:r>
        <w:t xml:space="preserve">, records the </w:t>
      </w:r>
      <w:r>
        <w:rPr>
          <w:i/>
        </w:rPr>
        <w:t>mesorah</w:t>
      </w:r>
      <w:r>
        <w:t xml:space="preserve"> that </w:t>
      </w:r>
      <w:r>
        <w:rPr>
          <w:i/>
        </w:rPr>
        <w:t>Gehinnom</w:t>
      </w:r>
      <w:r>
        <w:t xml:space="preserve"> is closed on </w:t>
      </w:r>
      <w:r>
        <w:rPr>
          <w:i/>
        </w:rPr>
        <w:t>Rosh Chodesh</w:t>
      </w:r>
      <w:r>
        <w:t xml:space="preserve"> as it is on </w:t>
      </w:r>
      <w:r>
        <w:rPr>
          <w:i/>
        </w:rPr>
        <w:t>Shabbos</w:t>
      </w:r>
      <w:r>
        <w:t xml:space="preserve">. The </w:t>
      </w:r>
      <w:r>
        <w:rPr>
          <w:i/>
        </w:rPr>
        <w:t>Mordechai</w:t>
      </w:r>
      <w:r>
        <w:t xml:space="preserve">’s extension — that </w:t>
      </w:r>
      <w:r>
        <w:rPr>
          <w:i/>
        </w:rPr>
        <w:t>Gehinnom</w:t>
      </w:r>
      <w:r>
        <w:t xml:space="preserve"> remains closed throughout the entire month of </w:t>
      </w:r>
      <w:r>
        <w:rPr>
          <w:i/>
        </w:rPr>
        <w:t>Nissan</w:t>
      </w:r>
      <w:r>
        <w:t xml:space="preserve"> — grounds the omission of </w:t>
      </w:r>
      <w:r>
        <w:rPr>
          <w:i/>
        </w:rPr>
        <w:t>Tzidkascha Tzedek</w:t>
      </w:r>
      <w:r>
        <w:t xml:space="preserve"> at </w:t>
      </w:r>
      <w:r>
        <w:rPr>
          <w:i/>
        </w:rPr>
        <w:t>Minchah</w:t>
      </w:r>
      <w:r>
        <w:t xml:space="preserve"> of </w:t>
      </w:r>
      <w:r>
        <w:rPr>
          <w:i/>
        </w:rPr>
        <w:t>Shabbos</w:t>
      </w:r>
      <w:r>
        <w:t xml:space="preserve"> when </w:t>
      </w:r>
      <w:r>
        <w:rPr>
          <w:i/>
        </w:rPr>
        <w:t>Shabbos</w:t>
      </w:r>
      <w:r>
        <w:t xml:space="preserve"> falls on </w:t>
      </w:r>
      <w:r>
        <w:rPr>
          <w:i/>
        </w:rPr>
        <w:t>Erev Rosh Chodesh</w:t>
      </w:r>
      <w:r>
        <w:t>, and the broader festive treatment of the month.</w:t>
      </w:r>
    </w:p>
    <w:p>
      <w:r>
        <w:rPr>
          <w:b/>
          <w:color w:val="1E3A8A"/>
        </w:rPr>
        <w:t xml:space="preserve">2. </w:t>
      </w:r>
      <w:r>
        <w:rPr>
          <w:b/>
          <w:i/>
          <w:color w:val="1E3A8A"/>
        </w:rPr>
        <w:t>Shevuos</w:t>
      </w:r>
      <w:r>
        <w:rPr>
          <w:b/>
          <w:color w:val="1E3A8A"/>
        </w:rPr>
        <w:t xml:space="preserve"> 10a — </w:t>
      </w:r>
      <w:r>
        <w:rPr>
          <w:b/>
          <w:i/>
          <w:color w:val="1E3A8A"/>
        </w:rPr>
        <w:t>“Rosh Chodesh ikri mo’ed.”</w:t>
      </w:r>
      <w:r>
        <w:t xml:space="preserve"> </w:t>
      </w:r>
      <w:r>
        <w:t xml:space="preserve">— The </w:t>
      </w:r>
      <w:r>
        <w:rPr>
          <w:i/>
        </w:rPr>
        <w:t>sugya</w:t>
      </w:r>
      <w:r>
        <w:t xml:space="preserve"> in the opening </w:t>
      </w:r>
      <w:r>
        <w:rPr>
          <w:i/>
        </w:rPr>
        <w:t>perek</w:t>
      </w:r>
      <w:r>
        <w:t xml:space="preserve"> of </w:t>
      </w:r>
      <w:r>
        <w:rPr>
          <w:i/>
        </w:rPr>
        <w:t>Shevuos</w:t>
      </w:r>
      <w:r>
        <w:t xml:space="preserve"> derives that </w:t>
      </w:r>
      <w:r>
        <w:rPr>
          <w:i/>
        </w:rPr>
        <w:t>Rosh Chodesh</w:t>
      </w:r>
      <w:r>
        <w:t xml:space="preserve"> is included in the </w:t>
      </w:r>
      <w:r>
        <w:rPr>
          <w:i/>
        </w:rPr>
        <w:t>Torah</w:t>
      </w:r>
      <w:r>
        <w:t xml:space="preserve">’s designation </w:t>
      </w:r>
      <w:r>
        <w:rPr>
          <w:i/>
        </w:rPr>
        <w:t>“mo’ed”</w:t>
      </w:r>
      <w:r>
        <w:t xml:space="preserve"> and is therefore subject to </w:t>
      </w:r>
      <w:r>
        <w:rPr>
          <w:i/>
        </w:rPr>
        <w:t>dinei Yom Tov</w:t>
      </w:r>
      <w:r>
        <w:t xml:space="preserve"> in certain respects (offerings, omission of </w:t>
      </w:r>
      <w:r>
        <w:rPr>
          <w:i/>
        </w:rPr>
        <w:t>tachanun</w:t>
      </w:r>
      <w:r>
        <w:t xml:space="preserve">, festive demeanor). The </w:t>
      </w:r>
      <w:r>
        <w:rPr>
          <w:i/>
        </w:rPr>
        <w:t>Gemara</w:t>
      </w:r>
      <w:r>
        <w:t xml:space="preserve">’s designation grounds the </w:t>
      </w:r>
      <w:r>
        <w:rPr>
          <w:i/>
        </w:rPr>
        <w:t>Shefa Kodesh</w:t>
      </w:r>
      <w:r>
        <w:t xml:space="preserve">’s reading of the entire month of </w:t>
      </w:r>
      <w:r>
        <w:rPr>
          <w:i/>
        </w:rPr>
        <w:t>Nissan</w:t>
      </w:r>
      <w:r>
        <w:t xml:space="preserve"> as carrying </w:t>
      </w:r>
      <w:r>
        <w:rPr>
          <w:i/>
        </w:rPr>
        <w:t>kedushas Rosh Chodesh</w:t>
      </w:r>
      <w:r>
        <w:t>.</w:t>
      </w:r>
    </w:p>
    <w:p>
      <w:r>
        <w:rPr>
          <w:b/>
          <w:color w:val="1E3A8A"/>
        </w:rPr>
        <w:t xml:space="preserve">3. </w:t>
      </w:r>
      <w:r>
        <w:rPr>
          <w:b/>
          <w:i/>
          <w:color w:val="1E3A8A"/>
        </w:rPr>
        <w:t>Berachos</w:t>
      </w:r>
      <w:r>
        <w:rPr>
          <w:b/>
          <w:color w:val="1E3A8A"/>
        </w:rPr>
        <w:t xml:space="preserve"> 21b — late arrival and the </w:t>
      </w:r>
      <w:r>
        <w:rPr>
          <w:b/>
          <w:i/>
          <w:color w:val="1E3A8A"/>
        </w:rPr>
        <w:t>chiyuv</w:t>
      </w:r>
      <w:r>
        <w:rPr>
          <w:b/>
          <w:color w:val="1E3A8A"/>
        </w:rPr>
        <w:t xml:space="preserve"> to wait for </w:t>
      </w:r>
      <w:r>
        <w:rPr>
          <w:b/>
          <w:i/>
          <w:color w:val="1E3A8A"/>
        </w:rPr>
        <w:t>Kedushah</w:t>
      </w:r>
      <w:r>
        <w:rPr>
          <w:b/>
          <w:color w:val="1E3A8A"/>
        </w:rPr>
        <w:t>.</w:t>
      </w:r>
      <w:r>
        <w:t xml:space="preserve"> </w:t>
      </w:r>
      <w:r>
        <w:t xml:space="preserve">— The </w:t>
      </w:r>
      <w:r>
        <w:rPr>
          <w:i/>
        </w:rPr>
        <w:t>Gemara</w:t>
      </w:r>
      <w:r>
        <w:t xml:space="preserve"> rules that one who arrives at shul as the </w:t>
      </w:r>
      <w:r>
        <w:rPr>
          <w:i/>
        </w:rPr>
        <w:t>tzibbur</w:t>
      </w:r>
      <w:r>
        <w:t xml:space="preserve"> is approaching </w:t>
      </w:r>
      <w:r>
        <w:rPr>
          <w:i/>
        </w:rPr>
        <w:t>Kedushah</w:t>
      </w:r>
      <w:r>
        <w:t xml:space="preserve"> must delay his private </w:t>
      </w:r>
      <w:r>
        <w:rPr>
          <w:i/>
        </w:rPr>
        <w:t>Shemoneh Esrei</w:t>
      </w:r>
      <w:r>
        <w:t xml:space="preserve"> in order to answer </w:t>
      </w:r>
      <w:r>
        <w:rPr>
          <w:i/>
        </w:rPr>
        <w:t>Kedushah</w:t>
      </w:r>
      <w:r>
        <w:t xml:space="preserve"> with the </w:t>
      </w:r>
      <w:r>
        <w:rPr>
          <w:i/>
        </w:rPr>
        <w:t>tzibbur</w:t>
      </w:r>
      <w:r>
        <w:t xml:space="preserve">. The </w:t>
      </w:r>
      <w:r>
        <w:rPr>
          <w:i/>
        </w:rPr>
        <w:t>sugya</w:t>
      </w:r>
      <w:r>
        <w:t xml:space="preserve"> embeds the central role of </w:t>
      </w:r>
      <w:r>
        <w:rPr>
          <w:i/>
        </w:rPr>
        <w:t>Kedushah</w:t>
      </w:r>
      <w:r>
        <w:t xml:space="preserve"> within the structure of communal </w:t>
      </w:r>
      <w:r>
        <w:rPr>
          <w:i/>
        </w:rPr>
        <w:t>tefillah</w:t>
      </w:r>
      <w:r>
        <w:t xml:space="preserve">: even an individual’s </w:t>
      </w:r>
      <w:r>
        <w:rPr>
          <w:i/>
        </w:rPr>
        <w:t>tefillah b’tzibbur</w:t>
      </w:r>
      <w:r>
        <w:t xml:space="preserve"> defers to it.</w:t>
      </w:r>
    </w:p>
    <w:p>
      <w:r>
        <w:rPr>
          <w:b/>
          <w:color w:val="1E3A8A"/>
        </w:rPr>
        <w:t xml:space="preserve">4. </w:t>
      </w:r>
      <w:r>
        <w:rPr>
          <w:b/>
          <w:i/>
          <w:color w:val="1E3A8A"/>
        </w:rPr>
        <w:t>Shulchan Aruch Orach Chaim siman</w:t>
      </w:r>
      <w:r>
        <w:rPr>
          <w:b/>
          <w:color w:val="1E3A8A"/>
        </w:rPr>
        <w:t xml:space="preserve"> 109 — late arrival; ordering </w:t>
      </w:r>
      <w:r>
        <w:rPr>
          <w:b/>
          <w:i/>
          <w:color w:val="1E3A8A"/>
        </w:rPr>
        <w:t>Kedushah</w:t>
      </w:r>
      <w:r>
        <w:rPr>
          <w:b/>
          <w:color w:val="1E3A8A"/>
        </w:rPr>
        <w:t xml:space="preserve"> before private </w:t>
      </w:r>
      <w:r>
        <w:rPr>
          <w:b/>
          <w:i/>
          <w:color w:val="1E3A8A"/>
        </w:rPr>
        <w:t>Shemoneh Esrei</w:t>
      </w:r>
      <w:r>
        <w:rPr>
          <w:b/>
          <w:color w:val="1E3A8A"/>
        </w:rPr>
        <w:t>.</w:t>
      </w:r>
      <w:r>
        <w:t xml:space="preserve"> </w:t>
      </w:r>
      <w:r>
        <w:t xml:space="preserve">— The </w:t>
      </w:r>
      <w:r>
        <w:rPr>
          <w:i/>
        </w:rPr>
        <w:t>Shulchan Aruch</w:t>
      </w:r>
      <w:r>
        <w:t xml:space="preserve"> codifies the </w:t>
      </w:r>
      <w:r>
        <w:rPr>
          <w:i/>
        </w:rPr>
        <w:t>sugya</w:t>
      </w:r>
      <w:r>
        <w:t xml:space="preserve"> in </w:t>
      </w:r>
      <w:r>
        <w:rPr>
          <w:i/>
        </w:rPr>
        <w:t>Berachos</w:t>
      </w:r>
      <w:r>
        <w:t xml:space="preserve">: one delays one’s private </w:t>
      </w:r>
      <w:r>
        <w:rPr>
          <w:i/>
        </w:rPr>
        <w:t>Shemoneh Esrei</w:t>
      </w:r>
      <w:r>
        <w:t xml:space="preserve"> when arriving late, in order to discharge </w:t>
      </w:r>
      <w:r>
        <w:rPr>
          <w:i/>
        </w:rPr>
        <w:t>Kedushah</w:t>
      </w:r>
      <w:r>
        <w:t xml:space="preserve"> with the </w:t>
      </w:r>
      <w:r>
        <w:rPr>
          <w:i/>
        </w:rPr>
        <w:t>tzibbur</w:t>
      </w:r>
      <w:r>
        <w:t xml:space="preserve">. The </w:t>
      </w:r>
      <w:r>
        <w:rPr>
          <w:i/>
        </w:rPr>
        <w:t>Mishnah Berurah</w:t>
      </w:r>
      <w:r>
        <w:t xml:space="preserve"> ad loc. elaborates the practical applications, including how to time </w:t>
      </w:r>
      <w:r>
        <w:rPr>
          <w:i/>
        </w:rPr>
        <w:t>birkas avos</w:t>
      </w:r>
      <w:r>
        <w:t xml:space="preserve"> so that </w:t>
      </w:r>
      <w:r>
        <w:rPr>
          <w:i/>
        </w:rPr>
        <w:t>Kedushah</w:t>
      </w:r>
      <w:r>
        <w:t xml:space="preserve"> is reached together with the </w:t>
      </w:r>
      <w:r>
        <w:rPr>
          <w:i/>
        </w:rPr>
        <w:t>chazan</w:t>
      </w:r>
      <w:r>
        <w:t>.</w:t>
      </w:r>
    </w:p>
    <w:p>
      <w:r>
        <w:rPr>
          <w:b/>
          <w:color w:val="1E3A8A"/>
        </w:rPr>
        <w:t xml:space="preserve">5. </w:t>
      </w:r>
      <w:r>
        <w:rPr>
          <w:b/>
          <w:i/>
          <w:color w:val="1E3A8A"/>
        </w:rPr>
        <w:t>Aruch HaShulchan Orach Chaim</w:t>
      </w:r>
      <w:r>
        <w:rPr>
          <w:b/>
          <w:color w:val="1E3A8A"/>
        </w:rPr>
        <w:t xml:space="preserve"> on the tension between a long </w:t>
      </w:r>
      <w:r>
        <w:rPr>
          <w:b/>
          <w:i/>
          <w:color w:val="1E3A8A"/>
        </w:rPr>
        <w:t>Shemoneh Esrei</w:t>
      </w:r>
      <w:r>
        <w:rPr>
          <w:b/>
          <w:color w:val="1E3A8A"/>
        </w:rPr>
        <w:t xml:space="preserve"> and missing </w:t>
      </w:r>
      <w:r>
        <w:rPr>
          <w:b/>
          <w:i/>
          <w:color w:val="1E3A8A"/>
        </w:rPr>
        <w:t>Kedushah</w:t>
      </w:r>
      <w:r>
        <w:rPr>
          <w:b/>
          <w:color w:val="1E3A8A"/>
        </w:rPr>
        <w:t>.</w:t>
      </w:r>
      <w:r>
        <w:t xml:space="preserve"> </w:t>
      </w:r>
      <w:r>
        <w:t xml:space="preserve">— </w:t>
      </w:r>
      <w:r>
        <w:rPr>
          <w:i/>
        </w:rPr>
        <w:t>Rabbi Yechiel Michel Epstein</w:t>
      </w:r>
      <w:r>
        <w:t xml:space="preserve"> (1829–1908), the </w:t>
      </w:r>
      <w:r>
        <w:rPr>
          <w:i/>
        </w:rPr>
        <w:t>Aruch HaShulchan</w:t>
      </w:r>
      <w:r>
        <w:t xml:space="preserve">, raises the structural tension: if </w:t>
      </w:r>
      <w:r>
        <w:rPr>
          <w:i/>
        </w:rPr>
        <w:t>Kedushah</w:t>
      </w:r>
      <w:r>
        <w:t xml:space="preserve"> is so central, what right does an individual davening at length (</w:t>
      </w:r>
      <w:r>
        <w:rPr>
          <w:i/>
        </w:rPr>
        <w:t>“l’seiavon”</w:t>
      </w:r>
      <w:r>
        <w:t xml:space="preserve">, </w:t>
      </w:r>
      <w:r>
        <w:rPr>
          <w:rFonts w:ascii="David" w:hAnsi="David"/>
        </w:rPr>
        <w:t>לתיאבון</w:t>
      </w:r>
      <w:r>
        <w:t xml:space="preserve">) have to fall behind the </w:t>
      </w:r>
      <w:r>
        <w:rPr>
          <w:i/>
        </w:rPr>
        <w:t>chazan</w:t>
      </w:r>
      <w:r>
        <w:t xml:space="preserve"> and miss it? His resolution: </w:t>
      </w:r>
      <w:r>
        <w:rPr>
          <w:i/>
        </w:rPr>
        <w:t>Chazal</w:t>
      </w:r>
      <w:r>
        <w:t xml:space="preserve"> did not </w:t>
      </w:r>
      <w:r>
        <w:rPr>
          <w:i/>
        </w:rPr>
        <w:t>mechayev</w:t>
      </w:r>
      <w:r>
        <w:t xml:space="preserve"> truncating one’s </w:t>
      </w:r>
      <w:r>
        <w:rPr>
          <w:i/>
        </w:rPr>
        <w:t>tefillah</w:t>
      </w:r>
      <w:r>
        <w:t xml:space="preserve">; if one is davening at length with genuine </w:t>
      </w:r>
      <w:r>
        <w:rPr>
          <w:i/>
        </w:rPr>
        <w:t>kavvanah</w:t>
      </w:r>
      <w:r>
        <w:t xml:space="preserve">, </w:t>
      </w:r>
      <w:r>
        <w:rPr>
          <w:i/>
        </w:rPr>
        <w:t>“halevai.”</w:t>
      </w:r>
      <w:r>
        <w:t xml:space="preserve"> The tension is real but not dispositive against extended </w:t>
      </w:r>
      <w:r>
        <w:rPr>
          <w:i/>
        </w:rPr>
        <w:t>kavvanah</w:t>
      </w:r>
      <w:r>
        <w:t>.</w:t>
      </w:r>
    </w:p>
    <w:p>
      <w:r>
        <w:rPr>
          <w:b/>
          <w:color w:val="1E3A8A"/>
        </w:rPr>
        <w:t xml:space="preserve">6. </w:t>
      </w:r>
      <w:r>
        <w:rPr>
          <w:b/>
          <w:i/>
          <w:color w:val="1E3A8A"/>
        </w:rPr>
        <w:t>Chullin</w:t>
      </w:r>
      <w:r>
        <w:rPr>
          <w:b/>
          <w:color w:val="1E3A8A"/>
        </w:rPr>
        <w:t xml:space="preserve"> 91b — the </w:t>
      </w:r>
      <w:r>
        <w:rPr>
          <w:b/>
          <w:i/>
          <w:color w:val="1E3A8A"/>
        </w:rPr>
        <w:t>shirah</w:t>
      </w:r>
      <w:r>
        <w:rPr>
          <w:b/>
          <w:color w:val="1E3A8A"/>
        </w:rPr>
        <w:t xml:space="preserve"> of </w:t>
      </w:r>
      <w:r>
        <w:rPr>
          <w:b/>
          <w:i/>
          <w:color w:val="1E3A8A"/>
        </w:rPr>
        <w:t>Klal Yisrael</w:t>
      </w:r>
      <w:r>
        <w:rPr>
          <w:b/>
          <w:color w:val="1E3A8A"/>
        </w:rPr>
        <w:t xml:space="preserve"> stands at a higher </w:t>
      </w:r>
      <w:r>
        <w:rPr>
          <w:b/>
          <w:i/>
          <w:color w:val="1E3A8A"/>
        </w:rPr>
        <w:t>madreigah</w:t>
      </w:r>
      <w:r>
        <w:rPr>
          <w:b/>
          <w:color w:val="1E3A8A"/>
        </w:rPr>
        <w:t xml:space="preserve"> than that of the </w:t>
      </w:r>
      <w:r>
        <w:rPr>
          <w:b/>
          <w:i/>
          <w:color w:val="1E3A8A"/>
        </w:rPr>
        <w:t>malachei ha’shareis</w:t>
      </w:r>
      <w:r>
        <w:rPr>
          <w:b/>
          <w:color w:val="1E3A8A"/>
        </w:rPr>
        <w:t>.</w:t>
      </w:r>
      <w:r>
        <w:t xml:space="preserve"> </w:t>
      </w:r>
      <w:r>
        <w:t xml:space="preserve">— The </w:t>
      </w:r>
      <w:r>
        <w:rPr>
          <w:i/>
        </w:rPr>
        <w:t>sugya</w:t>
      </w:r>
      <w:r>
        <w:t xml:space="preserve"> brings the </w:t>
      </w:r>
      <w:r>
        <w:rPr>
          <w:i/>
        </w:rPr>
        <w:t>derashah</w:t>
      </w:r>
      <w:r>
        <w:t xml:space="preserve"> that </w:t>
      </w:r>
      <w:r>
        <w:rPr>
          <w:i/>
        </w:rPr>
        <w:t>Klal Yisrael</w:t>
      </w:r>
      <w:r>
        <w:t xml:space="preserve">’s </w:t>
      </w:r>
      <w:r>
        <w:rPr>
          <w:i/>
        </w:rPr>
        <w:t>shirah</w:t>
      </w:r>
      <w:r>
        <w:t xml:space="preserve"> is </w:t>
      </w:r>
      <w:r>
        <w:rPr>
          <w:i/>
        </w:rPr>
        <w:t>“chavivim”</w:t>
      </w:r>
      <w:r>
        <w:t xml:space="preserve"> (</w:t>
      </w:r>
      <w:r>
        <w:rPr>
          <w:rFonts w:ascii="David" w:hAnsi="David"/>
        </w:rPr>
        <w:t>חביבים</w:t>
      </w:r>
      <w:r>
        <w:t xml:space="preserve">) beyond the </w:t>
      </w:r>
      <w:r>
        <w:rPr>
          <w:i/>
        </w:rPr>
        <w:t>malachim</w:t>
      </w:r>
      <w:r>
        <w:t xml:space="preserve">’: </w:t>
      </w:r>
      <w:r>
        <w:rPr>
          <w:i/>
        </w:rPr>
        <w:t>Klal Yisrael</w:t>
      </w:r>
      <w:r>
        <w:t xml:space="preserve"> says </w:t>
      </w:r>
      <w:r>
        <w:rPr>
          <w:i/>
        </w:rPr>
        <w:t>Kedushah</w:t>
      </w:r>
      <w:r>
        <w:t xml:space="preserve"> twice every day; the </w:t>
      </w:r>
      <w:r>
        <w:rPr>
          <w:i/>
        </w:rPr>
        <w:t>malachim</w:t>
      </w:r>
      <w:r>
        <w:t xml:space="preserve"> in some </w:t>
      </w:r>
      <w:r>
        <w:rPr>
          <w:i/>
        </w:rPr>
        <w:t>shitos</w:t>
      </w:r>
      <w:r>
        <w:t xml:space="preserve"> only once a day, once a week, once a year, or even once in their entire existence. </w:t>
      </w:r>
      <w:r>
        <w:rPr>
          <w:i/>
        </w:rPr>
        <w:t>Klal Yisrael</w:t>
      </w:r>
      <w:r>
        <w:t xml:space="preserve"> pronounces the </w:t>
      </w:r>
      <w:r>
        <w:rPr>
          <w:i/>
        </w:rPr>
        <w:t>Shem</w:t>
      </w:r>
      <w:r>
        <w:t xml:space="preserve"> after only two words (</w:t>
      </w:r>
      <w:r>
        <w:rPr>
          <w:i/>
        </w:rPr>
        <w:t>“Shema Yisrael”</w:t>
      </w:r>
      <w:r>
        <w:t xml:space="preserve">); the </w:t>
      </w:r>
      <w:r>
        <w:rPr>
          <w:i/>
        </w:rPr>
        <w:t>malachim</w:t>
      </w:r>
      <w:r>
        <w:t xml:space="preserve"> need three (</w:t>
      </w:r>
      <w:r>
        <w:rPr>
          <w:i/>
        </w:rPr>
        <w:t>“Kadosh, kadosh, kadosh”</w:t>
      </w:r>
      <w:r>
        <w:t xml:space="preserve">). The </w:t>
      </w:r>
      <w:r>
        <w:rPr>
          <w:i/>
        </w:rPr>
        <w:t>sugya</w:t>
      </w:r>
      <w:r>
        <w:t xml:space="preserve"> grounds </w:t>
      </w:r>
      <w:r>
        <w:rPr>
          <w:i/>
        </w:rPr>
        <w:t>Chazal</w:t>
      </w:r>
      <w:r>
        <w:t xml:space="preserve">’s portrayal of </w:t>
      </w:r>
      <w:r>
        <w:rPr>
          <w:i/>
        </w:rPr>
        <w:t>Klal Yisrael</w:t>
      </w:r>
      <w:r>
        <w:t xml:space="preserve"> as </w:t>
      </w:r>
      <w:r>
        <w:rPr>
          <w:i/>
        </w:rPr>
        <w:t>closer</w:t>
      </w:r>
      <w:r>
        <w:t xml:space="preserve"> to the </w:t>
      </w:r>
      <w:r>
        <w:rPr>
          <w:i/>
        </w:rPr>
        <w:t>Ribbono Shel Olam</w:t>
      </w:r>
      <w:r>
        <w:t xml:space="preserve"> than the </w:t>
      </w:r>
      <w:r>
        <w:rPr>
          <w:i/>
        </w:rPr>
        <w:t>malachim</w:t>
      </w:r>
      <w:r>
        <w:t>.</w:t>
      </w:r>
    </w:p>
    <w:p>
      <w:r>
        <w:rPr>
          <w:b/>
          <w:color w:val="1E3A8A"/>
        </w:rPr>
        <w:t xml:space="preserve">7. </w:t>
      </w:r>
      <w:r>
        <w:rPr>
          <w:b/>
          <w:i/>
          <w:color w:val="1E3A8A"/>
        </w:rPr>
        <w:t>Avudraham</w:t>
      </w:r>
      <w:r>
        <w:rPr>
          <w:b/>
          <w:color w:val="1E3A8A"/>
        </w:rPr>
        <w:t xml:space="preserve">, </w:t>
      </w:r>
      <w:r>
        <w:rPr>
          <w:b/>
          <w:i/>
          <w:color w:val="1E3A8A"/>
        </w:rPr>
        <w:t>Seder Tefillas Shabbos</w:t>
      </w:r>
      <w:r>
        <w:rPr>
          <w:b/>
          <w:color w:val="1E3A8A"/>
        </w:rPr>
        <w:t xml:space="preserve"> / </w:t>
      </w:r>
      <w:r>
        <w:rPr>
          <w:b/>
          <w:i/>
          <w:color w:val="1E3A8A"/>
        </w:rPr>
        <w:t>Hilchos Tefillah</w:t>
      </w:r>
      <w:r>
        <w:rPr>
          <w:b/>
          <w:color w:val="1E3A8A"/>
        </w:rPr>
        <w:t xml:space="preserve"> — </w:t>
      </w:r>
      <w:r>
        <w:rPr>
          <w:b/>
          <w:i/>
          <w:color w:val="1E3A8A"/>
        </w:rPr>
        <w:t>David HaMelech</w:t>
      </w:r>
      <w:r>
        <w:rPr>
          <w:b/>
          <w:color w:val="1E3A8A"/>
        </w:rPr>
        <w:t xml:space="preserve"> as nearly a </w:t>
      </w:r>
      <w:r>
        <w:rPr>
          <w:b/>
          <w:i/>
          <w:color w:val="1E3A8A"/>
        </w:rPr>
        <w:t>malach</w:t>
      </w:r>
      <w:r>
        <w:rPr>
          <w:b/>
          <w:color w:val="1E3A8A"/>
        </w:rPr>
        <w:t xml:space="preserve">; the insertion of </w:t>
      </w:r>
      <w:r>
        <w:rPr>
          <w:b/>
          <w:i/>
          <w:color w:val="1E3A8A"/>
        </w:rPr>
        <w:t>“Yimloch Hashem l’olam.”</w:t>
      </w:r>
      <w:r>
        <w:t xml:space="preserve"> </w:t>
      </w:r>
      <w:r>
        <w:t xml:space="preserve">— </w:t>
      </w:r>
      <w:r>
        <w:rPr>
          <w:i/>
        </w:rPr>
        <w:t>Rabbi David Avudraham</w:t>
      </w:r>
      <w:r>
        <w:t xml:space="preserve"> (Seville, mid-fourteenth century), in his classic commentary on the </w:t>
      </w:r>
      <w:r>
        <w:rPr>
          <w:i/>
        </w:rPr>
        <w:t>siddur</w:t>
      </w:r>
      <w:r>
        <w:t xml:space="preserve">, addresses the </w:t>
      </w:r>
      <w:r>
        <w:rPr>
          <w:i/>
        </w:rPr>
        <w:t>kushya</w:t>
      </w:r>
      <w:r>
        <w:t xml:space="preserve"> of inserting a </w:t>
      </w:r>
      <w:r>
        <w:rPr>
          <w:i/>
        </w:rPr>
        <w:t>pasuk</w:t>
      </w:r>
      <w:r>
        <w:t xml:space="preserve"> from </w:t>
      </w:r>
      <w:r>
        <w:rPr>
          <w:i/>
        </w:rPr>
        <w:t>Tehillim</w:t>
      </w:r>
      <w:r>
        <w:t xml:space="preserve"> (</w:t>
      </w:r>
      <w:r>
        <w:rPr>
          <w:i/>
        </w:rPr>
        <w:t>“Yimloch Hashem l’olam,”</w:t>
      </w:r>
      <w:r>
        <w:t xml:space="preserve"> </w:t>
      </w:r>
      <w:r>
        <w:rPr>
          <w:i/>
        </w:rPr>
        <w:t>Tehillim</w:t>
      </w:r>
      <w:r>
        <w:t xml:space="preserve"> 146:10) between the two </w:t>
      </w:r>
      <w:r>
        <w:rPr>
          <w:i/>
        </w:rPr>
        <w:t>pesukim</w:t>
      </w:r>
      <w:r>
        <w:t xml:space="preserve"> of the </w:t>
      </w:r>
      <w:r>
        <w:rPr>
          <w:i/>
        </w:rPr>
        <w:t>shiras ha’malachim</w:t>
      </w:r>
      <w:r>
        <w:t xml:space="preserve">. His resolution: </w:t>
      </w:r>
      <w:r>
        <w:rPr>
          <w:i/>
        </w:rPr>
        <w:t>David HaMelech</w:t>
      </w:r>
      <w:r>
        <w:t xml:space="preserve"> alone among </w:t>
      </w:r>
      <w:r>
        <w:rPr>
          <w:i/>
        </w:rPr>
        <w:t>bnei adam</w:t>
      </w:r>
      <w:r>
        <w:t xml:space="preserve"> reached a </w:t>
      </w:r>
      <w:r>
        <w:rPr>
          <w:i/>
        </w:rPr>
        <w:t>madreigah</w:t>
      </w:r>
      <w:r>
        <w:t xml:space="preserve"> in </w:t>
      </w:r>
      <w:r>
        <w:rPr>
          <w:i/>
        </w:rPr>
        <w:t>shirah</w:t>
      </w:r>
      <w:r>
        <w:t xml:space="preserve"> approaching the </w:t>
      </w:r>
      <w:r>
        <w:rPr>
          <w:i/>
        </w:rPr>
        <w:t>malachim</w:t>
      </w:r>
      <w:r>
        <w:t xml:space="preserve">; we represent </w:t>
      </w:r>
      <w:r>
        <w:rPr>
          <w:i/>
        </w:rPr>
        <w:t>Klal Yisrael</w:t>
      </w:r>
      <w:r>
        <w:t xml:space="preserve">’s parallel voice in the </w:t>
      </w:r>
      <w:r>
        <w:rPr>
          <w:i/>
        </w:rPr>
        <w:t>Kedushah</w:t>
      </w:r>
      <w:r>
        <w:t xml:space="preserve"> by inserting his </w:t>
      </w:r>
      <w:r>
        <w:rPr>
          <w:i/>
        </w:rPr>
        <w:t>pasuk</w:t>
      </w:r>
      <w:r>
        <w:t>.</w:t>
      </w:r>
    </w:p>
    <w:p>
      <w:r>
        <w:rPr>
          <w:b/>
          <w:color w:val="1E3A8A"/>
        </w:rPr>
        <w:t xml:space="preserve">8. </w:t>
      </w:r>
      <w:r>
        <w:rPr>
          <w:b/>
          <w:i/>
          <w:color w:val="1E3A8A"/>
        </w:rPr>
        <w:t>Rosh</w:t>
      </w:r>
      <w:r>
        <w:rPr>
          <w:b/>
          <w:color w:val="1E3A8A"/>
        </w:rPr>
        <w:t xml:space="preserve">, </w:t>
      </w:r>
      <w:r>
        <w:rPr>
          <w:b/>
          <w:i/>
          <w:color w:val="1E3A8A"/>
        </w:rPr>
        <w:t>Maseches Berachos perek</w:t>
      </w:r>
      <w:r>
        <w:rPr>
          <w:b/>
          <w:color w:val="1E3A8A"/>
        </w:rPr>
        <w:t xml:space="preserve"> 5 — the </w:t>
      </w:r>
      <w:r>
        <w:rPr>
          <w:b/>
          <w:i/>
          <w:color w:val="1E3A8A"/>
        </w:rPr>
        <w:t>nusach ha’Kedushah</w:t>
      </w:r>
      <w:r>
        <w:rPr>
          <w:b/>
          <w:color w:val="1E3A8A"/>
        </w:rPr>
        <w:t xml:space="preserve">: only the response, not </w:t>
      </w:r>
      <w:r>
        <w:rPr>
          <w:b/>
          <w:i/>
          <w:color w:val="1E3A8A"/>
        </w:rPr>
        <w:t>“Nakdishcha”</w:t>
      </w:r>
      <w:r>
        <w:rPr>
          <w:b/>
          <w:color w:val="1E3A8A"/>
        </w:rPr>
        <w:t xml:space="preserve"> or </w:t>
      </w:r>
      <w:r>
        <w:rPr>
          <w:b/>
          <w:i/>
          <w:color w:val="1E3A8A"/>
        </w:rPr>
        <w:t>“L’umasam.”</w:t>
      </w:r>
      <w:r>
        <w:t xml:space="preserve"> </w:t>
      </w:r>
      <w:r>
        <w:t xml:space="preserve">— </w:t>
      </w:r>
      <w:r>
        <w:rPr>
          <w:i/>
        </w:rPr>
        <w:t>Rabbeinu Asher ben Yechiel</w:t>
      </w:r>
      <w:r>
        <w:t xml:space="preserve"> (the </w:t>
      </w:r>
      <w:r>
        <w:rPr>
          <w:i/>
        </w:rPr>
        <w:t>Rosh</w:t>
      </w:r>
      <w:r>
        <w:t xml:space="preserve">, c. 1250–1327, Germany and Toledo), in his discussion of the </w:t>
      </w:r>
      <w:r>
        <w:rPr>
          <w:i/>
        </w:rPr>
        <w:t>Kedushah</w:t>
      </w:r>
      <w:r>
        <w:t xml:space="preserve">, reasons by analogy from </w:t>
      </w:r>
      <w:r>
        <w:rPr>
          <w:i/>
        </w:rPr>
        <w:t>Kaddish</w:t>
      </w:r>
      <w:r>
        <w:t xml:space="preserve">: just as the </w:t>
      </w:r>
      <w:r>
        <w:rPr>
          <w:i/>
        </w:rPr>
        <w:t>kahal</w:t>
      </w:r>
      <w:r>
        <w:t xml:space="preserve"> does not say </w:t>
      </w:r>
      <w:r>
        <w:rPr>
          <w:i/>
        </w:rPr>
        <w:t>“Yisgadal v’yiskadash”</w:t>
      </w:r>
      <w:r>
        <w:t xml:space="preserve"> with the </w:t>
      </w:r>
      <w:r>
        <w:rPr>
          <w:i/>
        </w:rPr>
        <w:t>chazan</w:t>
      </w:r>
      <w:r>
        <w:t xml:space="preserve"> — only responds </w:t>
      </w:r>
      <w:r>
        <w:rPr>
          <w:i/>
        </w:rPr>
        <w:t>amen</w:t>
      </w:r>
      <w:r>
        <w:t xml:space="preserve"> — so too in </w:t>
      </w:r>
      <w:r>
        <w:rPr>
          <w:i/>
        </w:rPr>
        <w:t>Kedushah</w:t>
      </w:r>
      <w:r>
        <w:t xml:space="preserve">, the </w:t>
      </w:r>
      <w:r>
        <w:rPr>
          <w:i/>
        </w:rPr>
        <w:t>chazan</w:t>
      </w:r>
      <w:r>
        <w:t xml:space="preserve">’s </w:t>
      </w:r>
      <w:r>
        <w:rPr>
          <w:i/>
        </w:rPr>
        <w:t>“Nakdishcha”</w:t>
      </w:r>
      <w:r>
        <w:t xml:space="preserve"> is the invitation, and the </w:t>
      </w:r>
      <w:r>
        <w:rPr>
          <w:i/>
        </w:rPr>
        <w:t>kahal</w:t>
      </w:r>
      <w:r>
        <w:t xml:space="preserve">’s role is the response: </w:t>
      </w:r>
      <w:r>
        <w:rPr>
          <w:i/>
        </w:rPr>
        <w:t>“Kadosh, kadosh, kadosh”</w:t>
      </w:r>
      <w:r>
        <w:t xml:space="preserve"> and </w:t>
      </w:r>
      <w:r>
        <w:rPr>
          <w:i/>
        </w:rPr>
        <w:t>“Baruch kevod Hashem mi’mekomo.”</w:t>
      </w:r>
      <w:r>
        <w:t xml:space="preserve"> The Litvish </w:t>
      </w:r>
      <w:r>
        <w:rPr>
          <w:i/>
        </w:rPr>
        <w:t>minhag</w:t>
      </w:r>
      <w:r>
        <w:t xml:space="preserve"> that omits </w:t>
      </w:r>
      <w:r>
        <w:rPr>
          <w:i/>
        </w:rPr>
        <w:t>“L’umasam meshabchim v’omrim”</w:t>
      </w:r>
      <w:r>
        <w:t xml:space="preserve"> from the </w:t>
      </w:r>
      <w:r>
        <w:rPr>
          <w:i/>
        </w:rPr>
        <w:t>kahal</w:t>
      </w:r>
      <w:r>
        <w:t xml:space="preserve">’s recitation rests on this </w:t>
      </w:r>
      <w:r>
        <w:rPr>
          <w:i/>
        </w:rPr>
        <w:t>shitah</w:t>
      </w:r>
      <w:r>
        <w:t>.</w:t>
      </w:r>
    </w:p>
    <w:p>
      <w:r>
        <w:rPr>
          <w:b/>
          <w:color w:val="1E3A8A"/>
        </w:rPr>
        <w:t xml:space="preserve">9. </w:t>
      </w:r>
      <w:r>
        <w:rPr>
          <w:b/>
          <w:i/>
          <w:color w:val="1E3A8A"/>
        </w:rPr>
        <w:t>Magen Avraham</w:t>
      </w:r>
      <w:r>
        <w:rPr>
          <w:b/>
          <w:color w:val="1E3A8A"/>
        </w:rPr>
        <w:t xml:space="preserve"> on </w:t>
      </w:r>
      <w:r>
        <w:rPr>
          <w:b/>
          <w:i/>
          <w:color w:val="1E3A8A"/>
        </w:rPr>
        <w:t>Shulchan Aruch Orach Chaim siman</w:t>
      </w:r>
      <w:r>
        <w:rPr>
          <w:b/>
          <w:color w:val="1E3A8A"/>
        </w:rPr>
        <w:t xml:space="preserve"> 125 — </w:t>
      </w:r>
      <w:r>
        <w:rPr>
          <w:b/>
          <w:i/>
          <w:color w:val="1E3A8A"/>
        </w:rPr>
        <w:t>“L’umasam”</w:t>
      </w:r>
      <w:r>
        <w:rPr>
          <w:b/>
          <w:color w:val="1E3A8A"/>
        </w:rPr>
        <w:t xml:space="preserve"> as descriptive narrative, not the </w:t>
      </w:r>
      <w:r>
        <w:rPr>
          <w:b/>
          <w:i/>
          <w:color w:val="1E3A8A"/>
        </w:rPr>
        <w:t>Kedushah</w:t>
      </w:r>
      <w:r>
        <w:rPr>
          <w:b/>
          <w:color w:val="1E3A8A"/>
        </w:rPr>
        <w:t xml:space="preserve"> proper.</w:t>
      </w:r>
      <w:r>
        <w:t xml:space="preserve"> </w:t>
      </w:r>
      <w:r>
        <w:t xml:space="preserve">— </w:t>
      </w:r>
      <w:r>
        <w:rPr>
          <w:i/>
        </w:rPr>
        <w:t>Rabbi Avraham HaLevi Gombiner</w:t>
      </w:r>
      <w:r>
        <w:t xml:space="preserve"> (the </w:t>
      </w:r>
      <w:r>
        <w:rPr>
          <w:i/>
        </w:rPr>
        <w:t>Magen Avraham</w:t>
      </w:r>
      <w:r>
        <w:t xml:space="preserve">, c. 1635–1682, Kalish), in his commentary on the </w:t>
      </w:r>
      <w:r>
        <w:rPr>
          <w:i/>
        </w:rPr>
        <w:t>Shulchan Aruch</w:t>
      </w:r>
      <w:r>
        <w:t xml:space="preserve">, reconciles the two practices. The </w:t>
      </w:r>
      <w:r>
        <w:rPr>
          <w:i/>
        </w:rPr>
        <w:t>“L’umasam meshabchim v’omrim”</w:t>
      </w:r>
      <w:r>
        <w:t xml:space="preserve"> phrases, in his reading, are descriptive — narrating that the second group of </w:t>
      </w:r>
      <w:r>
        <w:rPr>
          <w:i/>
        </w:rPr>
        <w:t>malachim</w:t>
      </w:r>
      <w:r>
        <w:t xml:space="preserve">, opposite the first, also responds — and not part of the </w:t>
      </w:r>
      <w:r>
        <w:rPr>
          <w:i/>
        </w:rPr>
        <w:t>Kedushah</w:t>
      </w:r>
      <w:r>
        <w:t xml:space="preserve">’s essential </w:t>
      </w:r>
      <w:r>
        <w:rPr>
          <w:i/>
        </w:rPr>
        <w:t>pesukim</w:t>
      </w:r>
      <w:r>
        <w:t xml:space="preserve">. His </w:t>
      </w:r>
      <w:r>
        <w:rPr>
          <w:i/>
        </w:rPr>
        <w:t>pesak</w:t>
      </w:r>
      <w:r>
        <w:t xml:space="preserve">: where the </w:t>
      </w:r>
      <w:r>
        <w:rPr>
          <w:i/>
        </w:rPr>
        <w:t>minhag</w:t>
      </w:r>
      <w:r>
        <w:t xml:space="preserve"> is to say them, do so quietly and only after the </w:t>
      </w:r>
      <w:r>
        <w:rPr>
          <w:i/>
        </w:rPr>
        <w:t>chazan</w:t>
      </w:r>
      <w:r>
        <w:t xml:space="preserve">; do not interrupt </w:t>
      </w:r>
      <w:r>
        <w:rPr>
          <w:i/>
        </w:rPr>
        <w:t>Kri’as Shema</w:t>
      </w:r>
      <w:r>
        <w:t xml:space="preserve"> for them.</w:t>
      </w:r>
    </w:p>
    <w:p>
      <w:r>
        <w:rPr>
          <w:b/>
          <w:color w:val="1E3A8A"/>
        </w:rPr>
        <w:t xml:space="preserve">10. </w:t>
      </w:r>
      <w:r>
        <w:rPr>
          <w:b/>
          <w:i/>
          <w:color w:val="1E3A8A"/>
        </w:rPr>
        <w:t>Megillah</w:t>
      </w:r>
      <w:r>
        <w:rPr>
          <w:b/>
          <w:color w:val="1E3A8A"/>
        </w:rPr>
        <w:t xml:space="preserve"> 23b — </w:t>
      </w:r>
      <w:r>
        <w:rPr>
          <w:b/>
          <w:i/>
          <w:color w:val="1E3A8A"/>
        </w:rPr>
        <w:t>Kedushah</w:t>
      </w:r>
      <w:r>
        <w:rPr>
          <w:b/>
          <w:color w:val="1E3A8A"/>
        </w:rPr>
        <w:t xml:space="preserve"> as a </w:t>
      </w:r>
      <w:r>
        <w:rPr>
          <w:b/>
          <w:i/>
          <w:color w:val="1E3A8A"/>
        </w:rPr>
        <w:t>davar sh’bi’kedushah</w:t>
      </w:r>
      <w:r>
        <w:rPr>
          <w:b/>
          <w:color w:val="1E3A8A"/>
        </w:rPr>
        <w:t xml:space="preserve">; requirement of a </w:t>
      </w:r>
      <w:r>
        <w:rPr>
          <w:b/>
          <w:i/>
          <w:color w:val="1E3A8A"/>
        </w:rPr>
        <w:t>minyan</w:t>
      </w:r>
      <w:r>
        <w:rPr>
          <w:b/>
          <w:color w:val="1E3A8A"/>
        </w:rPr>
        <w:t>.</w:t>
      </w:r>
      <w:r>
        <w:t xml:space="preserve"> </w:t>
      </w:r>
      <w:r>
        <w:t xml:space="preserve">— The </w:t>
      </w:r>
      <w:r>
        <w:rPr>
          <w:i/>
        </w:rPr>
        <w:t>sugya</w:t>
      </w:r>
      <w:r>
        <w:t xml:space="preserve"> in </w:t>
      </w:r>
      <w:r>
        <w:rPr>
          <w:i/>
        </w:rPr>
        <w:t>Megillah</w:t>
      </w:r>
      <w:r>
        <w:t xml:space="preserve"> establishes the category of </w:t>
      </w:r>
      <w:r>
        <w:rPr>
          <w:i/>
        </w:rPr>
        <w:t>davar sh’bi’kedushah</w:t>
      </w:r>
      <w:r>
        <w:t xml:space="preserve"> — items that may not be said without a </w:t>
      </w:r>
      <w:r>
        <w:rPr>
          <w:i/>
        </w:rPr>
        <w:t>minyan</w:t>
      </w:r>
      <w:r>
        <w:t xml:space="preserve"> of ten — and includes </w:t>
      </w:r>
      <w:r>
        <w:rPr>
          <w:i/>
        </w:rPr>
        <w:t>Kedushah</w:t>
      </w:r>
      <w:r>
        <w:t xml:space="preserve"> in that list. The </w:t>
      </w:r>
      <w:r>
        <w:rPr>
          <w:i/>
        </w:rPr>
        <w:t>sugya</w:t>
      </w:r>
      <w:r>
        <w:t xml:space="preserve"> grounds the </w:t>
      </w:r>
      <w:r>
        <w:rPr>
          <w:i/>
        </w:rPr>
        <w:t>Rishonim</w:t>
      </w:r>
      <w:r>
        <w:t xml:space="preserve">’s distinction between the actual </w:t>
      </w:r>
      <w:r>
        <w:rPr>
          <w:i/>
        </w:rPr>
        <w:t>Kedushah</w:t>
      </w:r>
      <w:r>
        <w:t xml:space="preserve"> in </w:t>
      </w:r>
      <w:r>
        <w:rPr>
          <w:i/>
        </w:rPr>
        <w:t>chazaras ha’shatz</w:t>
      </w:r>
      <w:r>
        <w:t xml:space="preserve"> (which requires a </w:t>
      </w:r>
      <w:r>
        <w:rPr>
          <w:i/>
        </w:rPr>
        <w:t>minyan</w:t>
      </w:r>
      <w:r>
        <w:t xml:space="preserve">) and the narrative </w:t>
      </w:r>
      <w:r>
        <w:rPr>
          <w:i/>
        </w:rPr>
        <w:t>Kedushah d’Yotzeir Or</w:t>
      </w:r>
      <w:r>
        <w:t xml:space="preserve"> (which an individual recites alone, </w:t>
      </w:r>
      <w:r>
        <w:rPr>
          <w:i/>
        </w:rPr>
        <w:t>describing</w:t>
      </w:r>
      <w:r>
        <w:t xml:space="preserve"> what the </w:t>
      </w:r>
      <w:r>
        <w:rPr>
          <w:i/>
        </w:rPr>
        <w:t>malachim</w:t>
      </w:r>
      <w:r>
        <w:t xml:space="preserve"> say rather than performing </w:t>
      </w:r>
      <w:r>
        <w:rPr>
          <w:i/>
        </w:rPr>
        <w:t>Kedushah</w:t>
      </w:r>
      <w:r>
        <w:t xml:space="preserve"> as such).</w:t>
      </w:r>
    </w:p>
    <w:p>
      <w:r>
        <w:rPr>
          <w:b/>
          <w:color w:val="1E3A8A"/>
        </w:rPr>
        <w:t xml:space="preserve">11. </w:t>
      </w:r>
      <w:r>
        <w:rPr>
          <w:b/>
          <w:i/>
          <w:color w:val="1E3A8A"/>
        </w:rPr>
        <w:t>Mishnah Berurah siman</w:t>
      </w:r>
      <w:r>
        <w:rPr>
          <w:b/>
          <w:color w:val="1E3A8A"/>
        </w:rPr>
        <w:t xml:space="preserve"> 125 — </w:t>
      </w:r>
      <w:r>
        <w:rPr>
          <w:b/>
          <w:i/>
          <w:color w:val="1E3A8A"/>
        </w:rPr>
        <w:t>kavvanah</w:t>
      </w:r>
      <w:r>
        <w:rPr>
          <w:b/>
          <w:color w:val="1E3A8A"/>
        </w:rPr>
        <w:t xml:space="preserve"> for </w:t>
      </w:r>
      <w:r>
        <w:rPr>
          <w:b/>
          <w:i/>
          <w:color w:val="1E3A8A"/>
        </w:rPr>
        <w:t>“v’nikdashti b’soch Bnei Yisrael”</w:t>
      </w:r>
      <w:r>
        <w:rPr>
          <w:b/>
          <w:color w:val="1E3A8A"/>
        </w:rPr>
        <w:t xml:space="preserve"> at </w:t>
      </w:r>
      <w:r>
        <w:rPr>
          <w:b/>
          <w:i/>
          <w:color w:val="1E3A8A"/>
        </w:rPr>
        <w:t>Kedushah</w:t>
      </w:r>
      <w:r>
        <w:rPr>
          <w:b/>
          <w:color w:val="1E3A8A"/>
        </w:rPr>
        <w:t>.</w:t>
      </w:r>
      <w:r>
        <w:t xml:space="preserve"> </w:t>
      </w:r>
      <w:r>
        <w:t xml:space="preserve">— The </w:t>
      </w:r>
      <w:r>
        <w:rPr>
          <w:i/>
        </w:rPr>
        <w:t>Mishnah Berurah</w:t>
      </w:r>
      <w:r>
        <w:t xml:space="preserve">, codifying the </w:t>
      </w:r>
      <w:r>
        <w:rPr>
          <w:i/>
        </w:rPr>
        <w:t>Shaarei Kedushah</w:t>
      </w:r>
      <w:r>
        <w:t xml:space="preserve"> and the </w:t>
      </w:r>
      <w:r>
        <w:rPr>
          <w:i/>
        </w:rPr>
        <w:t>Arizal</w:t>
      </w:r>
      <w:r>
        <w:t xml:space="preserve">, rules </w:t>
      </w:r>
      <w:r>
        <w:rPr>
          <w:i/>
        </w:rPr>
        <w:t>lechatchilah</w:t>
      </w:r>
      <w:r>
        <w:t xml:space="preserve"> that one should have explicit </w:t>
      </w:r>
      <w:r>
        <w:rPr>
          <w:i/>
        </w:rPr>
        <w:t>kavvanah</w:t>
      </w:r>
      <w:r>
        <w:t xml:space="preserve"> when standing for </w:t>
      </w:r>
      <w:r>
        <w:rPr>
          <w:i/>
        </w:rPr>
        <w:t>Kedushah</w:t>
      </w:r>
      <w:r>
        <w:t xml:space="preserve">: </w:t>
      </w:r>
      <w:r>
        <w:rPr>
          <w:i/>
        </w:rPr>
        <w:t>“I am about to fulfill the</w:t>
      </w:r>
      <w:r>
        <w:t xml:space="preserve"> mitzvas aseih d’oraisa </w:t>
      </w:r>
      <w:r>
        <w:rPr>
          <w:i/>
        </w:rPr>
        <w:t>of ‘v’nikdashti b’soch Bnei Yisrael.’”</w:t>
      </w:r>
      <w:r>
        <w:t xml:space="preserve"> The </w:t>
      </w:r>
      <w:r>
        <w:rPr>
          <w:i/>
        </w:rPr>
        <w:t>kavvanah</w:t>
      </w:r>
      <w:r>
        <w:t xml:space="preserve"> is essential to the </w:t>
      </w:r>
      <w:r>
        <w:rPr>
          <w:i/>
        </w:rPr>
        <w:t>kiyum</w:t>
      </w:r>
      <w:r>
        <w:t xml:space="preserve">, since the daily </w:t>
      </w:r>
      <w:r>
        <w:rPr>
          <w:i/>
        </w:rPr>
        <w:t>Kedushah</w:t>
      </w:r>
      <w:r>
        <w:t xml:space="preserve"> is the principal non-martyrdom </w:t>
      </w:r>
      <w:r>
        <w:rPr>
          <w:i/>
        </w:rPr>
        <w:t>kiyum</w:t>
      </w:r>
      <w:r>
        <w:t xml:space="preserve"> of the </w:t>
      </w:r>
      <w:r>
        <w:rPr>
          <w:i/>
        </w:rPr>
        <w:t>pasuk</w:t>
      </w:r>
      <w:r>
        <w:t>.</w:t>
      </w:r>
    </w:p>
    <w:p>
      <w:r>
        <w:rPr>
          <w:b/>
          <w:color w:val="1E3A8A"/>
        </w:rPr>
        <w:t xml:space="preserve">12. </w:t>
      </w:r>
      <w:r>
        <w:rPr>
          <w:b/>
          <w:i/>
          <w:color w:val="1E3A8A"/>
        </w:rPr>
        <w:t>Terumas HaDeshen</w:t>
      </w:r>
      <w:r>
        <w:rPr>
          <w:b/>
          <w:color w:val="1E3A8A"/>
        </w:rPr>
        <w:t xml:space="preserve"> — </w:t>
      </w:r>
      <w:r>
        <w:rPr>
          <w:b/>
          <w:i/>
          <w:color w:val="1E3A8A"/>
        </w:rPr>
        <w:t>regel yeshara</w:t>
      </w:r>
      <w:r>
        <w:rPr>
          <w:b/>
          <w:color w:val="1E3A8A"/>
        </w:rPr>
        <w:t xml:space="preserve"> at </w:t>
      </w:r>
      <w:r>
        <w:rPr>
          <w:b/>
          <w:i/>
          <w:color w:val="1E3A8A"/>
        </w:rPr>
        <w:t>Kedushah</w:t>
      </w:r>
      <w:r>
        <w:rPr>
          <w:b/>
          <w:color w:val="1E3A8A"/>
        </w:rPr>
        <w:t xml:space="preserve">, mirroring the </w:t>
      </w:r>
      <w:r>
        <w:rPr>
          <w:b/>
          <w:i/>
          <w:color w:val="1E3A8A"/>
        </w:rPr>
        <w:t>malachim</w:t>
      </w:r>
      <w:r>
        <w:rPr>
          <w:b/>
          <w:color w:val="1E3A8A"/>
        </w:rPr>
        <w:t>.</w:t>
      </w:r>
      <w:r>
        <w:t xml:space="preserve"> </w:t>
      </w:r>
      <w:r>
        <w:t xml:space="preserve">— </w:t>
      </w:r>
      <w:r>
        <w:rPr>
          <w:i/>
        </w:rPr>
        <w:t>Rabbi Yisrael Isserlein</w:t>
      </w:r>
      <w:r>
        <w:t xml:space="preserve"> (the </w:t>
      </w:r>
      <w:r>
        <w:rPr>
          <w:i/>
        </w:rPr>
        <w:t>Terumas HaDeshen</w:t>
      </w:r>
      <w:r>
        <w:t xml:space="preserve">, c. 1390–1460, Austria), in his </w:t>
      </w:r>
      <w:r>
        <w:rPr>
          <w:i/>
        </w:rPr>
        <w:t>Shu’t</w:t>
      </w:r>
      <w:r>
        <w:t xml:space="preserve">, rules that during </w:t>
      </w:r>
      <w:r>
        <w:rPr>
          <w:i/>
        </w:rPr>
        <w:t>Kedushah</w:t>
      </w:r>
      <w:r>
        <w:t xml:space="preserve"> one stands with feet together — </w:t>
      </w:r>
      <w:r>
        <w:rPr>
          <w:i/>
        </w:rPr>
        <w:t>“regel yeshara”</w:t>
      </w:r>
      <w:r>
        <w:t xml:space="preserve"> — paralleling the stance of </w:t>
      </w:r>
      <w:r>
        <w:rPr>
          <w:i/>
        </w:rPr>
        <w:t>Shemoneh Esrei</w:t>
      </w:r>
      <w:r>
        <w:t xml:space="preserve">. The textual basis is the </w:t>
      </w:r>
      <w:r>
        <w:rPr>
          <w:i/>
        </w:rPr>
        <w:t>pasuk</w:t>
      </w:r>
      <w:r>
        <w:t xml:space="preserve"> in </w:t>
      </w:r>
      <w:r>
        <w:rPr>
          <w:i/>
        </w:rPr>
        <w:t>Yechezkel</w:t>
      </w:r>
      <w:r>
        <w:t xml:space="preserve"> 1:7 describing the </w:t>
      </w:r>
      <w:r>
        <w:rPr>
          <w:i/>
        </w:rPr>
        <w:t>malachim</w:t>
      </w:r>
      <w:r>
        <w:t xml:space="preserve">: </w:t>
      </w:r>
      <w:r>
        <w:rPr>
          <w:i/>
        </w:rPr>
        <w:t>“v’ragleihem regel yeshara.”</w:t>
      </w:r>
      <w:r>
        <w:t xml:space="preserve"> The mispallel physically joins the </w:t>
      </w:r>
      <w:r>
        <w:rPr>
          <w:i/>
        </w:rPr>
        <w:t>malachim</w:t>
      </w:r>
      <w:r>
        <w:t xml:space="preserve">’s posture as he joins their </w:t>
      </w:r>
      <w:r>
        <w:rPr>
          <w:i/>
        </w:rPr>
        <w:t>shirah</w:t>
      </w:r>
      <w:r>
        <w:t>.</w:t>
      </w:r>
    </w:p>
    <w:p>
      <w:r>
        <w:rPr>
          <w:b/>
          <w:color w:val="1E3A8A"/>
        </w:rPr>
        <w:t xml:space="preserve">13. </w:t>
      </w:r>
      <w:r>
        <w:rPr>
          <w:b/>
          <w:i/>
          <w:color w:val="1E3A8A"/>
        </w:rPr>
        <w:t>Tur Orach Chaim</w:t>
      </w:r>
      <w:r>
        <w:rPr>
          <w:b/>
          <w:color w:val="1E3A8A"/>
        </w:rPr>
        <w:t xml:space="preserve"> at the close of </w:t>
      </w:r>
      <w:r>
        <w:rPr>
          <w:b/>
          <w:i/>
          <w:color w:val="1E3A8A"/>
        </w:rPr>
        <w:t>Hilchos Tefillah</w:t>
      </w:r>
      <w:r>
        <w:rPr>
          <w:b/>
          <w:color w:val="1E3A8A"/>
        </w:rPr>
        <w:t xml:space="preserve"> — citation of </w:t>
      </w:r>
      <w:r>
        <w:rPr>
          <w:b/>
          <w:i/>
          <w:color w:val="1E3A8A"/>
        </w:rPr>
        <w:t>Pirkei Heichalos</w:t>
      </w:r>
      <w:r>
        <w:rPr>
          <w:b/>
          <w:color w:val="1E3A8A"/>
        </w:rPr>
        <w:t>.</w:t>
      </w:r>
      <w:r>
        <w:t xml:space="preserve"> </w:t>
      </w:r>
      <w:r>
        <w:t xml:space="preserve">— </w:t>
      </w:r>
      <w:r>
        <w:rPr>
          <w:i/>
        </w:rPr>
        <w:t>Rabbeinu Yaakov Baal HaTurim</w:t>
      </w:r>
      <w:r>
        <w:t xml:space="preserve"> (1269–1343, son of the </w:t>
      </w:r>
      <w:r>
        <w:rPr>
          <w:i/>
        </w:rPr>
        <w:t>Rosh</w:t>
      </w:r>
      <w:r>
        <w:t xml:space="preserve">) — characteristically distant from kabbalistic literature in his halachic compendium — uniquely cites </w:t>
      </w:r>
      <w:r>
        <w:rPr>
          <w:i/>
        </w:rPr>
        <w:t>Pirkei Heichalos</w:t>
      </w:r>
      <w:r>
        <w:t xml:space="preserve"> in his treatment of </w:t>
      </w:r>
      <w:r>
        <w:rPr>
          <w:i/>
        </w:rPr>
        <w:t>Kedushah</w:t>
      </w:r>
      <w:r>
        <w:t xml:space="preserve">. </w:t>
      </w:r>
      <w:r>
        <w:rPr>
          <w:i/>
        </w:rPr>
        <w:t>Pirkei Heichalos</w:t>
      </w:r>
      <w:r>
        <w:t xml:space="preserve"> is a tannaitic-era mystical text describing the seven </w:t>
      </w:r>
      <w:r>
        <w:rPr>
          <w:i/>
        </w:rPr>
        <w:t>heichalos</w:t>
      </w:r>
      <w:r>
        <w:t xml:space="preserve"> of the </w:t>
      </w:r>
      <w:r>
        <w:rPr>
          <w:i/>
        </w:rPr>
        <w:t>shamayim</w:t>
      </w:r>
      <w:r>
        <w:t xml:space="preserve"> and the </w:t>
      </w:r>
      <w:r>
        <w:rPr>
          <w:i/>
        </w:rPr>
        <w:t>malachim</w:t>
      </w:r>
      <w:r>
        <w:t xml:space="preserve">’s </w:t>
      </w:r>
      <w:r>
        <w:rPr>
          <w:i/>
        </w:rPr>
        <w:t>Kedushah</w:t>
      </w:r>
      <w:r>
        <w:t xml:space="preserve">; among its passages is the description of the </w:t>
      </w:r>
      <w:r>
        <w:rPr>
          <w:i/>
        </w:rPr>
        <w:t>Ribbono Shel Olam</w:t>
      </w:r>
      <w:r>
        <w:t xml:space="preserve">’s </w:t>
      </w:r>
      <w:r>
        <w:rPr>
          <w:i/>
        </w:rPr>
        <w:t>simchah</w:t>
      </w:r>
      <w:r>
        <w:t xml:space="preserve"> when </w:t>
      </w:r>
      <w:r>
        <w:rPr>
          <w:i/>
        </w:rPr>
        <w:t>Klal Yisrael</w:t>
      </w:r>
      <w:r>
        <w:t xml:space="preserve"> recites </w:t>
      </w:r>
      <w:r>
        <w:rPr>
          <w:i/>
        </w:rPr>
        <w:t>Kedushah</w:t>
      </w:r>
      <w:r>
        <w:t xml:space="preserve">, His grasp of the </w:t>
      </w:r>
      <w:r>
        <w:rPr>
          <w:i/>
        </w:rPr>
        <w:t>Kisei HaKavod</w:t>
      </w:r>
      <w:r>
        <w:t xml:space="preserve">, and the embrace of the </w:t>
      </w:r>
      <w:r>
        <w:rPr>
          <w:i/>
        </w:rPr>
        <w:t>demus Yaakov</w:t>
      </w:r>
      <w:r>
        <w:t xml:space="preserve">. The </w:t>
      </w:r>
      <w:r>
        <w:rPr>
          <w:i/>
        </w:rPr>
        <w:t>Tur</w:t>
      </w:r>
      <w:r>
        <w:t xml:space="preserve">’s citation lifted the kabbalistic dimension of </w:t>
      </w:r>
      <w:r>
        <w:rPr>
          <w:i/>
        </w:rPr>
        <w:t>Kedushah</w:t>
      </w:r>
      <w:r>
        <w:t xml:space="preserve"> into mainstream halachic awareness.</w:t>
      </w:r>
    </w:p>
    <w:p>
      <w:r>
        <w:rPr>
          <w:b/>
          <w:color w:val="1E3A8A"/>
        </w:rPr>
        <w:t xml:space="preserve">14. </w:t>
      </w:r>
      <w:r>
        <w:rPr>
          <w:b/>
          <w:i/>
          <w:color w:val="1E3A8A"/>
        </w:rPr>
        <w:t>Midrash</w:t>
      </w:r>
      <w:r>
        <w:rPr>
          <w:b/>
          <w:color w:val="1E3A8A"/>
        </w:rPr>
        <w:t xml:space="preserve"> — </w:t>
      </w:r>
      <w:r>
        <w:rPr>
          <w:b/>
          <w:i/>
          <w:color w:val="1E3A8A"/>
        </w:rPr>
        <w:t>“Yaakov chakuk al Kisei HaKavod”</w:t>
      </w:r>
      <w:r>
        <w:rPr>
          <w:b/>
          <w:color w:val="1E3A8A"/>
        </w:rPr>
        <w:t xml:space="preserve">; </w:t>
      </w:r>
      <w:r>
        <w:rPr>
          <w:b/>
          <w:i/>
          <w:color w:val="1E3A8A"/>
        </w:rPr>
        <w:t>“u’mchabek u’menashek.”</w:t>
      </w:r>
      <w:r>
        <w:t xml:space="preserve"> </w:t>
      </w:r>
      <w:r>
        <w:t xml:space="preserve">— </w:t>
      </w:r>
      <w:r>
        <w:rPr>
          <w:i/>
        </w:rPr>
        <w:t>Chazal</w:t>
      </w:r>
      <w:r>
        <w:t xml:space="preserve"> in </w:t>
      </w:r>
      <w:r>
        <w:rPr>
          <w:i/>
        </w:rPr>
        <w:t>Bereishis Rabbah</w:t>
      </w:r>
      <w:r>
        <w:t xml:space="preserve">, </w:t>
      </w:r>
      <w:r>
        <w:rPr>
          <w:i/>
        </w:rPr>
        <w:t>Pirkei d’Rabbi Eliezer</w:t>
      </w:r>
      <w:r>
        <w:t xml:space="preserve">, and parallel </w:t>
      </w:r>
      <w:r>
        <w:rPr>
          <w:i/>
        </w:rPr>
        <w:t>midrashim</w:t>
      </w:r>
      <w:r>
        <w:t xml:space="preserve"> develop the image: </w:t>
      </w:r>
      <w:r>
        <w:rPr>
          <w:i/>
        </w:rPr>
        <w:t>Yaakov Avinu</w:t>
      </w:r>
      <w:r>
        <w:t xml:space="preserve">’s likeness is engraved on the </w:t>
      </w:r>
      <w:r>
        <w:rPr>
          <w:i/>
        </w:rPr>
        <w:t>Kisei HaKavod</w:t>
      </w:r>
      <w:r>
        <w:t xml:space="preserve">, standing for </w:t>
      </w:r>
      <w:r>
        <w:rPr>
          <w:i/>
        </w:rPr>
        <w:t>Klal Yisrael</w:t>
      </w:r>
      <w:r>
        <w:t xml:space="preserve">; when </w:t>
      </w:r>
      <w:r>
        <w:rPr>
          <w:i/>
        </w:rPr>
        <w:t>Klal Yisrael</w:t>
      </w:r>
      <w:r>
        <w:t xml:space="preserve"> below recites </w:t>
      </w:r>
      <w:r>
        <w:rPr>
          <w:i/>
        </w:rPr>
        <w:t>Kedushah</w:t>
      </w:r>
      <w:r>
        <w:t xml:space="preserve">, the </w:t>
      </w:r>
      <w:r>
        <w:rPr>
          <w:i/>
        </w:rPr>
        <w:t>Ribbono Shel Olam</w:t>
      </w:r>
      <w:r>
        <w:t xml:space="preserve">, </w:t>
      </w:r>
      <w:r>
        <w:rPr>
          <w:i/>
        </w:rPr>
        <w:t>kaviyachol</w:t>
      </w:r>
      <w:r>
        <w:t xml:space="preserve">, embraces and kisses the engraved image — declaring </w:t>
      </w:r>
      <w:r>
        <w:rPr>
          <w:i/>
        </w:rPr>
        <w:t>“They are in love with Me!”</w:t>
      </w:r>
      <w:r>
        <w:t xml:space="preserve"> and arousing </w:t>
      </w:r>
      <w:r>
        <w:rPr>
          <w:i/>
        </w:rPr>
        <w:t>geulah</w:t>
      </w:r>
      <w:r>
        <w:t xml:space="preserve">. The </w:t>
      </w:r>
      <w:r>
        <w:rPr>
          <w:i/>
        </w:rPr>
        <w:t>Midrash</w:t>
      </w:r>
      <w:r>
        <w:t xml:space="preserve"> is the kabbalistic ground for the </w:t>
      </w:r>
      <w:r>
        <w:rPr>
          <w:i/>
        </w:rPr>
        <w:t>Pirkei Heichalos</w:t>
      </w:r>
      <w:r>
        <w:t xml:space="preserve"> passage cited in the </w:t>
      </w:r>
      <w:r>
        <w:rPr>
          <w:i/>
        </w:rPr>
        <w:t>Tur</w:t>
      </w:r>
      <w:r>
        <w:t>.</w:t>
      </w:r>
    </w:p>
    <w:p>
      <w:r>
        <w:rPr>
          <w:b/>
          <w:color w:val="1E3A8A"/>
        </w:rPr>
        <w:t xml:space="preserve">15. </w:t>
      </w:r>
    </w:p>
    <w:p>
      <w:pPr>
        <w:ind w:left="432"/>
      </w:pPr>
      <w:r>
        <w:rPr>
          <w:b/>
          <w:color w:val="D4A017"/>
          <w:sz w:val="18"/>
        </w:rPr>
        <w:t xml:space="preserve">[Note] </w:t>
      </w:r>
      <w:r>
        <w:rPr>
          <w:color w:val="5A4B1A"/>
          <w:sz w:val="18"/>
        </w:rPr>
        <w:t>First Crusade, 1096 (</w:t>
      </w:r>
      <w:r>
        <w:rPr>
          <w:rFonts w:ascii="David" w:hAnsi="David"/>
          <w:color w:val="5A4B1A"/>
          <w:sz w:val="18"/>
        </w:rPr>
        <w:t>תתנ"ו</w:t>
      </w:r>
      <w:r>
        <w:rPr>
          <w:color w:val="5A4B1A"/>
          <w:sz w:val="18"/>
        </w:rPr>
        <w:t xml:space="preserve">) — declared by Pope Urban II in 1095 to retake </w:t>
      </w:r>
      <w:r>
        <w:rPr>
          <w:i/>
          <w:color w:val="5A4B1A"/>
          <w:sz w:val="18"/>
        </w:rPr>
        <w:t>Yerushalayim</w:t>
      </w:r>
      <w:r>
        <w:rPr>
          <w:color w:val="5A4B1A"/>
          <w:sz w:val="18"/>
        </w:rPr>
        <w:t xml:space="preserve"> from the Fatimid Caliphate; Crusader armies took </w:t>
      </w:r>
      <w:r>
        <w:rPr>
          <w:i/>
          <w:color w:val="5A4B1A"/>
          <w:sz w:val="18"/>
        </w:rPr>
        <w:t>Yerushalayim</w:t>
      </w:r>
      <w:r>
        <w:rPr>
          <w:color w:val="5A4B1A"/>
          <w:sz w:val="18"/>
        </w:rPr>
        <w:t xml:space="preserve"> in July 1099 with the slaughter of its Muslim and Jewish populations. The Rhineland massacres of late spring 1096 — the </w:t>
      </w:r>
      <w:r>
        <w:rPr>
          <w:i/>
          <w:color w:val="5A4B1A"/>
          <w:sz w:val="18"/>
        </w:rPr>
        <w:t>Volkskreuzzug</w:t>
      </w:r>
      <w:r>
        <w:rPr>
          <w:color w:val="5A4B1A"/>
          <w:sz w:val="18"/>
        </w:rPr>
        <w:t xml:space="preserve"> of Peter the Hermit and Count Emicho — devastated the Jewish communities of Speyer, Worms, Mainz, Cologne, and others; thousands chose </w:t>
      </w:r>
      <w:r>
        <w:rPr>
          <w:i/>
          <w:color w:val="5A4B1A"/>
          <w:sz w:val="18"/>
        </w:rPr>
        <w:t>Kiddush Hashem</w:t>
      </w:r>
      <w:r>
        <w:rPr>
          <w:color w:val="5A4B1A"/>
          <w:sz w:val="18"/>
        </w:rPr>
        <w:t xml:space="preserve"> by their own hand or were murdered. The events are recorded in the early </w:t>
      </w:r>
      <w:r>
        <w:rPr>
          <w:i/>
          <w:color w:val="5A4B1A"/>
          <w:sz w:val="18"/>
        </w:rPr>
        <w:t>piyutim</w:t>
      </w:r>
      <w:r>
        <w:rPr>
          <w:color w:val="5A4B1A"/>
          <w:sz w:val="18"/>
        </w:rPr>
        <w:t xml:space="preserve"> of </w:t>
      </w:r>
      <w:r>
        <w:rPr>
          <w:i/>
          <w:color w:val="5A4B1A"/>
          <w:sz w:val="18"/>
        </w:rPr>
        <w:t>ShUM</w:t>
      </w:r>
      <w:r>
        <w:rPr>
          <w:color w:val="5A4B1A"/>
          <w:sz w:val="18"/>
        </w:rPr>
        <w:t xml:space="preserve">, in the chronicles of </w:t>
      </w:r>
      <w:r>
        <w:rPr>
          <w:i/>
          <w:color w:val="5A4B1A"/>
          <w:sz w:val="18"/>
        </w:rPr>
        <w:t>Rabbi Shlomo bar Shimshon</w:t>
      </w:r>
      <w:r>
        <w:rPr>
          <w:color w:val="5A4B1A"/>
          <w:sz w:val="18"/>
        </w:rPr>
        <w:t xml:space="preserve"> and the anonymous </w:t>
      </w:r>
      <w:r>
        <w:rPr>
          <w:i/>
          <w:color w:val="5A4B1A"/>
          <w:sz w:val="18"/>
        </w:rPr>
        <w:t>Mainz Anonymous</w:t>
      </w:r>
      <w:r>
        <w:rPr>
          <w:color w:val="5A4B1A"/>
          <w:sz w:val="18"/>
        </w:rPr>
        <w:t xml:space="preserve">, and underlie the </w:t>
      </w:r>
      <w:r>
        <w:rPr>
          <w:i/>
          <w:color w:val="5A4B1A"/>
          <w:sz w:val="18"/>
        </w:rPr>
        <w:t>kinos</w:t>
      </w:r>
      <w:r>
        <w:rPr>
          <w:color w:val="5A4B1A"/>
          <w:sz w:val="18"/>
        </w:rPr>
        <w:t xml:space="preserve"> of </w:t>
      </w:r>
      <w:r>
        <w:rPr>
          <w:i/>
          <w:color w:val="5A4B1A"/>
          <w:sz w:val="18"/>
        </w:rPr>
        <w:t>Tishah B’Av</w:t>
      </w:r>
      <w:r>
        <w:rPr>
          <w:color w:val="5A4B1A"/>
          <w:sz w:val="18"/>
        </w:rPr>
        <w:t xml:space="preserve"> (</w:t>
      </w:r>
      <w:r>
        <w:rPr>
          <w:i/>
          <w:color w:val="5A4B1A"/>
          <w:sz w:val="18"/>
        </w:rPr>
        <w:t>“Mi Yitten Roshi Mayim”</w:t>
      </w:r>
      <w:r>
        <w:rPr>
          <w:color w:val="5A4B1A"/>
          <w:sz w:val="18"/>
        </w:rPr>
        <w:t xml:space="preserve"> and parallel compositions) attributed to </w:t>
      </w:r>
      <w:r>
        <w:rPr>
          <w:i/>
          <w:color w:val="5A4B1A"/>
          <w:sz w:val="18"/>
        </w:rPr>
        <w:t>Rabbi Kalonymus ben Yehudah HaZakein</w:t>
      </w:r>
      <w:r>
        <w:rPr>
          <w:color w:val="5A4B1A"/>
          <w:sz w:val="18"/>
        </w:rPr>
        <w:t>.</w:t>
      </w:r>
    </w:p>
    <w:p>
      <w:r>
        <w:rPr>
          <w:b/>
          <w:color w:val="1E3A8A"/>
        </w:rPr>
        <w:t xml:space="preserve">16. </w:t>
      </w:r>
    </w:p>
    <w:p>
      <w:pPr>
        <w:ind w:left="432"/>
      </w:pPr>
      <w:r>
        <w:rPr>
          <w:b/>
          <w:color w:val="D4A017"/>
          <w:sz w:val="18"/>
        </w:rPr>
        <w:t xml:space="preserve">[Note] </w:t>
      </w:r>
      <w:r>
        <w:rPr>
          <w:b/>
          <w:i/>
          <w:color w:val="5A4B1A"/>
          <w:sz w:val="18"/>
        </w:rPr>
        <w:t>ShUM</w:t>
      </w:r>
      <w:r>
        <w:rPr>
          <w:color w:val="5A4B1A"/>
          <w:sz w:val="18"/>
        </w:rPr>
        <w:t xml:space="preserve"> — the acronym for the three </w:t>
      </w:r>
      <w:r>
        <w:rPr>
          <w:i/>
          <w:color w:val="5A4B1A"/>
          <w:sz w:val="18"/>
        </w:rPr>
        <w:t>kehillos ha’kedoshos</w:t>
      </w:r>
      <w:r>
        <w:rPr>
          <w:color w:val="5A4B1A"/>
          <w:sz w:val="18"/>
        </w:rPr>
        <w:t xml:space="preserve"> of the Rhineland whose </w:t>
      </w:r>
      <w:r>
        <w:rPr>
          <w:i/>
          <w:color w:val="5A4B1A"/>
          <w:sz w:val="18"/>
        </w:rPr>
        <w:t>takkanos</w:t>
      </w:r>
      <w:r>
        <w:rPr>
          <w:color w:val="5A4B1A"/>
          <w:sz w:val="18"/>
        </w:rPr>
        <w:t xml:space="preserve">, </w:t>
      </w:r>
      <w:r>
        <w:rPr>
          <w:i/>
          <w:color w:val="5A4B1A"/>
          <w:sz w:val="18"/>
        </w:rPr>
        <w:t>minhagim</w:t>
      </w:r>
      <w:r>
        <w:rPr>
          <w:color w:val="5A4B1A"/>
          <w:sz w:val="18"/>
        </w:rPr>
        <w:t xml:space="preserve">, and </w:t>
      </w:r>
      <w:r>
        <w:rPr>
          <w:i/>
          <w:color w:val="5A4B1A"/>
          <w:sz w:val="18"/>
        </w:rPr>
        <w:t>piyutim</w:t>
      </w:r>
      <w:r>
        <w:rPr>
          <w:color w:val="5A4B1A"/>
          <w:sz w:val="18"/>
        </w:rPr>
        <w:t xml:space="preserve"> shaped </w:t>
      </w:r>
      <w:r>
        <w:rPr>
          <w:i/>
          <w:color w:val="5A4B1A"/>
          <w:sz w:val="18"/>
        </w:rPr>
        <w:t>Yahadus Ashkenaz</w:t>
      </w:r>
      <w:r>
        <w:rPr>
          <w:color w:val="5A4B1A"/>
          <w:sz w:val="18"/>
        </w:rPr>
        <w:t>: Speyer (</w:t>
      </w:r>
      <w:r>
        <w:rPr>
          <w:i/>
          <w:color w:val="5A4B1A"/>
          <w:sz w:val="18"/>
        </w:rPr>
        <w:t>Shpira</w:t>
      </w:r>
      <w:r>
        <w:rPr>
          <w:color w:val="5A4B1A"/>
          <w:sz w:val="18"/>
        </w:rPr>
        <w:t>), Worms (</w:t>
      </w:r>
      <w:r>
        <w:rPr>
          <w:i/>
          <w:color w:val="5A4B1A"/>
          <w:sz w:val="18"/>
        </w:rPr>
        <w:t>Vermeiza</w:t>
      </w:r>
      <w:r>
        <w:rPr>
          <w:color w:val="5A4B1A"/>
          <w:sz w:val="18"/>
        </w:rPr>
        <w:t>), and Mainz (</w:t>
      </w:r>
      <w:r>
        <w:rPr>
          <w:i/>
          <w:color w:val="5A4B1A"/>
          <w:sz w:val="18"/>
        </w:rPr>
        <w:t>Magentza</w:t>
      </w:r>
      <w:r>
        <w:rPr>
          <w:color w:val="5A4B1A"/>
          <w:sz w:val="18"/>
        </w:rPr>
        <w:t>). The three communities held joint synods (</w:t>
      </w:r>
      <w:r>
        <w:rPr>
          <w:i/>
          <w:color w:val="5A4B1A"/>
          <w:sz w:val="18"/>
        </w:rPr>
        <w:t>Takkanos Shum</w:t>
      </w:r>
      <w:r>
        <w:rPr>
          <w:color w:val="5A4B1A"/>
          <w:sz w:val="18"/>
        </w:rPr>
        <w:t xml:space="preserve">, twelfth–thirteenth centuries) that produced foundational </w:t>
      </w:r>
      <w:r>
        <w:rPr>
          <w:i/>
          <w:color w:val="5A4B1A"/>
          <w:sz w:val="18"/>
        </w:rPr>
        <w:t>takkanos</w:t>
      </w:r>
      <w:r>
        <w:rPr>
          <w:color w:val="5A4B1A"/>
          <w:sz w:val="18"/>
        </w:rPr>
        <w:t xml:space="preserve"> in </w:t>
      </w:r>
      <w:r>
        <w:rPr>
          <w:i/>
          <w:color w:val="5A4B1A"/>
          <w:sz w:val="18"/>
        </w:rPr>
        <w:t>dinei ishus</w:t>
      </w:r>
      <w:r>
        <w:rPr>
          <w:color w:val="5A4B1A"/>
          <w:sz w:val="18"/>
        </w:rPr>
        <w:t xml:space="preserve">, financial law, and communal governance. The communities were destroyed in 1096 (most thoroughly), in the Second Crusade (1146), and in the Black Death persecutions (1349); the </w:t>
      </w:r>
      <w:r>
        <w:rPr>
          <w:i/>
          <w:color w:val="5A4B1A"/>
          <w:sz w:val="18"/>
        </w:rPr>
        <w:t>Maharal MiPrague</w:t>
      </w:r>
      <w:r>
        <w:rPr>
          <w:color w:val="5A4B1A"/>
          <w:sz w:val="18"/>
        </w:rPr>
        <w:t xml:space="preserve"> emphasized that every </w:t>
      </w:r>
      <w:r>
        <w:rPr>
          <w:i/>
          <w:color w:val="5A4B1A"/>
          <w:sz w:val="18"/>
        </w:rPr>
        <w:t>ben Torah</w:t>
      </w:r>
      <w:r>
        <w:rPr>
          <w:color w:val="5A4B1A"/>
          <w:sz w:val="18"/>
        </w:rPr>
        <w:t xml:space="preserve"> must know that the </w:t>
      </w:r>
      <w:r>
        <w:rPr>
          <w:i/>
          <w:color w:val="5A4B1A"/>
          <w:sz w:val="18"/>
        </w:rPr>
        <w:t>mesorah</w:t>
      </w:r>
      <w:r>
        <w:rPr>
          <w:color w:val="5A4B1A"/>
          <w:sz w:val="18"/>
        </w:rPr>
        <w:t xml:space="preserve"> of </w:t>
      </w:r>
      <w:r>
        <w:rPr>
          <w:i/>
          <w:color w:val="5A4B1A"/>
          <w:sz w:val="18"/>
        </w:rPr>
        <w:t>Ashkenaz</w:t>
      </w:r>
      <w:r>
        <w:rPr>
          <w:color w:val="5A4B1A"/>
          <w:sz w:val="18"/>
        </w:rPr>
        <w:t xml:space="preserve"> traces to these </w:t>
      </w:r>
      <w:r>
        <w:rPr>
          <w:i/>
          <w:color w:val="5A4B1A"/>
          <w:sz w:val="18"/>
        </w:rPr>
        <w:t>kehillos</w:t>
      </w:r>
      <w:r>
        <w:rPr>
          <w:color w:val="5A4B1A"/>
          <w:sz w:val="18"/>
        </w:rPr>
        <w:t xml:space="preserve"> in the brief window from </w:t>
      </w:r>
      <w:r>
        <w:rPr>
          <w:i/>
          <w:color w:val="5A4B1A"/>
          <w:sz w:val="18"/>
        </w:rPr>
        <w:t>Rabbeinu Kalonymus HaZakein</w:t>
      </w:r>
      <w:r>
        <w:rPr>
          <w:color w:val="5A4B1A"/>
          <w:sz w:val="18"/>
        </w:rPr>
        <w:t xml:space="preserve"> through </w:t>
      </w:r>
      <w:r>
        <w:rPr>
          <w:i/>
          <w:color w:val="5A4B1A"/>
          <w:sz w:val="18"/>
        </w:rPr>
        <w:t>Rashi</w:t>
      </w:r>
      <w:r>
        <w:rPr>
          <w:color w:val="5A4B1A"/>
          <w:sz w:val="18"/>
        </w:rPr>
        <w:t>.</w:t>
      </w:r>
    </w:p>
    <w:p>
      <w:r>
        <w:rPr>
          <w:b/>
          <w:color w:val="1E3A8A"/>
        </w:rPr>
        <w:t xml:space="preserve">17. </w:t>
      </w:r>
      <w:r>
        <w:rPr>
          <w:b/>
          <w:i/>
          <w:color w:val="1E3A8A"/>
        </w:rPr>
        <w:t>Rosh</w:t>
      </w:r>
      <w:r>
        <w:rPr>
          <w:b/>
          <w:color w:val="1E3A8A"/>
        </w:rPr>
        <w:t xml:space="preserve">, </w:t>
      </w:r>
      <w:r>
        <w:rPr>
          <w:b/>
          <w:i/>
          <w:color w:val="1E3A8A"/>
        </w:rPr>
        <w:t>Maseches Mo’ed Katan perek</w:t>
      </w:r>
      <w:r>
        <w:rPr>
          <w:b/>
          <w:color w:val="1E3A8A"/>
        </w:rPr>
        <w:t xml:space="preserve"> 3; </w:t>
      </w:r>
      <w:r>
        <w:rPr>
          <w:b/>
          <w:i/>
          <w:color w:val="1E3A8A"/>
        </w:rPr>
        <w:t>Shulchan Aruch Yoreh De’ah siman</w:t>
      </w:r>
      <w:r>
        <w:rPr>
          <w:b/>
          <w:color w:val="1E3A8A"/>
        </w:rPr>
        <w:t xml:space="preserve"> 375 — delayed burial; </w:t>
      </w:r>
      <w:r>
        <w:rPr>
          <w:b/>
          <w:i/>
          <w:color w:val="1E3A8A"/>
        </w:rPr>
        <w:t>kever</w:t>
      </w:r>
      <w:r>
        <w:rPr>
          <w:b/>
          <w:color w:val="1E3A8A"/>
        </w:rPr>
        <w:t xml:space="preserve"> in the </w:t>
      </w:r>
      <w:r>
        <w:rPr>
          <w:b/>
          <w:i/>
          <w:color w:val="1E3A8A"/>
        </w:rPr>
        <w:t>mikveh</w:t>
      </w:r>
      <w:r>
        <w:rPr>
          <w:b/>
          <w:color w:val="1E3A8A"/>
        </w:rPr>
        <w:t>.</w:t>
      </w:r>
      <w:r>
        <w:t xml:space="preserve"> </w:t>
      </w:r>
      <w:r>
        <w:t xml:space="preserve">— The </w:t>
      </w:r>
      <w:r>
        <w:rPr>
          <w:i/>
        </w:rPr>
        <w:t>Rosh</w:t>
      </w:r>
      <w:r>
        <w:t xml:space="preserve"> in </w:t>
      </w:r>
      <w:r>
        <w:rPr>
          <w:i/>
        </w:rPr>
        <w:t>Mo’ed Katan</w:t>
      </w:r>
      <w:r>
        <w:t xml:space="preserve"> records the </w:t>
      </w:r>
      <w:r>
        <w:rPr>
          <w:i/>
        </w:rPr>
        <w:t>ma’aseh</w:t>
      </w:r>
      <w:r>
        <w:t xml:space="preserve"> of the burial of </w:t>
      </w:r>
      <w:r>
        <w:rPr>
          <w:i/>
        </w:rPr>
        <w:t>Rabbeinu Kalonymus HaZakein</w:t>
      </w:r>
      <w:r>
        <w:t xml:space="preserve">: he was </w:t>
      </w:r>
      <w:r>
        <w:rPr>
          <w:i/>
        </w:rPr>
        <w:t>niftar</w:t>
      </w:r>
      <w:r>
        <w:t xml:space="preserve"> in Mainz under siege, where he had fled from Worms. Unable to transport him to the </w:t>
      </w:r>
      <w:r>
        <w:rPr>
          <w:i/>
        </w:rPr>
        <w:t>beis ha’kevaros</w:t>
      </w:r>
      <w:r>
        <w:t xml:space="preserve"> of Worms (where his ancestors lay), the community placed his </w:t>
      </w:r>
      <w:r>
        <w:rPr>
          <w:i/>
        </w:rPr>
        <w:t>aron</w:t>
      </w:r>
      <w:r>
        <w:t xml:space="preserve"> in the </w:t>
      </w:r>
      <w:r>
        <w:rPr>
          <w:i/>
        </w:rPr>
        <w:t>mikveh</w:t>
      </w:r>
      <w:r>
        <w:t xml:space="preserve"> for several weeks until the siege lifted. From this </w:t>
      </w:r>
      <w:r>
        <w:rPr>
          <w:i/>
        </w:rPr>
        <w:t>ma’aseh</w:t>
      </w:r>
      <w:r>
        <w:t xml:space="preserve"> the </w:t>
      </w:r>
      <w:r>
        <w:rPr>
          <w:i/>
        </w:rPr>
        <w:t>Rosh</w:t>
      </w:r>
      <w:r>
        <w:t xml:space="preserve"> develops the halachic discussion of </w:t>
      </w:r>
      <w:r>
        <w:rPr>
          <w:i/>
        </w:rPr>
        <w:t>kevurah zemannis</w:t>
      </w:r>
      <w:r>
        <w:t xml:space="preserve"> and the parameters of permitted delay in </w:t>
      </w:r>
      <w:r>
        <w:rPr>
          <w:i/>
        </w:rPr>
        <w:t>kevurah</w:t>
      </w:r>
      <w:r>
        <w:t xml:space="preserve">; the </w:t>
      </w:r>
      <w:r>
        <w:rPr>
          <w:i/>
        </w:rPr>
        <w:t>Shulchan Aruch</w:t>
      </w:r>
      <w:r>
        <w:t xml:space="preserve"> brings the </w:t>
      </w:r>
      <w:r>
        <w:rPr>
          <w:i/>
        </w:rPr>
        <w:t>pesak</w:t>
      </w:r>
      <w:r>
        <w:t xml:space="preserve">. A snippet of catastrophic Jewish history embedded permanently in </w:t>
      </w:r>
      <w:r>
        <w:rPr>
          <w:i/>
        </w:rPr>
        <w:t>halachah</w:t>
      </w:r>
      <w:r>
        <w:t>.</w:t>
      </w:r>
    </w:p>
    <w:p>
      <w:r>
        <w:rPr>
          <w:b/>
          <w:color w:val="1E3A8A"/>
        </w:rPr>
        <w:t xml:space="preserve">18. </w:t>
      </w:r>
      <w:r>
        <w:rPr>
          <w:b/>
          <w:i/>
          <w:color w:val="1E3A8A"/>
        </w:rPr>
        <w:t>Shulchan Aruch Orach Chaim siman</w:t>
      </w:r>
      <w:r>
        <w:rPr>
          <w:b/>
          <w:color w:val="1E3A8A"/>
        </w:rPr>
        <w:t xml:space="preserve"> 109 / </w:t>
      </w:r>
      <w:r>
        <w:rPr>
          <w:b/>
          <w:i/>
          <w:color w:val="1E3A8A"/>
        </w:rPr>
        <w:t>siman</w:t>
      </w:r>
      <w:r>
        <w:rPr>
          <w:b/>
          <w:color w:val="1E3A8A"/>
        </w:rPr>
        <w:t xml:space="preserve"> 90:9 — daily </w:t>
      </w:r>
      <w:r>
        <w:rPr>
          <w:b/>
          <w:i/>
          <w:color w:val="1E3A8A"/>
        </w:rPr>
        <w:t>chiyuv</w:t>
      </w:r>
      <w:r>
        <w:rPr>
          <w:b/>
          <w:color w:val="1E3A8A"/>
        </w:rPr>
        <w:t xml:space="preserve"> of </w:t>
      </w:r>
      <w:r>
        <w:rPr>
          <w:b/>
          <w:i/>
          <w:color w:val="1E3A8A"/>
        </w:rPr>
        <w:t>Kedushah b’tzibbur</w:t>
      </w:r>
      <w:r>
        <w:rPr>
          <w:b/>
          <w:color w:val="1E3A8A"/>
        </w:rPr>
        <w:t>.</w:t>
      </w:r>
      <w:r>
        <w:t xml:space="preserve"> </w:t>
      </w:r>
      <w:r>
        <w:t xml:space="preserve">— The </w:t>
      </w:r>
      <w:r>
        <w:rPr>
          <w:i/>
        </w:rPr>
        <w:t>Shulchan Aruch</w:t>
      </w:r>
      <w:r>
        <w:t xml:space="preserve"> codifies the </w:t>
      </w:r>
      <w:r>
        <w:rPr>
          <w:i/>
        </w:rPr>
        <w:t>pesak</w:t>
      </w:r>
      <w:r>
        <w:t xml:space="preserve"> of </w:t>
      </w:r>
      <w:r>
        <w:rPr>
          <w:i/>
        </w:rPr>
        <w:t>Rabbeinu Kalonymus HaZakein</w:t>
      </w:r>
      <w:r>
        <w:t xml:space="preserve"> against </w:t>
      </w:r>
      <w:r>
        <w:rPr>
          <w:i/>
        </w:rPr>
        <w:t>Rashi</w:t>
      </w:r>
      <w:r>
        <w:t xml:space="preserve">: one is required to make every effort to daven </w:t>
      </w:r>
      <w:r>
        <w:rPr>
          <w:i/>
        </w:rPr>
        <w:t>b’tzibbur</w:t>
      </w:r>
      <w:r>
        <w:t xml:space="preserve"> in order to discharge </w:t>
      </w:r>
      <w:r>
        <w:rPr>
          <w:i/>
        </w:rPr>
        <w:t>Kedushah</w:t>
      </w:r>
      <w:r>
        <w:t xml:space="preserve">, </w:t>
      </w:r>
      <w:r>
        <w:rPr>
          <w:i/>
        </w:rPr>
        <w:t>Kaddish</w:t>
      </w:r>
      <w:r>
        <w:t xml:space="preserve">, and </w:t>
      </w:r>
      <w:r>
        <w:rPr>
          <w:i/>
        </w:rPr>
        <w:t>Barchu</w:t>
      </w:r>
      <w:r>
        <w:t xml:space="preserve">. </w:t>
      </w:r>
      <w:r>
        <w:rPr>
          <w:i/>
        </w:rPr>
        <w:t>Mishnah Berurah</w:t>
      </w:r>
      <w:r>
        <w:t xml:space="preserve"> ad loc. elaborates: if </w:t>
      </w:r>
      <w:r>
        <w:rPr>
          <w:i/>
        </w:rPr>
        <w:t>Kedushah</w:t>
      </w:r>
      <w:r>
        <w:t xml:space="preserve"> at </w:t>
      </w:r>
      <w:r>
        <w:rPr>
          <w:i/>
        </w:rPr>
        <w:t>Shacharis</w:t>
      </w:r>
      <w:r>
        <w:t xml:space="preserve"> is missed, one should pursue a </w:t>
      </w:r>
      <w:r>
        <w:rPr>
          <w:i/>
        </w:rPr>
        <w:t>minyan</w:t>
      </w:r>
      <w:r>
        <w:t xml:space="preserve"> at </w:t>
      </w:r>
      <w:r>
        <w:rPr>
          <w:i/>
        </w:rPr>
        <w:t>Minchah</w:t>
      </w:r>
      <w:r>
        <w:t xml:space="preserve"> or in another shul; the daily </w:t>
      </w:r>
      <w:r>
        <w:rPr>
          <w:i/>
        </w:rPr>
        <w:t>kiyum</w:t>
      </w:r>
      <w:r>
        <w:t xml:space="preserve"> should not be allowed to lapse. The </w:t>
      </w:r>
      <w:r>
        <w:rPr>
          <w:i/>
        </w:rPr>
        <w:t>Zohar HaKadosh</w:t>
      </w:r>
      <w:r>
        <w:t xml:space="preserve"> reinforces this </w:t>
      </w:r>
      <w:r>
        <w:rPr>
          <w:i/>
        </w:rPr>
        <w:t>kiyum</w:t>
      </w:r>
      <w:r>
        <w:t xml:space="preserve"> on kabbalistic grounds.</w:t>
      </w:r>
    </w:p>
    <w:p>
      <w:r>
        <w:rPr>
          <w:b/>
          <w:color w:val="1E3A8A"/>
        </w:rPr>
        <w:t xml:space="preserve">19. </w:t>
      </w:r>
      <w:r>
        <w:rPr>
          <w:b/>
          <w:i/>
          <w:color w:val="1E3A8A"/>
        </w:rPr>
        <w:t>Shulchan Aruch Orach Chaim siman</w:t>
      </w:r>
      <w:r>
        <w:rPr>
          <w:b/>
          <w:color w:val="1E3A8A"/>
        </w:rPr>
        <w:t xml:space="preserve"> 125 (and parallel discussion in </w:t>
      </w:r>
      <w:r>
        <w:rPr>
          <w:b/>
          <w:i/>
          <w:color w:val="1E3A8A"/>
        </w:rPr>
        <w:t>siman</w:t>
      </w:r>
      <w:r>
        <w:rPr>
          <w:b/>
          <w:color w:val="1E3A8A"/>
        </w:rPr>
        <w:t xml:space="preserve"> 128) — jumping at </w:t>
      </w:r>
      <w:r>
        <w:rPr>
          <w:b/>
          <w:i/>
          <w:color w:val="1E3A8A"/>
        </w:rPr>
        <w:t>“Kadosh”</w:t>
      </w:r>
      <w:r>
        <w:rPr>
          <w:b/>
          <w:color w:val="1E3A8A"/>
        </w:rPr>
        <w:t xml:space="preserve">; the </w:t>
      </w:r>
      <w:r>
        <w:rPr>
          <w:b/>
          <w:i/>
          <w:color w:val="1E3A8A"/>
        </w:rPr>
        <w:t>Magen Avraham</w:t>
      </w:r>
      <w:r>
        <w:rPr>
          <w:b/>
          <w:color w:val="1E3A8A"/>
        </w:rPr>
        <w:t>’s qualification.</w:t>
      </w:r>
      <w:r>
        <w:t xml:space="preserve"> </w:t>
      </w:r>
      <w:r>
        <w:t xml:space="preserve">— The </w:t>
      </w:r>
      <w:r>
        <w:rPr>
          <w:i/>
        </w:rPr>
        <w:t>Shulchan Aruch</w:t>
      </w:r>
      <w:r>
        <w:t xml:space="preserve"> records the </w:t>
      </w:r>
      <w:r>
        <w:rPr>
          <w:i/>
        </w:rPr>
        <w:t>minhag</w:t>
      </w:r>
      <w:r>
        <w:t xml:space="preserve"> of lifting the heels (or fully jumping) at the three </w:t>
      </w:r>
      <w:r>
        <w:rPr>
          <w:i/>
        </w:rPr>
        <w:t>“Kadosh”</w:t>
      </w:r>
      <w:r>
        <w:t xml:space="preserve">s and at </w:t>
      </w:r>
      <w:r>
        <w:rPr>
          <w:i/>
        </w:rPr>
        <w:t>“Baruch kevod,”</w:t>
      </w:r>
      <w:r>
        <w:t xml:space="preserve"> mirroring the </w:t>
      </w:r>
      <w:r>
        <w:rPr>
          <w:i/>
        </w:rPr>
        <w:t>malachim</w:t>
      </w:r>
      <w:r>
        <w:t xml:space="preserve">’ wing-motion. </w:t>
      </w:r>
      <w:r>
        <w:rPr>
          <w:i/>
        </w:rPr>
        <w:t>Mishnah Berurah</w:t>
      </w:r>
      <w:r>
        <w:t xml:space="preserve"> brings the variations: full jump, lifting heels with toes grounded, lifting toes with heels grounded. </w:t>
      </w:r>
      <w:r>
        <w:rPr>
          <w:i/>
        </w:rPr>
        <w:t>Magen Avraham</w:t>
      </w:r>
      <w:r>
        <w:t xml:space="preserve"> warns that one should not perform a full jump in a shul where this is not the </w:t>
      </w:r>
      <w:r>
        <w:rPr>
          <w:i/>
        </w:rPr>
        <w:t>minhag</w:t>
      </w:r>
      <w:r>
        <w:t xml:space="preserve">, lest one provoke mockery; </w:t>
      </w:r>
      <w:r>
        <w:rPr>
          <w:i/>
        </w:rPr>
        <w:t>lechatchilah</w:t>
      </w:r>
      <w:r>
        <w:t xml:space="preserve"> lifting the heels suffices. </w:t>
      </w:r>
      <w:r>
        <w:rPr>
          <w:i/>
        </w:rPr>
        <w:t>Mekubalim</w:t>
      </w:r>
      <w:r>
        <w:t xml:space="preserve">: three lifts at the three </w:t>
      </w:r>
      <w:r>
        <w:rPr>
          <w:i/>
        </w:rPr>
        <w:t>“Kadosh,”</w:t>
      </w:r>
      <w:r>
        <w:t xml:space="preserve"> one at </w:t>
      </w:r>
      <w:r>
        <w:rPr>
          <w:i/>
        </w:rPr>
        <w:t>“Baruch kevod.”</w:t>
      </w:r>
    </w:p>
    <w:p>
      <w:r>
        <w:rPr>
          <w:b/>
          <w:color w:val="1E3A8A"/>
        </w:rPr>
        <w:t xml:space="preserve">20. </w:t>
      </w:r>
      <w:r>
        <w:rPr>
          <w:b/>
          <w:i/>
          <w:color w:val="1E3A8A"/>
        </w:rPr>
        <w:t>Midrash Tanchuma</w:t>
      </w:r>
      <w:r>
        <w:rPr>
          <w:b/>
          <w:color w:val="1E3A8A"/>
        </w:rPr>
        <w:t xml:space="preserve"> — </w:t>
      </w:r>
      <w:r>
        <w:rPr>
          <w:b/>
          <w:i/>
          <w:color w:val="1E3A8A"/>
        </w:rPr>
        <w:t>malachim</w:t>
      </w:r>
      <w:r>
        <w:rPr>
          <w:b/>
          <w:color w:val="1E3A8A"/>
        </w:rPr>
        <w:t xml:space="preserve">’ six wings; </w:t>
      </w:r>
      <w:r>
        <w:rPr>
          <w:b/>
          <w:i/>
          <w:color w:val="1E3A8A"/>
        </w:rPr>
        <w:t>“u’vishtayim y’ofef”</w:t>
      </w:r>
      <w:r>
        <w:rPr>
          <w:b/>
          <w:color w:val="1E3A8A"/>
        </w:rPr>
        <w:t xml:space="preserve"> at </w:t>
      </w:r>
      <w:r>
        <w:rPr>
          <w:b/>
          <w:i/>
          <w:color w:val="1E3A8A"/>
        </w:rPr>
        <w:t>Kedushah</w:t>
      </w:r>
      <w:r>
        <w:rPr>
          <w:b/>
          <w:color w:val="1E3A8A"/>
        </w:rPr>
        <w:t>.</w:t>
      </w:r>
      <w:r>
        <w:t xml:space="preserve"> </w:t>
      </w:r>
      <w:r>
        <w:t xml:space="preserve">— The </w:t>
      </w:r>
      <w:r>
        <w:rPr>
          <w:i/>
        </w:rPr>
        <w:t>Midrash Tanchuma</w:t>
      </w:r>
      <w:r>
        <w:t xml:space="preserve"> develops the imagery of </w:t>
      </w:r>
      <w:r>
        <w:rPr>
          <w:i/>
        </w:rPr>
        <w:t>Yeshayahu</w:t>
      </w:r>
      <w:r>
        <w:t xml:space="preserve"> 6:2: the </w:t>
      </w:r>
      <w:r>
        <w:rPr>
          <w:i/>
        </w:rPr>
        <w:t>serafim</w:t>
      </w:r>
      <w:r>
        <w:t xml:space="preserve"> have six wings — two cover the face, two cover the feet, and two carry them aloft (</w:t>
      </w:r>
      <w:r>
        <w:rPr>
          <w:i/>
        </w:rPr>
        <w:t>“u’vishtayim y’ofef”</w:t>
      </w:r>
      <w:r>
        <w:t xml:space="preserve">) when they sing </w:t>
      </w:r>
      <w:r>
        <w:rPr>
          <w:i/>
        </w:rPr>
        <w:t>Kedushah</w:t>
      </w:r>
      <w:r>
        <w:t xml:space="preserve">. The </w:t>
      </w:r>
      <w:r>
        <w:rPr>
          <w:i/>
        </w:rPr>
        <w:t>Midrash</w:t>
      </w:r>
      <w:r>
        <w:t xml:space="preserve"> is the principal source for the </w:t>
      </w:r>
      <w:r>
        <w:rPr>
          <w:i/>
        </w:rPr>
        <w:t>minhag</w:t>
      </w:r>
      <w:r>
        <w:t xml:space="preserve"> of physical motion (jumping, lifting heels, swaying) at the </w:t>
      </w:r>
      <w:r>
        <w:rPr>
          <w:i/>
        </w:rPr>
        <w:t>Kedushah</w:t>
      </w:r>
      <w:r>
        <w:t xml:space="preserve">: the mispallel mirrors the </w:t>
      </w:r>
      <w:r>
        <w:rPr>
          <w:i/>
        </w:rPr>
        <w:t>malachim</w:t>
      </w:r>
      <w:r>
        <w:t xml:space="preserve">’s flight as he joins their </w:t>
      </w:r>
      <w:r>
        <w:rPr>
          <w:i/>
        </w:rPr>
        <w:t>shirah</w:t>
      </w:r>
      <w:r>
        <w:t>.</w:t>
      </w:r>
    </w:p>
    <w:p>
      <w:r>
        <w:rPr>
          <w:b/>
          <w:color w:val="1E3A8A"/>
        </w:rPr>
        <w:t xml:space="preserve">21. </w:t>
      </w:r>
      <w:r>
        <w:rPr>
          <w:b/>
          <w:i/>
          <w:color w:val="1E3A8A"/>
        </w:rPr>
        <w:t>Tosafos Sanhedrin</w:t>
      </w:r>
      <w:r>
        <w:rPr>
          <w:b/>
          <w:color w:val="1E3A8A"/>
        </w:rPr>
        <w:t xml:space="preserve"> 37b — six wings of the </w:t>
      </w:r>
      <w:r>
        <w:rPr>
          <w:b/>
          <w:i/>
          <w:color w:val="1E3A8A"/>
        </w:rPr>
        <w:t>malachim</w:t>
      </w:r>
      <w:r>
        <w:rPr>
          <w:b/>
          <w:color w:val="1E3A8A"/>
        </w:rPr>
        <w:t xml:space="preserve">; </w:t>
      </w:r>
      <w:r>
        <w:rPr>
          <w:b/>
          <w:i/>
          <w:color w:val="1E3A8A"/>
        </w:rPr>
        <w:t>Klal Yisrael</w:t>
      </w:r>
      <w:r>
        <w:rPr>
          <w:b/>
          <w:color w:val="1E3A8A"/>
        </w:rPr>
        <w:t xml:space="preserve"> as the seventh on </w:t>
      </w:r>
      <w:r>
        <w:rPr>
          <w:b/>
          <w:i/>
          <w:color w:val="1E3A8A"/>
        </w:rPr>
        <w:t>Shabbos</w:t>
      </w:r>
      <w:r>
        <w:rPr>
          <w:b/>
          <w:color w:val="1E3A8A"/>
        </w:rPr>
        <w:t>.</w:t>
      </w:r>
      <w:r>
        <w:t xml:space="preserve"> </w:t>
      </w:r>
      <w:r>
        <w:t xml:space="preserve">— </w:t>
      </w:r>
      <w:r>
        <w:rPr>
          <w:i/>
        </w:rPr>
        <w:t>Tosafos</w:t>
      </w:r>
      <w:r>
        <w:t xml:space="preserve"> in </w:t>
      </w:r>
      <w:r>
        <w:rPr>
          <w:i/>
        </w:rPr>
        <w:t>Sanhedrin</w:t>
      </w:r>
      <w:r>
        <w:t xml:space="preserve"> develops the kabbalistic resolution offered for the ancient </w:t>
      </w:r>
      <w:r>
        <w:rPr>
          <w:i/>
        </w:rPr>
        <w:t>minhag</w:t>
      </w:r>
      <w:r>
        <w:t xml:space="preserve"> of </w:t>
      </w:r>
      <w:r>
        <w:rPr>
          <w:i/>
        </w:rPr>
        <w:t>Bnei Eretz Yisrael</w:t>
      </w:r>
      <w:r>
        <w:t xml:space="preserve"> reciting </w:t>
      </w:r>
      <w:r>
        <w:rPr>
          <w:i/>
        </w:rPr>
        <w:t>Kedushah</w:t>
      </w:r>
      <w:r>
        <w:t xml:space="preserve"> only on </w:t>
      </w:r>
      <w:r>
        <w:rPr>
          <w:i/>
        </w:rPr>
        <w:t>Shabbos</w:t>
      </w:r>
      <w:r>
        <w:t xml:space="preserve"> and </w:t>
      </w:r>
      <w:r>
        <w:rPr>
          <w:i/>
        </w:rPr>
        <w:t>Yom Tov</w:t>
      </w:r>
      <w:r>
        <w:t xml:space="preserve">. Six of the </w:t>
      </w:r>
      <w:r>
        <w:rPr>
          <w:i/>
        </w:rPr>
        <w:t>malachim</w:t>
      </w:r>
      <w:r>
        <w:t xml:space="preserve">’s wings correspond to the six weekdays; on </w:t>
      </w:r>
      <w:r>
        <w:rPr>
          <w:i/>
        </w:rPr>
        <w:t>Shabbos</w:t>
      </w:r>
      <w:r>
        <w:t xml:space="preserve"> there is no seventh wing. The </w:t>
      </w:r>
      <w:r>
        <w:rPr>
          <w:i/>
        </w:rPr>
        <w:t>Ribbono Shel Olam</w:t>
      </w:r>
      <w:r>
        <w:t xml:space="preserve"> declares: </w:t>
      </w:r>
      <w:r>
        <w:rPr>
          <w:i/>
        </w:rPr>
        <w:t xml:space="preserve">“I have a seventh wing — </w:t>
      </w:r>
      <w:r>
        <w:t xml:space="preserve">Klal Yisrael </w:t>
      </w:r>
      <w:r>
        <w:rPr>
          <w:i/>
        </w:rPr>
        <w:t>below”</w:t>
      </w:r>
      <w:r>
        <w:t xml:space="preserve">; therefore on </w:t>
      </w:r>
      <w:r>
        <w:rPr>
          <w:i/>
        </w:rPr>
        <w:t>Shabbos</w:t>
      </w:r>
      <w:r>
        <w:t xml:space="preserve"> the </w:t>
      </w:r>
      <w:r>
        <w:rPr>
          <w:i/>
        </w:rPr>
        <w:t>Kedushah</w:t>
      </w:r>
      <w:r>
        <w:t xml:space="preserve"> is </w:t>
      </w:r>
      <w:r>
        <w:rPr>
          <w:i/>
        </w:rPr>
        <w:t>Klal Yisrael</w:t>
      </w:r>
      <w:r>
        <w:t xml:space="preserve">’s, while during the week it remains the </w:t>
      </w:r>
      <w:r>
        <w:rPr>
          <w:i/>
        </w:rPr>
        <w:t>malachim</w:t>
      </w:r>
      <w:r>
        <w:t xml:space="preserve">’s. </w:t>
      </w:r>
      <w:r>
        <w:rPr>
          <w:i/>
        </w:rPr>
        <w:t>Rav Pirkoi ben Baboi</w:t>
      </w:r>
      <w:r>
        <w:t xml:space="preserve">’s letter from the </w:t>
      </w:r>
      <w:r>
        <w:rPr>
          <w:i/>
        </w:rPr>
        <w:t>geniza</w:t>
      </w:r>
      <w:r>
        <w:t xml:space="preserve"> displaces this kabbalistic explanation with a historical-political one.</w:t>
      </w:r>
    </w:p>
    <w:p>
      <w:r>
        <w:rPr>
          <w:b/>
          <w:color w:val="1E3A8A"/>
        </w:rPr>
        <w:t xml:space="preserve">22. </w:t>
      </w:r>
    </w:p>
    <w:p>
      <w:pPr>
        <w:ind w:left="432"/>
      </w:pPr>
      <w:r>
        <w:rPr>
          <w:b/>
          <w:color w:val="D4A017"/>
          <w:sz w:val="18"/>
        </w:rPr>
        <w:t xml:space="preserve">[Note] </w:t>
      </w:r>
      <w:r>
        <w:rPr>
          <w:color w:val="5A4B1A"/>
          <w:sz w:val="18"/>
        </w:rPr>
        <w:t xml:space="preserve">The Saadia–Ben Meir calendar dispute, 921–923 CE — between </w:t>
      </w:r>
      <w:r>
        <w:rPr>
          <w:i/>
          <w:color w:val="5A4B1A"/>
          <w:sz w:val="18"/>
        </w:rPr>
        <w:t>Rav Saadia Gaon</w:t>
      </w:r>
      <w:r>
        <w:rPr>
          <w:color w:val="5A4B1A"/>
          <w:sz w:val="18"/>
        </w:rPr>
        <w:t xml:space="preserve"> (in </w:t>
      </w:r>
      <w:r>
        <w:rPr>
          <w:i/>
          <w:color w:val="5A4B1A"/>
          <w:sz w:val="18"/>
        </w:rPr>
        <w:t>Bavel</w:t>
      </w:r>
      <w:r>
        <w:rPr>
          <w:color w:val="5A4B1A"/>
          <w:sz w:val="18"/>
        </w:rPr>
        <w:t xml:space="preserve">) and </w:t>
      </w:r>
      <w:r>
        <w:rPr>
          <w:i/>
          <w:color w:val="5A4B1A"/>
          <w:sz w:val="18"/>
        </w:rPr>
        <w:t>Ben Meir</w:t>
      </w:r>
      <w:r>
        <w:rPr>
          <w:color w:val="5A4B1A"/>
          <w:sz w:val="18"/>
        </w:rPr>
        <w:t xml:space="preserve"> (head of the yeshiva of </w:t>
      </w:r>
      <w:r>
        <w:rPr>
          <w:i/>
          <w:color w:val="5A4B1A"/>
          <w:sz w:val="18"/>
        </w:rPr>
        <w:t>Eretz Yisrael</w:t>
      </w:r>
      <w:r>
        <w:rPr>
          <w:color w:val="5A4B1A"/>
          <w:sz w:val="18"/>
        </w:rPr>
        <w:t xml:space="preserve">) — over the determination of the </w:t>
      </w:r>
      <w:r>
        <w:rPr>
          <w:i/>
          <w:color w:val="5A4B1A"/>
          <w:sz w:val="18"/>
        </w:rPr>
        <w:t>luach</w:t>
      </w:r>
      <w:r>
        <w:rPr>
          <w:color w:val="5A4B1A"/>
          <w:sz w:val="18"/>
        </w:rPr>
        <w:t xml:space="preserve"> after the transition from empirical </w:t>
      </w:r>
      <w:r>
        <w:rPr>
          <w:i/>
          <w:color w:val="5A4B1A"/>
          <w:sz w:val="18"/>
        </w:rPr>
        <w:t>Kiddush HaChodesh</w:t>
      </w:r>
      <w:r>
        <w:rPr>
          <w:color w:val="5A4B1A"/>
          <w:sz w:val="18"/>
        </w:rPr>
        <w:t xml:space="preserve"> by witnesses to fixed </w:t>
      </w:r>
      <w:r>
        <w:rPr>
          <w:i/>
          <w:color w:val="5A4B1A"/>
          <w:sz w:val="18"/>
        </w:rPr>
        <w:t>cheshbon</w:t>
      </w:r>
      <w:r>
        <w:rPr>
          <w:color w:val="5A4B1A"/>
          <w:sz w:val="18"/>
        </w:rPr>
        <w:t xml:space="preserve">. </w:t>
      </w:r>
      <w:r>
        <w:rPr>
          <w:i/>
          <w:color w:val="5A4B1A"/>
          <w:sz w:val="18"/>
        </w:rPr>
        <w:t>Ben Meir</w:t>
      </w:r>
      <w:r>
        <w:rPr>
          <w:color w:val="5A4B1A"/>
          <w:sz w:val="18"/>
        </w:rPr>
        <w:t xml:space="preserve"> claimed authority by location (</w:t>
      </w:r>
      <w:r>
        <w:rPr>
          <w:i/>
          <w:color w:val="5A4B1A"/>
          <w:sz w:val="18"/>
        </w:rPr>
        <w:t>Eretz Yisrael</w:t>
      </w:r>
      <w:r>
        <w:rPr>
          <w:color w:val="5A4B1A"/>
          <w:sz w:val="18"/>
        </w:rPr>
        <w:t xml:space="preserve">); </w:t>
      </w:r>
      <w:r>
        <w:rPr>
          <w:i/>
          <w:color w:val="5A4B1A"/>
          <w:sz w:val="18"/>
        </w:rPr>
        <w:t>Rav Saadia</w:t>
      </w:r>
      <w:r>
        <w:rPr>
          <w:color w:val="5A4B1A"/>
          <w:sz w:val="18"/>
        </w:rPr>
        <w:t xml:space="preserve"> claimed it by </w:t>
      </w:r>
      <w:r>
        <w:rPr>
          <w:i/>
          <w:color w:val="5A4B1A"/>
          <w:sz w:val="18"/>
        </w:rPr>
        <w:t>mesorah</w:t>
      </w:r>
      <w:r>
        <w:rPr>
          <w:color w:val="5A4B1A"/>
          <w:sz w:val="18"/>
        </w:rPr>
        <w:t xml:space="preserve"> from the </w:t>
      </w:r>
      <w:r>
        <w:rPr>
          <w:i/>
          <w:color w:val="5A4B1A"/>
          <w:sz w:val="18"/>
        </w:rPr>
        <w:t>Tannaim</w:t>
      </w:r>
      <w:r>
        <w:rPr>
          <w:color w:val="5A4B1A"/>
          <w:sz w:val="18"/>
        </w:rPr>
        <w:t xml:space="preserve">. For two years (922 and 923) the </w:t>
      </w:r>
      <w:r>
        <w:rPr>
          <w:i/>
          <w:color w:val="5A4B1A"/>
          <w:sz w:val="18"/>
        </w:rPr>
        <w:t>kehillos</w:t>
      </w:r>
      <w:r>
        <w:rPr>
          <w:color w:val="5A4B1A"/>
          <w:sz w:val="18"/>
        </w:rPr>
        <w:t xml:space="preserve"> divided: </w:t>
      </w:r>
      <w:r>
        <w:rPr>
          <w:i/>
          <w:color w:val="5A4B1A"/>
          <w:sz w:val="18"/>
        </w:rPr>
        <w:t>Pesach</w:t>
      </w:r>
      <w:r>
        <w:rPr>
          <w:color w:val="5A4B1A"/>
          <w:sz w:val="18"/>
        </w:rPr>
        <w:t xml:space="preserve"> on different days, </w:t>
      </w:r>
      <w:r>
        <w:rPr>
          <w:i/>
          <w:color w:val="5A4B1A"/>
          <w:sz w:val="18"/>
        </w:rPr>
        <w:t>Shavuos</w:t>
      </w:r>
      <w:r>
        <w:rPr>
          <w:color w:val="5A4B1A"/>
          <w:sz w:val="18"/>
        </w:rPr>
        <w:t xml:space="preserve"> on different days. </w:t>
      </w:r>
      <w:r>
        <w:rPr>
          <w:i/>
          <w:color w:val="5A4B1A"/>
          <w:sz w:val="18"/>
        </w:rPr>
        <w:t>Rav Saadia</w:t>
      </w:r>
      <w:r>
        <w:rPr>
          <w:color w:val="5A4B1A"/>
          <w:sz w:val="18"/>
        </w:rPr>
        <w:t xml:space="preserve">’s authority eventually prevailed and the </w:t>
      </w:r>
      <w:r>
        <w:rPr>
          <w:i/>
          <w:color w:val="5A4B1A"/>
          <w:sz w:val="18"/>
        </w:rPr>
        <w:t>luach</w:t>
      </w:r>
      <w:r>
        <w:rPr>
          <w:color w:val="5A4B1A"/>
          <w:sz w:val="18"/>
        </w:rPr>
        <w:t xml:space="preserve"> followed the Babylonian </w:t>
      </w:r>
      <w:r>
        <w:rPr>
          <w:i/>
          <w:color w:val="5A4B1A"/>
          <w:sz w:val="18"/>
        </w:rPr>
        <w:t>cheshbon</w:t>
      </w:r>
      <w:r>
        <w:rPr>
          <w:color w:val="5A4B1A"/>
          <w:sz w:val="18"/>
        </w:rPr>
        <w:t xml:space="preserve">. The dispute is the most acute historical instance of the broader </w:t>
      </w:r>
      <w:r>
        <w:rPr>
          <w:i/>
          <w:color w:val="5A4B1A"/>
          <w:sz w:val="18"/>
        </w:rPr>
        <w:t>Bnei Bavel</w:t>
      </w:r>
      <w:r>
        <w:rPr>
          <w:color w:val="5A4B1A"/>
          <w:sz w:val="18"/>
        </w:rPr>
        <w:t xml:space="preserve"> / </w:t>
      </w:r>
      <w:r>
        <w:rPr>
          <w:i/>
          <w:color w:val="5A4B1A"/>
          <w:sz w:val="18"/>
        </w:rPr>
        <w:t>Bnei Eretz Yisrael</w:t>
      </w:r>
      <w:r>
        <w:rPr>
          <w:color w:val="5A4B1A"/>
          <w:sz w:val="18"/>
        </w:rPr>
        <w:t xml:space="preserve"> tension within which </w:t>
      </w:r>
      <w:r>
        <w:rPr>
          <w:i/>
          <w:color w:val="5A4B1A"/>
          <w:sz w:val="18"/>
        </w:rPr>
        <w:t>Rav Pirkoi ben Baboi</w:t>
      </w:r>
      <w:r>
        <w:rPr>
          <w:color w:val="5A4B1A"/>
          <w:sz w:val="18"/>
        </w:rPr>
        <w:t>’s letter (a century earlier) belongs.</w:t>
      </w:r>
    </w:p>
    <w:p>
      <w:r>
        <w:rPr>
          <w:b/>
          <w:color w:val="1E3A8A"/>
        </w:rPr>
        <w:t xml:space="preserve">23. </w:t>
      </w:r>
      <w:r>
        <w:rPr>
          <w:b/>
          <w:i/>
          <w:color w:val="1E3A8A"/>
        </w:rPr>
        <w:t>Shaarei Kedushah</w:t>
      </w:r>
      <w:r>
        <w:rPr>
          <w:b/>
          <w:color w:val="1E3A8A"/>
        </w:rPr>
        <w:t xml:space="preserve"> (</w:t>
      </w:r>
      <w:r>
        <w:rPr>
          <w:b/>
          <w:i/>
          <w:color w:val="1E3A8A"/>
        </w:rPr>
        <w:t>Rabbi Chaim Vital</w:t>
      </w:r>
      <w:r>
        <w:rPr>
          <w:b/>
          <w:color w:val="1E3A8A"/>
        </w:rPr>
        <w:t xml:space="preserve">) — daily </w:t>
      </w:r>
      <w:r>
        <w:rPr>
          <w:b/>
          <w:i/>
          <w:color w:val="1E3A8A"/>
        </w:rPr>
        <w:t>mitzvah de’oraisa</w:t>
      </w:r>
      <w:r>
        <w:rPr>
          <w:b/>
          <w:color w:val="1E3A8A"/>
        </w:rPr>
        <w:t xml:space="preserve"> of </w:t>
      </w:r>
      <w:r>
        <w:rPr>
          <w:b/>
          <w:i/>
          <w:color w:val="1E3A8A"/>
        </w:rPr>
        <w:t>“v’nikdashti b’soch Bnei Yisrael.”</w:t>
      </w:r>
      <w:r>
        <w:t xml:space="preserve"> </w:t>
      </w:r>
      <w:r>
        <w:t xml:space="preserve">— </w:t>
      </w:r>
      <w:r>
        <w:rPr>
          <w:i/>
        </w:rPr>
        <w:t>Rabbi Chaim Vital</w:t>
      </w:r>
      <w:r>
        <w:t xml:space="preserve"> (1542–1620), foremost </w:t>
      </w:r>
      <w:r>
        <w:rPr>
          <w:i/>
        </w:rPr>
        <w:t>talmid</w:t>
      </w:r>
      <w:r>
        <w:t xml:space="preserve"> of the </w:t>
      </w:r>
      <w:r>
        <w:rPr>
          <w:i/>
        </w:rPr>
        <w:t>Arizal</w:t>
      </w:r>
      <w:r>
        <w:t xml:space="preserve">, in </w:t>
      </w:r>
      <w:r>
        <w:rPr>
          <w:i/>
        </w:rPr>
        <w:t>Shaarei Kedushah</w:t>
      </w:r>
      <w:r>
        <w:t xml:space="preserve"> develops the doctrine that the </w:t>
      </w:r>
      <w:r>
        <w:rPr>
          <w:i/>
        </w:rPr>
        <w:t>pasuk</w:t>
      </w:r>
      <w:r>
        <w:t xml:space="preserve"> </w:t>
      </w:r>
      <w:r>
        <w:rPr>
          <w:i/>
        </w:rPr>
        <w:t>“v’nikdashti b’soch Bnei Yisrael”</w:t>
      </w:r>
      <w:r>
        <w:t xml:space="preserve"> (</w:t>
      </w:r>
      <w:r>
        <w:rPr>
          <w:i/>
        </w:rPr>
        <w:t>Vayikra</w:t>
      </w:r>
      <w:r>
        <w:t xml:space="preserve"> 22:32) grounds not only the well-known </w:t>
      </w:r>
      <w:r>
        <w:rPr>
          <w:i/>
        </w:rPr>
        <w:t>chiyuv mesiras nefesh</w:t>
      </w:r>
      <w:r>
        <w:t xml:space="preserve"> but also a </w:t>
      </w:r>
      <w:r>
        <w:rPr>
          <w:b/>
        </w:rPr>
        <w:t>daily</w:t>
      </w:r>
      <w:r>
        <w:t xml:space="preserve"> </w:t>
      </w:r>
      <w:r>
        <w:rPr>
          <w:i/>
        </w:rPr>
        <w:t>mitzvah de’oraisa</w:t>
      </w:r>
      <w:r>
        <w:t xml:space="preserve">, fulfilled by reciting </w:t>
      </w:r>
      <w:r>
        <w:rPr>
          <w:i/>
        </w:rPr>
        <w:t>Kedushah</w:t>
      </w:r>
      <w:r>
        <w:t xml:space="preserve"> with a </w:t>
      </w:r>
      <w:r>
        <w:rPr>
          <w:i/>
        </w:rPr>
        <w:t>minyan</w:t>
      </w:r>
      <w:r>
        <w:t xml:space="preserve">. The </w:t>
      </w:r>
      <w:r>
        <w:rPr>
          <w:i/>
        </w:rPr>
        <w:t>kiyum</w:t>
      </w:r>
      <w:r>
        <w:t xml:space="preserve"> places </w:t>
      </w:r>
      <w:r>
        <w:rPr>
          <w:i/>
        </w:rPr>
        <w:t>Kedushah</w:t>
      </w:r>
      <w:r>
        <w:t xml:space="preserve"> on a higher tier than </w:t>
      </w:r>
      <w:r>
        <w:rPr>
          <w:i/>
        </w:rPr>
        <w:t>tefillah</w:t>
      </w:r>
      <w:r>
        <w:t xml:space="preserve"> itself (which is </w:t>
      </w:r>
      <w:r>
        <w:rPr>
          <w:i/>
        </w:rPr>
        <w:t>de’rabbanan</w:t>
      </w:r>
      <w:r>
        <w:t xml:space="preserve">) and grounds the </w:t>
      </w:r>
      <w:r>
        <w:rPr>
          <w:i/>
        </w:rPr>
        <w:t>Mishnah Berurah</w:t>
      </w:r>
      <w:r>
        <w:t xml:space="preserve">’s requirement of explicit </w:t>
      </w:r>
      <w:r>
        <w:rPr>
          <w:i/>
        </w:rPr>
        <w:t>kavvanah</w:t>
      </w:r>
      <w:r>
        <w:t>.</w:t>
      </w:r>
    </w:p>
    <w:p>
      <w:r>
        <w:rPr>
          <w:b/>
          <w:color w:val="1E3A8A"/>
        </w:rPr>
        <w:t xml:space="preserve">24. </w:t>
      </w:r>
      <w:r>
        <w:rPr>
          <w:b/>
          <w:i/>
          <w:color w:val="1E3A8A"/>
        </w:rPr>
        <w:t>Shibbolei HaLeket</w:t>
      </w:r>
      <w:r>
        <w:rPr>
          <w:b/>
          <w:color w:val="1E3A8A"/>
        </w:rPr>
        <w:t xml:space="preserve"> (</w:t>
      </w:r>
      <w:r>
        <w:rPr>
          <w:b/>
          <w:i/>
          <w:color w:val="1E3A8A"/>
        </w:rPr>
        <w:t>Rabbi Tzidkiyah HaRofei</w:t>
      </w:r>
      <w:r>
        <w:rPr>
          <w:b/>
          <w:color w:val="1E3A8A"/>
        </w:rPr>
        <w:t xml:space="preserve">), citing </w:t>
      </w:r>
      <w:r>
        <w:rPr>
          <w:b/>
          <w:i/>
          <w:color w:val="1E3A8A"/>
        </w:rPr>
        <w:t>Rashi</w:t>
      </w:r>
      <w:r>
        <w:rPr>
          <w:b/>
          <w:color w:val="1E3A8A"/>
        </w:rPr>
        <w:t xml:space="preserve"> on </w:t>
      </w:r>
      <w:r>
        <w:rPr>
          <w:b/>
          <w:i/>
          <w:color w:val="1E3A8A"/>
        </w:rPr>
        <w:t>“va’yanu’u amos ha’sipim.”</w:t>
      </w:r>
      <w:r>
        <w:t xml:space="preserve"> </w:t>
      </w:r>
      <w:r>
        <w:t xml:space="preserve">— </w:t>
      </w:r>
      <w:r>
        <w:rPr>
          <w:i/>
        </w:rPr>
        <w:t>Rabbi Tzidkiyah ben Avraham HaRofei</w:t>
      </w:r>
      <w:r>
        <w:t xml:space="preserve"> (the </w:t>
      </w:r>
      <w:r>
        <w:rPr>
          <w:i/>
        </w:rPr>
        <w:t>Shibbolei HaLeket</w:t>
      </w:r>
      <w:r>
        <w:t xml:space="preserve">, c. 1210–1280, Italy), an early </w:t>
      </w:r>
      <w:r>
        <w:rPr>
          <w:i/>
        </w:rPr>
        <w:t>Rishon</w:t>
      </w:r>
      <w:r>
        <w:t xml:space="preserve"> of the Italian </w:t>
      </w:r>
      <w:r>
        <w:rPr>
          <w:i/>
        </w:rPr>
        <w:t>chachomim</w:t>
      </w:r>
      <w:r>
        <w:t xml:space="preserve">, in his halachic compendium brings </w:t>
      </w:r>
      <w:r>
        <w:rPr>
          <w:i/>
        </w:rPr>
        <w:t>Rashi</w:t>
      </w:r>
      <w:r>
        <w:t xml:space="preserve">’s reading of the </w:t>
      </w:r>
      <w:r>
        <w:rPr>
          <w:i/>
        </w:rPr>
        <w:t>pasuk</w:t>
      </w:r>
      <w:r>
        <w:t xml:space="preserve"> in </w:t>
      </w:r>
      <w:r>
        <w:rPr>
          <w:i/>
        </w:rPr>
        <w:t>Yeshayahu</w:t>
      </w:r>
      <w:r>
        <w:t xml:space="preserve"> 6:4: </w:t>
      </w:r>
      <w:r>
        <w:rPr>
          <w:i/>
        </w:rPr>
        <w:t>“va’yanu’u amos ha’sipim mi’kol ha’korei”</w:t>
      </w:r>
      <w:r>
        <w:t xml:space="preserve"> — even the wooden and stone thresholds of the </w:t>
      </w:r>
      <w:r>
        <w:rPr>
          <w:i/>
        </w:rPr>
        <w:t>Heichal</w:t>
      </w:r>
      <w:r>
        <w:t xml:space="preserve"> trembled when the </w:t>
      </w:r>
      <w:r>
        <w:rPr>
          <w:i/>
        </w:rPr>
        <w:t>malachim</w:t>
      </w:r>
      <w:r>
        <w:t xml:space="preserve"> recited </w:t>
      </w:r>
      <w:r>
        <w:rPr>
          <w:i/>
        </w:rPr>
        <w:t>Kedushah</w:t>
      </w:r>
      <w:r>
        <w:t xml:space="preserve">. </w:t>
      </w:r>
      <w:r>
        <w:rPr>
          <w:i/>
        </w:rPr>
        <w:t>Rashi</w:t>
      </w:r>
      <w:r>
        <w:t xml:space="preserve">’s </w:t>
      </w:r>
      <w:r>
        <w:rPr>
          <w:i/>
        </w:rPr>
        <w:t>kal va’chomer</w:t>
      </w:r>
      <w:r>
        <w:t xml:space="preserve">: if </w:t>
      </w:r>
      <w:r>
        <w:rPr>
          <w:i/>
        </w:rPr>
        <w:t>“eitzim v’avanim”</w:t>
      </w:r>
      <w:r>
        <w:t xml:space="preserve"> tremble, how much more so should we. The </w:t>
      </w:r>
      <w:r>
        <w:rPr>
          <w:i/>
        </w:rPr>
        <w:t>Shibbolei HaLeket</w:t>
      </w:r>
      <w:r>
        <w:t xml:space="preserve">’s citation grounds the </w:t>
      </w:r>
      <w:r>
        <w:rPr>
          <w:i/>
        </w:rPr>
        <w:t>minhag</w:t>
      </w:r>
      <w:r>
        <w:t xml:space="preserve"> of trembling and physical motion at </w:t>
      </w:r>
      <w:r>
        <w:rPr>
          <w:i/>
        </w:rPr>
        <w:t>Kedushah</w:t>
      </w:r>
      <w:r>
        <w:t xml:space="preserve"> as a </w:t>
      </w:r>
      <w:r>
        <w:rPr>
          <w:i/>
        </w:rPr>
        <w:t>din</w:t>
      </w:r>
      <w:r>
        <w:t xml:space="preserve"> derived from the </w:t>
      </w:r>
      <w:r>
        <w:rPr>
          <w:i/>
        </w:rPr>
        <w:t>pasuk</w:t>
      </w:r>
      <w:r>
        <w:t>, not merely a kabbalistic embellishment.</w:t>
      </w:r>
    </w:p>
    <w:p>
      <w:r>
        <w:rPr>
          <w:b/>
          <w:color w:val="1E3A8A"/>
        </w:rPr>
        <w:t xml:space="preserve">25. </w:t>
      </w:r>
    </w:p>
    <w:p>
      <w:pPr>
        <w:ind w:left="432"/>
      </w:pPr>
      <w:r>
        <w:rPr>
          <w:b/>
          <w:color w:val="D4A017"/>
          <w:sz w:val="18"/>
        </w:rPr>
        <w:t xml:space="preserve">[Note] </w:t>
      </w:r>
      <w:r>
        <w:rPr>
          <w:b/>
          <w:i/>
          <w:color w:val="5A4B1A"/>
          <w:sz w:val="18"/>
        </w:rPr>
        <w:t>Rabbeinu Kalonymus HaZakein</w:t>
      </w:r>
      <w:r>
        <w:rPr>
          <w:color w:val="5A4B1A"/>
          <w:sz w:val="18"/>
        </w:rPr>
        <w:t xml:space="preserve"> (</w:t>
      </w:r>
      <w:r>
        <w:rPr>
          <w:i/>
          <w:color w:val="5A4B1A"/>
          <w:sz w:val="18"/>
        </w:rPr>
        <w:t>Rabbi Kalonymus ben Meshullam</w:t>
      </w:r>
      <w:r>
        <w:rPr>
          <w:color w:val="5A4B1A"/>
          <w:sz w:val="18"/>
        </w:rPr>
        <w:t xml:space="preserve">, late tenth–early eleventh century, Italy and the Rhineland) — foundational </w:t>
      </w:r>
      <w:r>
        <w:rPr>
          <w:i/>
          <w:color w:val="5A4B1A"/>
          <w:sz w:val="18"/>
        </w:rPr>
        <w:t>Rishon</w:t>
      </w:r>
      <w:r>
        <w:rPr>
          <w:color w:val="5A4B1A"/>
          <w:sz w:val="18"/>
        </w:rPr>
        <w:t xml:space="preserve"> of </w:t>
      </w:r>
      <w:r>
        <w:rPr>
          <w:i/>
          <w:color w:val="5A4B1A"/>
          <w:sz w:val="18"/>
        </w:rPr>
        <w:t>Yahadus Ashkenaz</w:t>
      </w:r>
      <w:r>
        <w:rPr>
          <w:color w:val="5A4B1A"/>
          <w:sz w:val="18"/>
        </w:rPr>
        <w:t xml:space="preserve">; survivor of the destruction of Worms in 1096 (per the chronicles); transmitter of the chain of </w:t>
      </w:r>
      <w:r>
        <w:rPr>
          <w:i/>
          <w:color w:val="5A4B1A"/>
          <w:sz w:val="18"/>
        </w:rPr>
        <w:t>sodos ha’tefillah</w:t>
      </w:r>
      <w:r>
        <w:rPr>
          <w:color w:val="5A4B1A"/>
          <w:sz w:val="18"/>
        </w:rPr>
        <w:t xml:space="preserve"> recorded in the </w:t>
      </w:r>
      <w:r>
        <w:rPr>
          <w:i/>
          <w:color w:val="5A4B1A"/>
          <w:sz w:val="18"/>
        </w:rPr>
        <w:t>hakdamos</w:t>
      </w:r>
      <w:r>
        <w:rPr>
          <w:color w:val="5A4B1A"/>
          <w:sz w:val="18"/>
        </w:rPr>
        <w:t xml:space="preserve"> to </w:t>
      </w:r>
      <w:r>
        <w:rPr>
          <w:b/>
          <w:i/>
          <w:color w:val="5A4B1A"/>
          <w:sz w:val="18"/>
        </w:rPr>
        <w:t>Sefer Chassidim</w:t>
      </w:r>
      <w:r>
        <w:rPr>
          <w:color w:val="5A4B1A"/>
          <w:sz w:val="18"/>
        </w:rPr>
        <w:t xml:space="preserve">: </w:t>
      </w:r>
      <w:r>
        <w:rPr>
          <w:i/>
          <w:color w:val="5A4B1A"/>
          <w:sz w:val="18"/>
        </w:rPr>
        <w:t>Rabbeinu Kalonymus HaZakein</w:t>
      </w:r>
      <w:r>
        <w:rPr>
          <w:color w:val="5A4B1A"/>
          <w:sz w:val="18"/>
        </w:rPr>
        <w:t xml:space="preserve"> → his son → </w:t>
      </w:r>
      <w:r>
        <w:rPr>
          <w:i/>
          <w:color w:val="5A4B1A"/>
          <w:sz w:val="18"/>
        </w:rPr>
        <w:t>Rabbi Yehudah HaChassid</w:t>
      </w:r>
      <w:r>
        <w:rPr>
          <w:color w:val="5A4B1A"/>
          <w:sz w:val="18"/>
        </w:rPr>
        <w:t xml:space="preserve"> (1140–1217, Regensburg, author of </w:t>
      </w:r>
      <w:r>
        <w:rPr>
          <w:i/>
          <w:color w:val="5A4B1A"/>
          <w:sz w:val="18"/>
        </w:rPr>
        <w:t>Sefer Chassidim</w:t>
      </w:r>
      <w:r>
        <w:rPr>
          <w:color w:val="5A4B1A"/>
          <w:sz w:val="18"/>
        </w:rPr>
        <w:t xml:space="preserve">) → </w:t>
      </w:r>
      <w:r>
        <w:rPr>
          <w:b/>
          <w:color w:val="5A4B1A"/>
          <w:sz w:val="18"/>
        </w:rPr>
        <w:t xml:space="preserve">the </w:t>
      </w:r>
      <w:r>
        <w:rPr>
          <w:b/>
          <w:i/>
          <w:color w:val="5A4B1A"/>
          <w:sz w:val="18"/>
        </w:rPr>
        <w:t>Rokeach</w:t>
      </w:r>
      <w:r>
        <w:rPr>
          <w:color w:val="5A4B1A"/>
          <w:sz w:val="18"/>
        </w:rPr>
        <w:t xml:space="preserve"> (</w:t>
      </w:r>
      <w:r>
        <w:rPr>
          <w:i/>
          <w:color w:val="5A4B1A"/>
          <w:sz w:val="18"/>
        </w:rPr>
        <w:t>Rabbi Elazar MiGarmeiza</w:t>
      </w:r>
      <w:r>
        <w:rPr>
          <w:color w:val="5A4B1A"/>
          <w:sz w:val="18"/>
        </w:rPr>
        <w:t xml:space="preserve">, c. 1176–1238, Worms; the most prolific writer of </w:t>
      </w:r>
      <w:r>
        <w:rPr>
          <w:i/>
          <w:color w:val="5A4B1A"/>
          <w:sz w:val="18"/>
        </w:rPr>
        <w:t>peirushei ha’tefillah</w:t>
      </w:r>
      <w:r>
        <w:rPr>
          <w:color w:val="5A4B1A"/>
          <w:sz w:val="18"/>
        </w:rPr>
        <w:t xml:space="preserve"> in the </w:t>
      </w:r>
      <w:r>
        <w:rPr>
          <w:i/>
          <w:color w:val="5A4B1A"/>
          <w:sz w:val="18"/>
        </w:rPr>
        <w:t>Chassidei Ashkenaz</w:t>
      </w:r>
      <w:r>
        <w:rPr>
          <w:color w:val="5A4B1A"/>
          <w:sz w:val="18"/>
        </w:rPr>
        <w:t xml:space="preserve"> tradition). </w:t>
      </w:r>
      <w:r>
        <w:rPr>
          <w:i/>
          <w:color w:val="5A4B1A"/>
          <w:sz w:val="18"/>
        </w:rPr>
        <w:t>Rabbeinu Kalonymus</w:t>
      </w:r>
      <w:r>
        <w:rPr>
          <w:color w:val="5A4B1A"/>
          <w:sz w:val="18"/>
        </w:rPr>
        <w:t xml:space="preserve">’s </w:t>
      </w:r>
      <w:r>
        <w:rPr>
          <w:i/>
          <w:color w:val="5A4B1A"/>
          <w:sz w:val="18"/>
        </w:rPr>
        <w:t>teshuvah</w:t>
      </w:r>
      <w:r>
        <w:rPr>
          <w:color w:val="5A4B1A"/>
          <w:sz w:val="18"/>
        </w:rPr>
        <w:t xml:space="preserve"> on </w:t>
      </w:r>
      <w:r>
        <w:rPr>
          <w:i/>
          <w:color w:val="5A4B1A"/>
          <w:sz w:val="18"/>
        </w:rPr>
        <w:t>Kedushah</w:t>
      </w:r>
      <w:r>
        <w:rPr>
          <w:color w:val="5A4B1A"/>
          <w:sz w:val="18"/>
        </w:rPr>
        <w:t xml:space="preserve"> rules that the embedded </w:t>
      </w:r>
      <w:r>
        <w:rPr>
          <w:i/>
          <w:color w:val="5A4B1A"/>
          <w:sz w:val="18"/>
        </w:rPr>
        <w:t>Kedushah d’Yotzeir Or</w:t>
      </w:r>
      <w:r>
        <w:rPr>
          <w:color w:val="5A4B1A"/>
          <w:sz w:val="18"/>
        </w:rPr>
        <w:t xml:space="preserve"> does not discharge the daily </w:t>
      </w:r>
      <w:r>
        <w:rPr>
          <w:i/>
          <w:color w:val="5A4B1A"/>
          <w:sz w:val="18"/>
        </w:rPr>
        <w:t>chiyuv</w:t>
      </w:r>
      <w:r>
        <w:rPr>
          <w:color w:val="5A4B1A"/>
          <w:sz w:val="18"/>
        </w:rPr>
        <w:t xml:space="preserve"> of </w:t>
      </w:r>
      <w:r>
        <w:rPr>
          <w:i/>
          <w:color w:val="5A4B1A"/>
          <w:sz w:val="18"/>
        </w:rPr>
        <w:t>“v’nikdashti”</w:t>
      </w:r>
      <w:r>
        <w:rPr>
          <w:color w:val="5A4B1A"/>
          <w:sz w:val="18"/>
        </w:rPr>
        <w:t xml:space="preserve">; </w:t>
      </w:r>
      <w:r>
        <w:rPr>
          <w:i/>
          <w:color w:val="5A4B1A"/>
          <w:sz w:val="18"/>
        </w:rPr>
        <w:t>Rashi</w:t>
      </w:r>
      <w:r>
        <w:rPr>
          <w:color w:val="5A4B1A"/>
          <w:sz w:val="18"/>
        </w:rPr>
        <w:t xml:space="preserve">, </w:t>
      </w:r>
      <w:r>
        <w:rPr>
          <w:i/>
          <w:color w:val="5A4B1A"/>
          <w:sz w:val="18"/>
        </w:rPr>
        <w:t>talmid</w:t>
      </w:r>
      <w:r>
        <w:rPr>
          <w:color w:val="5A4B1A"/>
          <w:sz w:val="18"/>
        </w:rPr>
        <w:t>-</w:t>
      </w:r>
      <w:r>
        <w:rPr>
          <w:i/>
          <w:color w:val="5A4B1A"/>
          <w:sz w:val="18"/>
        </w:rPr>
        <w:t>talmid</w:t>
      </w:r>
      <w:r>
        <w:rPr>
          <w:color w:val="5A4B1A"/>
          <w:sz w:val="18"/>
        </w:rPr>
        <w:t xml:space="preserve"> of </w:t>
      </w:r>
      <w:r>
        <w:rPr>
          <w:i/>
          <w:color w:val="5A4B1A"/>
          <w:sz w:val="18"/>
        </w:rPr>
        <w:t>Rabbeinu Kalonymus</w:t>
      </w:r>
      <w:r>
        <w:rPr>
          <w:color w:val="5A4B1A"/>
          <w:sz w:val="18"/>
        </w:rPr>
        <w:t xml:space="preserve">, dissents — but the </w:t>
      </w:r>
      <w:r>
        <w:rPr>
          <w:i/>
          <w:color w:val="5A4B1A"/>
          <w:sz w:val="18"/>
        </w:rPr>
        <w:t>Shulchan Aruch</w:t>
      </w:r>
      <w:r>
        <w:rPr>
          <w:color w:val="5A4B1A"/>
          <w:sz w:val="18"/>
        </w:rPr>
        <w:t xml:space="preserve"> rules with </w:t>
      </w:r>
      <w:r>
        <w:rPr>
          <w:i/>
          <w:color w:val="5A4B1A"/>
          <w:sz w:val="18"/>
        </w:rPr>
        <w:t>Rabbeinu Kalonymus</w:t>
      </w:r>
      <w:r>
        <w:rPr>
          <w:color w:val="5A4B1A"/>
          <w:sz w:val="18"/>
        </w:rPr>
        <w:t xml:space="preserve">. Most of the </w:t>
      </w:r>
      <w:r>
        <w:rPr>
          <w:i/>
          <w:color w:val="5A4B1A"/>
          <w:sz w:val="18"/>
        </w:rPr>
        <w:t>nusach ha’tefillah Ashkenaz</w:t>
      </w:r>
      <w:r>
        <w:rPr>
          <w:color w:val="5A4B1A"/>
          <w:sz w:val="18"/>
        </w:rPr>
        <w:t xml:space="preserve"> traces ultimately to him.</w:t>
      </w:r>
    </w:p>
    <w:p>
      <w:r>
        <w:rPr>
          <w:b/>
          <w:color w:val="1E3A8A"/>
        </w:rPr>
        <w:t xml:space="preserve">26. </w:t>
      </w:r>
    </w:p>
    <w:p>
      <w:pPr>
        <w:ind w:left="432"/>
      </w:pPr>
      <w:r>
        <w:rPr>
          <w:b/>
          <w:color w:val="D4A017"/>
          <w:sz w:val="18"/>
        </w:rPr>
        <w:t xml:space="preserve">[Note] </w:t>
      </w:r>
      <w:r>
        <w:rPr>
          <w:b/>
          <w:i/>
          <w:color w:val="5A4B1A"/>
          <w:sz w:val="18"/>
        </w:rPr>
        <w:t>Rav Pirkoi ben Baboi</w:t>
      </w:r>
      <w:r>
        <w:rPr>
          <w:color w:val="5A4B1A"/>
          <w:sz w:val="18"/>
        </w:rPr>
        <w:t xml:space="preserve"> (early ninth century, </w:t>
      </w:r>
      <w:r>
        <w:rPr>
          <w:i/>
          <w:color w:val="5A4B1A"/>
          <w:sz w:val="18"/>
        </w:rPr>
        <w:t>Bavel</w:t>
      </w:r>
      <w:r>
        <w:rPr>
          <w:color w:val="5A4B1A"/>
          <w:sz w:val="18"/>
        </w:rPr>
        <w:t xml:space="preserve">) — </w:t>
      </w:r>
      <w:r>
        <w:rPr>
          <w:i/>
          <w:color w:val="5A4B1A"/>
          <w:sz w:val="18"/>
        </w:rPr>
        <w:t>talmid</w:t>
      </w:r>
      <w:r>
        <w:rPr>
          <w:color w:val="5A4B1A"/>
          <w:sz w:val="18"/>
        </w:rPr>
        <w:t xml:space="preserve"> of </w:t>
      </w:r>
      <w:r>
        <w:rPr>
          <w:i/>
          <w:color w:val="5A4B1A"/>
          <w:sz w:val="18"/>
        </w:rPr>
        <w:t>Rav Yehudai Gaon</w:t>
      </w:r>
      <w:r>
        <w:rPr>
          <w:color w:val="5A4B1A"/>
          <w:sz w:val="18"/>
        </w:rPr>
        <w:t xml:space="preserve"> (head of the yeshiva of </w:t>
      </w:r>
      <w:r>
        <w:rPr>
          <w:i/>
          <w:color w:val="5A4B1A"/>
          <w:sz w:val="18"/>
        </w:rPr>
        <w:t>Sura</w:t>
      </w:r>
      <w:r>
        <w:rPr>
          <w:color w:val="5A4B1A"/>
          <w:sz w:val="18"/>
        </w:rPr>
        <w:t xml:space="preserve">, mid-eighth century). His polemical letter to the communities of </w:t>
      </w:r>
      <w:r>
        <w:rPr>
          <w:i/>
          <w:color w:val="5A4B1A"/>
          <w:sz w:val="18"/>
        </w:rPr>
        <w:t>Eretz Yisrael</w:t>
      </w:r>
      <w:r>
        <w:rPr>
          <w:color w:val="5A4B1A"/>
          <w:sz w:val="18"/>
        </w:rPr>
        <w:t xml:space="preserve"> and </w:t>
      </w:r>
      <w:r>
        <w:rPr>
          <w:i/>
          <w:color w:val="5A4B1A"/>
          <w:sz w:val="18"/>
        </w:rPr>
        <w:t>Tzafon Afrika</w:t>
      </w:r>
      <w:r>
        <w:rPr>
          <w:color w:val="5A4B1A"/>
          <w:sz w:val="18"/>
        </w:rPr>
        <w:t xml:space="preserve">, recovered in fragments from the </w:t>
      </w:r>
      <w:r>
        <w:rPr>
          <w:b/>
          <w:color w:val="5A4B1A"/>
          <w:sz w:val="18"/>
        </w:rPr>
        <w:t>Cairo Geniza</w:t>
      </w:r>
      <w:r>
        <w:rPr>
          <w:color w:val="5A4B1A"/>
          <w:sz w:val="18"/>
        </w:rPr>
        <w:t xml:space="preserve"> (the </w:t>
      </w:r>
      <w:r>
        <w:rPr>
          <w:i/>
          <w:color w:val="5A4B1A"/>
          <w:sz w:val="18"/>
        </w:rPr>
        <w:t>geniza</w:t>
      </w:r>
      <w:r>
        <w:rPr>
          <w:color w:val="5A4B1A"/>
          <w:sz w:val="18"/>
        </w:rPr>
        <w:t xml:space="preserve"> of the Ben Ezra Synagogue in Fustat, brought to Cambridge in 1896 by Solomon Schechter through the work of Margaret Gibson and Agnes Smith Lewis), argues against several </w:t>
      </w:r>
      <w:r>
        <w:rPr>
          <w:i/>
          <w:color w:val="5A4B1A"/>
          <w:sz w:val="18"/>
        </w:rPr>
        <w:t>minhagei Eretz Yisrael</w:t>
      </w:r>
      <w:r>
        <w:rPr>
          <w:color w:val="5A4B1A"/>
          <w:sz w:val="18"/>
        </w:rPr>
        <w:t xml:space="preserve"> — most notably the </w:t>
      </w:r>
      <w:r>
        <w:rPr>
          <w:i/>
          <w:color w:val="5A4B1A"/>
          <w:sz w:val="18"/>
        </w:rPr>
        <w:t>Shabbos</w:t>
      </w:r>
      <w:r>
        <w:rPr>
          <w:color w:val="5A4B1A"/>
          <w:sz w:val="18"/>
        </w:rPr>
        <w:t xml:space="preserve">-only </w:t>
      </w:r>
      <w:r>
        <w:rPr>
          <w:i/>
          <w:color w:val="5A4B1A"/>
          <w:sz w:val="18"/>
        </w:rPr>
        <w:t>Kedushah</w:t>
      </w:r>
      <w:r>
        <w:rPr>
          <w:color w:val="5A4B1A"/>
          <w:sz w:val="18"/>
        </w:rPr>
        <w:t xml:space="preserve">. His </w:t>
      </w:r>
      <w:r>
        <w:rPr>
          <w:i/>
          <w:color w:val="5A4B1A"/>
          <w:sz w:val="18"/>
        </w:rPr>
        <w:t>yesod</w:t>
      </w:r>
      <w:r>
        <w:rPr>
          <w:color w:val="5A4B1A"/>
          <w:sz w:val="18"/>
        </w:rPr>
        <w:t xml:space="preserve">: the only continuous, unbroken </w:t>
      </w:r>
      <w:r>
        <w:rPr>
          <w:i/>
          <w:color w:val="5A4B1A"/>
          <w:sz w:val="18"/>
        </w:rPr>
        <w:t>mesorah</w:t>
      </w:r>
      <w:r>
        <w:rPr>
          <w:color w:val="5A4B1A"/>
          <w:sz w:val="18"/>
        </w:rPr>
        <w:t xml:space="preserve"> from the </w:t>
      </w:r>
      <w:r>
        <w:rPr>
          <w:i/>
          <w:color w:val="5A4B1A"/>
          <w:sz w:val="18"/>
        </w:rPr>
        <w:t>Beis HaMikdash</w:t>
      </w:r>
      <w:r>
        <w:rPr>
          <w:color w:val="5A4B1A"/>
          <w:sz w:val="18"/>
        </w:rPr>
        <w:t xml:space="preserve"> ran through </w:t>
      </w:r>
      <w:r>
        <w:rPr>
          <w:i/>
          <w:color w:val="5A4B1A"/>
          <w:sz w:val="18"/>
        </w:rPr>
        <w:t>Bavel</w:t>
      </w:r>
      <w:r>
        <w:rPr>
          <w:color w:val="5A4B1A"/>
          <w:sz w:val="18"/>
        </w:rPr>
        <w:t xml:space="preserve">; the </w:t>
      </w:r>
      <w:r>
        <w:rPr>
          <w:i/>
          <w:color w:val="5A4B1A"/>
          <w:sz w:val="18"/>
        </w:rPr>
        <w:t>minhagim</w:t>
      </w:r>
      <w:r>
        <w:rPr>
          <w:color w:val="5A4B1A"/>
          <w:sz w:val="18"/>
        </w:rPr>
        <w:t xml:space="preserve"> of </w:t>
      </w:r>
      <w:r>
        <w:rPr>
          <w:i/>
          <w:color w:val="5A4B1A"/>
          <w:sz w:val="18"/>
        </w:rPr>
        <w:t>Eretz Yisrael</w:t>
      </w:r>
      <w:r>
        <w:rPr>
          <w:color w:val="5A4B1A"/>
          <w:sz w:val="18"/>
        </w:rPr>
        <w:t xml:space="preserve"> emerged under </w:t>
      </w:r>
      <w:r>
        <w:rPr>
          <w:i/>
          <w:color w:val="5A4B1A"/>
          <w:sz w:val="18"/>
        </w:rPr>
        <w:t>shmad</w:t>
      </w:r>
      <w:r>
        <w:rPr>
          <w:color w:val="5A4B1A"/>
          <w:sz w:val="18"/>
        </w:rPr>
        <w:t xml:space="preserve">, </w:t>
      </w:r>
      <w:r>
        <w:rPr>
          <w:i/>
          <w:color w:val="5A4B1A"/>
          <w:sz w:val="18"/>
        </w:rPr>
        <w:t>gezeiros</w:t>
      </w:r>
      <w:r>
        <w:rPr>
          <w:color w:val="5A4B1A"/>
          <w:sz w:val="18"/>
        </w:rPr>
        <w:t xml:space="preserve">, and forced closures of </w:t>
      </w:r>
      <w:r>
        <w:rPr>
          <w:i/>
          <w:color w:val="5A4B1A"/>
          <w:sz w:val="18"/>
        </w:rPr>
        <w:t>batei knesios</w:t>
      </w:r>
      <w:r>
        <w:rPr>
          <w:color w:val="5A4B1A"/>
          <w:sz w:val="18"/>
        </w:rPr>
        <w:t xml:space="preserve">, and several should be reformed accordingly. The </w:t>
      </w:r>
      <w:r>
        <w:rPr>
          <w:i/>
          <w:color w:val="5A4B1A"/>
          <w:sz w:val="18"/>
        </w:rPr>
        <w:t>Shabbos</w:t>
      </w:r>
      <w:r>
        <w:rPr>
          <w:color w:val="5A4B1A"/>
          <w:sz w:val="18"/>
        </w:rPr>
        <w:t xml:space="preserve">-only </w:t>
      </w:r>
      <w:r>
        <w:rPr>
          <w:i/>
          <w:color w:val="5A4B1A"/>
          <w:sz w:val="18"/>
        </w:rPr>
        <w:t>Kedushah</w:t>
      </w:r>
      <w:r>
        <w:rPr>
          <w:color w:val="5A4B1A"/>
          <w:sz w:val="18"/>
        </w:rPr>
        <w:t xml:space="preserve"> in particular he attributes to a Byzantine-era </w:t>
      </w:r>
      <w:r>
        <w:rPr>
          <w:i/>
          <w:color w:val="5A4B1A"/>
          <w:sz w:val="18"/>
        </w:rPr>
        <w:t>gezeirah</w:t>
      </w:r>
      <w:r>
        <w:rPr>
          <w:color w:val="5A4B1A"/>
          <w:sz w:val="18"/>
        </w:rPr>
        <w:t xml:space="preserve"> against weekday </w:t>
      </w:r>
      <w:r>
        <w:rPr>
          <w:i/>
          <w:color w:val="5A4B1A"/>
          <w:sz w:val="18"/>
        </w:rPr>
        <w:t>tefillah be’rabbim</w:t>
      </w:r>
      <w:r>
        <w:rPr>
          <w:color w:val="5A4B1A"/>
          <w:sz w:val="18"/>
        </w:rPr>
        <w:t xml:space="preserve">, not to authentic kabbalistic </w:t>
      </w:r>
      <w:r>
        <w:rPr>
          <w:i/>
          <w:color w:val="5A4B1A"/>
          <w:sz w:val="18"/>
        </w:rPr>
        <w:t>minhag</w:t>
      </w:r>
      <w:r>
        <w:rPr>
          <w:color w:val="5A4B1A"/>
          <w:sz w:val="18"/>
        </w:rPr>
        <w:t xml:space="preserve">. The letter was unknown to medieval </w:t>
      </w:r>
      <w:r>
        <w:rPr>
          <w:i/>
          <w:color w:val="5A4B1A"/>
          <w:sz w:val="18"/>
        </w:rPr>
        <w:t>poskim</w:t>
      </w:r>
      <w:r>
        <w:rPr>
          <w:color w:val="5A4B1A"/>
          <w:sz w:val="18"/>
        </w:rPr>
        <w:t xml:space="preserve"> and is now central to scholarly understanding of </w:t>
      </w:r>
      <w:r>
        <w:rPr>
          <w:i/>
          <w:color w:val="5A4B1A"/>
          <w:sz w:val="18"/>
        </w:rPr>
        <w:t>Bnei Bavel</w:t>
      </w:r>
      <w:r>
        <w:rPr>
          <w:color w:val="5A4B1A"/>
          <w:sz w:val="18"/>
        </w:rPr>
        <w:t xml:space="preserve"> / </w:t>
      </w:r>
      <w:r>
        <w:rPr>
          <w:i/>
          <w:color w:val="5A4B1A"/>
          <w:sz w:val="18"/>
        </w:rPr>
        <w:t>Bnei Eretz Yisrael</w:t>
      </w:r>
      <w:r>
        <w:rPr>
          <w:color w:val="5A4B1A"/>
          <w:sz w:val="18"/>
        </w:rPr>
        <w:t xml:space="preserve"> tensions.</w:t>
      </w:r>
    </w:p>
    <w:p>
      <w:r>
        <w:rPr>
          <w:b/>
          <w:color w:val="1E3A8A"/>
        </w:rPr>
        <w:t xml:space="preserve">27. </w:t>
      </w:r>
      <w:r>
        <w:rPr>
          <w:b/>
          <w:i/>
          <w:color w:val="1E3A8A"/>
        </w:rPr>
        <w:t>Shefa Kodesh</w:t>
      </w:r>
      <w:r>
        <w:rPr>
          <w:b/>
          <w:color w:val="1E3A8A"/>
        </w:rPr>
        <w:t xml:space="preserve"> — </w:t>
      </w:r>
      <w:r>
        <w:rPr>
          <w:b/>
          <w:i/>
          <w:color w:val="1E3A8A"/>
        </w:rPr>
        <w:t>kedushas chodesh Nissan</w:t>
      </w:r>
      <w:r>
        <w:rPr>
          <w:b/>
          <w:color w:val="1E3A8A"/>
        </w:rPr>
        <w:t xml:space="preserve"> as extending throughout the entire month.</w:t>
      </w:r>
      <w:r>
        <w:t xml:space="preserve"> </w:t>
      </w:r>
      <w:r>
        <w:t xml:space="preserve">— </w:t>
      </w:r>
      <w:r>
        <w:rPr>
          <w:i/>
        </w:rPr>
        <w:t>Shefa Kodesh</w:t>
      </w:r>
      <w:r>
        <w:t xml:space="preserve"> is the </w:t>
      </w:r>
      <w:r>
        <w:rPr>
          <w:i/>
        </w:rPr>
        <w:t>sefer</w:t>
      </w:r>
      <w:r>
        <w:t xml:space="preserve"> of </w:t>
      </w:r>
      <w:r>
        <w:rPr>
          <w:i/>
        </w:rPr>
        <w:t>Rabbi Yissachar Dov of Belz</w:t>
      </w:r>
      <w:r>
        <w:t xml:space="preserve"> (1854–1926, third </w:t>
      </w:r>
      <w:r>
        <w:rPr>
          <w:i/>
        </w:rPr>
        <w:t>Rebbe</w:t>
      </w:r>
      <w:r>
        <w:t xml:space="preserve"> of Belz) on the </w:t>
      </w:r>
      <w:r>
        <w:rPr>
          <w:i/>
        </w:rPr>
        <w:t>Torah</w:t>
      </w:r>
      <w:r>
        <w:t xml:space="preserve"> and </w:t>
      </w:r>
      <w:r>
        <w:rPr>
          <w:i/>
        </w:rPr>
        <w:t>mo’adim</w:t>
      </w:r>
      <w:r>
        <w:t xml:space="preserve">, in the </w:t>
      </w:r>
      <w:r>
        <w:rPr>
          <w:i/>
        </w:rPr>
        <w:t>mesorah</w:t>
      </w:r>
      <w:r>
        <w:t xml:space="preserve"> of his grandfather the </w:t>
      </w:r>
      <w:r>
        <w:rPr>
          <w:i/>
        </w:rPr>
        <w:t>Sar Shalom of Belz</w:t>
      </w:r>
      <w:r>
        <w:t xml:space="preserve">. He develops the kabbalistic-chassidishe reading that the entire month of </w:t>
      </w:r>
      <w:r>
        <w:rPr>
          <w:i/>
        </w:rPr>
        <w:t>Nissan</w:t>
      </w:r>
      <w:r>
        <w:t xml:space="preserve">, anchored by </w:t>
      </w:r>
      <w:r>
        <w:rPr>
          <w:i/>
        </w:rPr>
        <w:t>Pesach</w:t>
      </w:r>
      <w:r>
        <w:t xml:space="preserve"> and the redemption from </w:t>
      </w:r>
      <w:r>
        <w:rPr>
          <w:i/>
        </w:rPr>
        <w:t>Mitzrayim</w:t>
      </w:r>
      <w:r>
        <w:t xml:space="preserve">, carries the </w:t>
      </w:r>
      <w:r>
        <w:rPr>
          <w:i/>
        </w:rPr>
        <w:t>kedushah</w:t>
      </w:r>
      <w:r>
        <w:t xml:space="preserve"> of </w:t>
      </w:r>
      <w:r>
        <w:rPr>
          <w:i/>
        </w:rPr>
        <w:t>Rosh Chodesh</w:t>
      </w:r>
      <w:r>
        <w:t xml:space="preserve"> throughout — explaining the </w:t>
      </w:r>
      <w:r>
        <w:rPr>
          <w:i/>
        </w:rPr>
        <w:t>minhag</w:t>
      </w:r>
      <w:r>
        <w:t xml:space="preserve"> to omit </w:t>
      </w:r>
      <w:r>
        <w:rPr>
          <w:i/>
        </w:rPr>
        <w:t>tachanun</w:t>
      </w:r>
      <w:r>
        <w:t xml:space="preserve"> the entire month and to maintain festive demeanor.</w:t>
      </w:r>
    </w:p>
    <w:p>
      <w:r>
        <w:rPr>
          <w:b/>
          <w:color w:val="1E3A8A"/>
        </w:rPr>
        <w:t xml:space="preserve">28. </w:t>
      </w:r>
      <w:r>
        <w:rPr>
          <w:b/>
          <w:i/>
          <w:color w:val="1E3A8A"/>
        </w:rPr>
        <w:t>Minhag HaGra</w:t>
      </w:r>
      <w:r>
        <w:rPr>
          <w:b/>
          <w:color w:val="1E3A8A"/>
        </w:rPr>
        <w:t xml:space="preserve"> — </w:t>
      </w:r>
      <w:r>
        <w:rPr>
          <w:b/>
          <w:i/>
          <w:color w:val="1E3A8A"/>
        </w:rPr>
        <w:t>Shabbos</w:t>
      </w:r>
      <w:r>
        <w:rPr>
          <w:b/>
          <w:color w:val="1E3A8A"/>
        </w:rPr>
        <w:t xml:space="preserve"> hat (</w:t>
      </w:r>
      <w:r>
        <w:rPr>
          <w:b/>
          <w:i/>
          <w:color w:val="1E3A8A"/>
        </w:rPr>
        <w:t>spodik</w:t>
      </w:r>
      <w:r>
        <w:rPr>
          <w:b/>
          <w:color w:val="1E3A8A"/>
        </w:rPr>
        <w:t xml:space="preserve">) on </w:t>
      </w:r>
      <w:r>
        <w:rPr>
          <w:b/>
          <w:i/>
          <w:color w:val="1E3A8A"/>
        </w:rPr>
        <w:t>Rosh Chodesh</w:t>
      </w:r>
      <w:r>
        <w:rPr>
          <w:b/>
          <w:color w:val="1E3A8A"/>
        </w:rPr>
        <w:t xml:space="preserve">; cf. </w:t>
      </w:r>
      <w:r>
        <w:rPr>
          <w:b/>
          <w:i/>
          <w:color w:val="1E3A8A"/>
        </w:rPr>
        <w:t>Shulchan Aruch Orach Chaim siman</w:t>
      </w:r>
      <w:r>
        <w:rPr>
          <w:b/>
          <w:color w:val="1E3A8A"/>
        </w:rPr>
        <w:t xml:space="preserve"> 419.</w:t>
      </w:r>
      <w:r>
        <w:t xml:space="preserve"> </w:t>
      </w:r>
      <w:r>
        <w:t xml:space="preserve">— Recorded in the </w:t>
      </w:r>
      <w:r>
        <w:rPr>
          <w:i/>
        </w:rPr>
        <w:t>Ma’aseh Rav</w:t>
      </w:r>
      <w:r>
        <w:t xml:space="preserve"> and the </w:t>
      </w:r>
      <w:r>
        <w:rPr>
          <w:i/>
        </w:rPr>
        <w:t>Minhagei HaGra</w:t>
      </w:r>
      <w:r>
        <w:t xml:space="preserve">: </w:t>
      </w:r>
      <w:r>
        <w:rPr>
          <w:i/>
        </w:rPr>
        <w:t>Rabbi Eliyahu of Vilna</w:t>
      </w:r>
      <w:r>
        <w:t xml:space="preserve"> (1720–1797, the </w:t>
      </w:r>
      <w:r>
        <w:rPr>
          <w:i/>
        </w:rPr>
        <w:t>Gra</w:t>
      </w:r>
      <w:r>
        <w:t xml:space="preserve">) wore his </w:t>
      </w:r>
      <w:r>
        <w:rPr>
          <w:i/>
        </w:rPr>
        <w:t>Shabbos</w:t>
      </w:r>
      <w:r>
        <w:t xml:space="preserve"> hat — a </w:t>
      </w:r>
      <w:r>
        <w:rPr>
          <w:i/>
        </w:rPr>
        <w:t>spodik</w:t>
      </w:r>
      <w:r>
        <w:t xml:space="preserve"> in the </w:t>
      </w:r>
      <w:r>
        <w:rPr>
          <w:i/>
        </w:rPr>
        <w:t>levush</w:t>
      </w:r>
      <w:r>
        <w:t xml:space="preserve"> of his time — on </w:t>
      </w:r>
      <w:r>
        <w:rPr>
          <w:i/>
        </w:rPr>
        <w:t>Rosh Chodesh</w:t>
      </w:r>
      <w:r>
        <w:t xml:space="preserve">, but did not change into the rest of his </w:t>
      </w:r>
      <w:r>
        <w:rPr>
          <w:i/>
        </w:rPr>
        <w:t>bigdei Shabbos</w:t>
      </w:r>
      <w:r>
        <w:t xml:space="preserve">. The reasoning preserved by his </w:t>
      </w:r>
      <w:r>
        <w:rPr>
          <w:i/>
        </w:rPr>
        <w:t>talmidim</w:t>
      </w:r>
      <w:r>
        <w:t xml:space="preserve">: </w:t>
      </w:r>
      <w:r>
        <w:rPr>
          <w:i/>
        </w:rPr>
        <w:t>Rosh Chodesh</w:t>
      </w:r>
      <w:r>
        <w:t xml:space="preserve"> is </w:t>
      </w:r>
      <w:r>
        <w:rPr>
          <w:i/>
        </w:rPr>
        <w:t>Yom Tov</w:t>
      </w:r>
      <w:r>
        <w:t xml:space="preserve"> in </w:t>
      </w:r>
      <w:r>
        <w:rPr>
          <w:i/>
        </w:rPr>
        <w:t>kedushah</w:t>
      </w:r>
      <w:r>
        <w:t xml:space="preserve"> but </w:t>
      </w:r>
      <w:r>
        <w:rPr>
          <w:i/>
        </w:rPr>
        <w:t>muttar bi’melachah</w:t>
      </w:r>
      <w:r>
        <w:t xml:space="preserve">; the </w:t>
      </w:r>
      <w:r>
        <w:rPr>
          <w:i/>
        </w:rPr>
        <w:t>neshamah</w:t>
      </w:r>
      <w:r>
        <w:t xml:space="preserve"> experiences the full </w:t>
      </w:r>
      <w:r>
        <w:rPr>
          <w:i/>
        </w:rPr>
        <w:t>Yom Tov</w:t>
      </w:r>
      <w:r>
        <w:t xml:space="preserve"> while the body still does </w:t>
      </w:r>
      <w:r>
        <w:rPr>
          <w:i/>
        </w:rPr>
        <w:t>melachah</w:t>
      </w:r>
      <w:r>
        <w:t xml:space="preserve">, so the head — seat of the </w:t>
      </w:r>
      <w:r>
        <w:rPr>
          <w:i/>
        </w:rPr>
        <w:t>neshamah</w:t>
      </w:r>
      <w:r>
        <w:t xml:space="preserve"> — wears </w:t>
      </w:r>
      <w:r>
        <w:rPr>
          <w:i/>
        </w:rPr>
        <w:t>Shabbos</w:t>
      </w:r>
      <w:r>
        <w:t xml:space="preserve"> garb while the rest of the body does not. The </w:t>
      </w:r>
      <w:r>
        <w:rPr>
          <w:i/>
        </w:rPr>
        <w:t>Shulchan Aruch</w:t>
      </w:r>
      <w:r>
        <w:t xml:space="preserve"> in </w:t>
      </w:r>
      <w:r>
        <w:rPr>
          <w:i/>
        </w:rPr>
        <w:t>siman</w:t>
      </w:r>
      <w:r>
        <w:t xml:space="preserve"> 419 records the broader </w:t>
      </w:r>
      <w:r>
        <w:rPr>
          <w:i/>
        </w:rPr>
        <w:t>minhag</w:t>
      </w:r>
      <w:r>
        <w:t xml:space="preserve"> to wear at least some </w:t>
      </w:r>
      <w:r>
        <w:rPr>
          <w:i/>
        </w:rPr>
        <w:t>bigdei Shabbos</w:t>
      </w:r>
      <w:r>
        <w:t xml:space="preserve"> on </w:t>
      </w:r>
      <w:r>
        <w:rPr>
          <w:i/>
        </w:rPr>
        <w:t>Rosh Chodesh</w:t>
      </w:r>
      <w:r>
        <w:t>.</w:t>
      </w:r>
    </w:p>
    <w:p>
      <w:r>
        <w:rPr>
          <w:b/>
          <w:color w:val="1E3A8A"/>
        </w:rPr>
        <w:t xml:space="preserve">29. </w:t>
      </w:r>
      <w:r>
        <w:rPr>
          <w:b/>
          <w:i/>
          <w:color w:val="1E3A8A"/>
        </w:rPr>
        <w:t>Arizal HaKadosh</w:t>
      </w:r>
      <w:r>
        <w:rPr>
          <w:b/>
          <w:color w:val="1E3A8A"/>
        </w:rPr>
        <w:t xml:space="preserve">, </w:t>
      </w:r>
      <w:r>
        <w:rPr>
          <w:b/>
          <w:i/>
          <w:color w:val="1E3A8A"/>
        </w:rPr>
        <w:t>Peri Etz Chaim</w:t>
      </w:r>
      <w:r>
        <w:rPr>
          <w:b/>
          <w:color w:val="1E3A8A"/>
        </w:rPr>
        <w:t xml:space="preserve"> / </w:t>
      </w:r>
      <w:r>
        <w:rPr>
          <w:b/>
          <w:i/>
          <w:color w:val="1E3A8A"/>
        </w:rPr>
        <w:t>Shaar HaKavvanos</w:t>
      </w:r>
      <w:r>
        <w:rPr>
          <w:b/>
          <w:color w:val="1E3A8A"/>
        </w:rPr>
        <w:t xml:space="preserve"> — </w:t>
      </w:r>
      <w:r>
        <w:rPr>
          <w:b/>
          <w:i/>
          <w:color w:val="1E3A8A"/>
        </w:rPr>
        <w:t>kabbalah</w:t>
      </w:r>
      <w:r>
        <w:rPr>
          <w:b/>
          <w:color w:val="1E3A8A"/>
        </w:rPr>
        <w:t xml:space="preserve"> requirement to recite the full </w:t>
      </w:r>
      <w:r>
        <w:rPr>
          <w:b/>
          <w:i/>
          <w:color w:val="1E3A8A"/>
        </w:rPr>
        <w:t>nusach ha’Kedushah</w:t>
      </w:r>
      <w:r>
        <w:rPr>
          <w:b/>
          <w:color w:val="1E3A8A"/>
        </w:rPr>
        <w:t xml:space="preserve">, including </w:t>
      </w:r>
      <w:r>
        <w:rPr>
          <w:b/>
          <w:i/>
          <w:color w:val="1E3A8A"/>
        </w:rPr>
        <w:t>“L’umasam meshabchim v’omrim.”</w:t>
      </w:r>
      <w:r>
        <w:t xml:space="preserve"> </w:t>
      </w:r>
      <w:r>
        <w:t xml:space="preserve">— </w:t>
      </w:r>
      <w:r>
        <w:rPr>
          <w:i/>
        </w:rPr>
        <w:t>Rabbi Yitzchak Luria</w:t>
      </w:r>
      <w:r>
        <w:t xml:space="preserve"> (the </w:t>
      </w:r>
      <w:r>
        <w:rPr>
          <w:i/>
        </w:rPr>
        <w:t>Arizal</w:t>
      </w:r>
      <w:r>
        <w:t xml:space="preserve">, 1534–1572, Tzfas), as transmitted in </w:t>
      </w:r>
      <w:r>
        <w:rPr>
          <w:i/>
        </w:rPr>
        <w:t>Peri Etz Chaim</w:t>
      </w:r>
      <w:r>
        <w:t xml:space="preserve"> and </w:t>
      </w:r>
      <w:r>
        <w:rPr>
          <w:i/>
        </w:rPr>
        <w:t>Shaar HaKavvanos</w:t>
      </w:r>
      <w:r>
        <w:t xml:space="preserve"> by </w:t>
      </w:r>
      <w:r>
        <w:rPr>
          <w:i/>
        </w:rPr>
        <w:t>Rabbi Chaim Vital</w:t>
      </w:r>
      <w:r>
        <w:t xml:space="preserve">, ruled — against the </w:t>
      </w:r>
      <w:r>
        <w:rPr>
          <w:i/>
        </w:rPr>
        <w:t>Rosh</w:t>
      </w:r>
      <w:r>
        <w:t xml:space="preserve">’s narrow reading — that the </w:t>
      </w:r>
      <w:r>
        <w:rPr>
          <w:i/>
        </w:rPr>
        <w:t>kahal</w:t>
      </w:r>
      <w:r>
        <w:t xml:space="preserve"> recites the entire </w:t>
      </w:r>
      <w:r>
        <w:rPr>
          <w:i/>
        </w:rPr>
        <w:t>nusach ha’Kedushah</w:t>
      </w:r>
      <w:r>
        <w:t xml:space="preserve">: </w:t>
      </w:r>
      <w:r>
        <w:rPr>
          <w:i/>
        </w:rPr>
        <w:t>“Nakdishcha v’na’aritzcha,”</w:t>
      </w:r>
      <w:r>
        <w:t xml:space="preserve"> the bridging phrases (</w:t>
      </w:r>
      <w:r>
        <w:rPr>
          <w:i/>
        </w:rPr>
        <w:t>“L’umasam meshabchim v’omrim”</w:t>
      </w:r>
      <w:r>
        <w:t xml:space="preserve">), and the third </w:t>
      </w:r>
      <w:r>
        <w:rPr>
          <w:i/>
        </w:rPr>
        <w:t>pasuk</w:t>
      </w:r>
      <w:r>
        <w:t xml:space="preserve">. The basis is kabbalistic: each phrase corresponds to a specific </w:t>
      </w:r>
      <w:r>
        <w:rPr>
          <w:i/>
        </w:rPr>
        <w:t>tikkun</w:t>
      </w:r>
      <w:r>
        <w:t xml:space="preserve"> in the upper worlds, and the </w:t>
      </w:r>
      <w:r>
        <w:rPr>
          <w:i/>
        </w:rPr>
        <w:t>kahal</w:t>
      </w:r>
      <w:r>
        <w:t xml:space="preserve">’s participation is essential to the structural ascent. The </w:t>
      </w:r>
      <w:r>
        <w:rPr>
          <w:i/>
        </w:rPr>
        <w:t>Ashkenazi</w:t>
      </w:r>
      <w:r>
        <w:t xml:space="preserve"> </w:t>
      </w:r>
      <w:r>
        <w:rPr>
          <w:i/>
        </w:rPr>
        <w:t>minhag</w:t>
      </w:r>
      <w:r>
        <w:t xml:space="preserve"> follows the </w:t>
      </w:r>
      <w:r>
        <w:rPr>
          <w:i/>
        </w:rPr>
        <w:t>Arizal</w:t>
      </w:r>
      <w:r>
        <w:t xml:space="preserve">; the Litvish </w:t>
      </w:r>
      <w:r>
        <w:rPr>
          <w:i/>
        </w:rPr>
        <w:t>minhag</w:t>
      </w:r>
      <w:r>
        <w:t xml:space="preserve"> follows the </w:t>
      </w:r>
      <w:r>
        <w:rPr>
          <w:i/>
        </w:rPr>
        <w:t>Rosh</w:t>
      </w:r>
      <w:r>
        <w:t xml:space="preserve">. </w:t>
      </w:r>
      <w:r>
        <w:rPr>
          <w:i/>
        </w:rPr>
        <w:t>Magen Avraham</w:t>
      </w:r>
      <w:r>
        <w:t xml:space="preserve">’s qualification (recite quietly, after the </w:t>
      </w:r>
      <w:r>
        <w:rPr>
          <w:i/>
        </w:rPr>
        <w:t>chazan</w:t>
      </w:r>
      <w:r>
        <w:t xml:space="preserve">) is the harmonizing </w:t>
      </w:r>
      <w:r>
        <w:rPr>
          <w:i/>
        </w:rPr>
        <w:t>pesak</w:t>
      </w:r>
      <w:r>
        <w:t>.</w:t>
      </w:r>
    </w:p>
    <w:p>
      <w:pPr>
        <w:pBdr>
          <w:bottom w:val="single" w:sz="6" w:space="1" w:color="B8860B"/>
        </w:pBdr>
      </w:pPr>
    </w:p>
    <w:p>
      <w:pPr>
        <w:jc w:val="center"/>
      </w:pPr>
      <w:r>
        <w:rPr>
          <w:i/>
          <w:color w:val="5A4B1A"/>
          <w:sz w:val="18"/>
        </w:rPr>
        <w:br/>
        <w:t xml:space="preserve">  Sefer Edition of Rabbi Ephrati’s Sunday-morning </w:t>
      </w:r>
      <w:r>
        <w:rPr>
          <w:i/>
          <w:color w:val="5A4B1A"/>
          <w:sz w:val="18"/>
        </w:rPr>
        <w:t>shiur</w:t>
      </w:r>
      <w:r>
        <w:rPr>
          <w:i/>
          <w:color w:val="5A4B1A"/>
          <w:sz w:val="18"/>
        </w:rPr>
        <w:t xml:space="preserve"> on </w:t>
      </w:r>
      <w:r>
        <w:rPr>
          <w:i/>
          <w:color w:val="5A4B1A"/>
          <w:sz w:val="18"/>
        </w:rPr>
        <w:t>Tefillah</w:t>
      </w:r>
      <w:r>
        <w:rPr>
          <w:i/>
          <w:color w:val="5A4B1A"/>
          <w:sz w:val="18"/>
        </w:rPr>
        <w:t xml:space="preserve">, recorded </w:t>
      </w:r>
      <w:r>
        <w:rPr>
          <w:rFonts w:ascii="David" w:hAnsi="David"/>
          <w:i/>
          <w:color w:val="5A4B1A"/>
          <w:sz w:val="18"/>
        </w:rPr>
        <w:t>ראש חודש ניסן תשפ"ה</w:t>
      </w:r>
      <w:r>
        <w:rPr>
          <w:i/>
          <w:color w:val="5A4B1A"/>
          <w:sz w:val="18"/>
        </w:rPr>
        <w:t xml:space="preserve"> · 30 March 2025 — </w:t>
      </w:r>
      <w:r>
        <w:rPr>
          <w:i/>
          <w:color w:val="5A4B1A"/>
          <w:sz w:val="18"/>
        </w:rPr>
        <w:t>Kedushah</w:t>
      </w:r>
      <w:r>
        <w:rPr>
          <w:i/>
          <w:color w:val="5A4B1A"/>
          <w:sz w:val="18"/>
        </w:rPr>
        <w:t xml:space="preserve"> as a daily </w:t>
      </w:r>
      <w:r>
        <w:rPr>
          <w:i/>
          <w:color w:val="5A4B1A"/>
          <w:sz w:val="18"/>
        </w:rPr>
        <w:t>mitzvah de’oraisa</w:t>
      </w:r>
      <w:r>
        <w:rPr>
          <w:i/>
          <w:color w:val="5A4B1A"/>
          <w:sz w:val="18"/>
        </w:rPr>
        <w:t xml:space="preserve"> of </w:t>
      </w:r>
      <w:r>
        <w:rPr>
          <w:i/>
          <w:color w:val="5A4B1A"/>
          <w:sz w:val="18"/>
        </w:rPr>
        <w:t>“v’nikdashti b’soch Bnei Yisrael”</w:t>
      </w:r>
      <w:r>
        <w:rPr>
          <w:i/>
          <w:color w:val="5A4B1A"/>
          <w:sz w:val="18"/>
        </w:rPr>
        <w:t xml:space="preserve">; the architecture of the </w:t>
      </w:r>
      <w:r>
        <w:rPr>
          <w:i/>
          <w:color w:val="5A4B1A"/>
          <w:sz w:val="18"/>
        </w:rPr>
        <w:t>nusach</w:t>
      </w:r>
      <w:r>
        <w:rPr>
          <w:i/>
          <w:color w:val="5A4B1A"/>
          <w:sz w:val="18"/>
        </w:rPr>
        <w:t xml:space="preserve"> with the insertion of </w:t>
      </w:r>
      <w:r>
        <w:rPr>
          <w:i/>
          <w:color w:val="5A4B1A"/>
          <w:sz w:val="18"/>
        </w:rPr>
        <w:t>David HaMelech</w:t>
      </w:r>
      <w:r>
        <w:rPr>
          <w:i/>
          <w:color w:val="5A4B1A"/>
          <w:sz w:val="18"/>
        </w:rPr>
        <w:t xml:space="preserve">’s </w:t>
      </w:r>
      <w:r>
        <w:rPr>
          <w:i/>
          <w:color w:val="5A4B1A"/>
          <w:sz w:val="18"/>
        </w:rPr>
        <w:t>pasuk</w:t>
      </w:r>
      <w:r>
        <w:rPr>
          <w:i/>
          <w:color w:val="5A4B1A"/>
          <w:sz w:val="18"/>
        </w:rPr>
        <w:t xml:space="preserve">; the </w:t>
      </w:r>
      <w:r>
        <w:rPr>
          <w:i/>
          <w:color w:val="5A4B1A"/>
          <w:sz w:val="18"/>
        </w:rPr>
        <w:t>Rosh</w:t>
      </w:r>
      <w:r>
        <w:rPr>
          <w:i/>
          <w:color w:val="5A4B1A"/>
          <w:sz w:val="18"/>
        </w:rPr>
        <w:t>/</w:t>
      </w:r>
      <w:r>
        <w:rPr>
          <w:i/>
          <w:color w:val="5A4B1A"/>
          <w:sz w:val="18"/>
        </w:rPr>
        <w:t>Arizal</w:t>
      </w:r>
      <w:r>
        <w:rPr>
          <w:i/>
          <w:color w:val="5A4B1A"/>
          <w:sz w:val="18"/>
        </w:rPr>
        <w:t xml:space="preserve"> </w:t>
      </w:r>
      <w:r>
        <w:rPr>
          <w:i/>
          <w:color w:val="5A4B1A"/>
          <w:sz w:val="18"/>
        </w:rPr>
        <w:t>machlokes</w:t>
      </w:r>
      <w:r>
        <w:rPr>
          <w:i/>
          <w:color w:val="5A4B1A"/>
          <w:sz w:val="18"/>
        </w:rPr>
        <w:t xml:space="preserve"> harmonized by the </w:t>
      </w:r>
      <w:r>
        <w:rPr>
          <w:i/>
          <w:color w:val="5A4B1A"/>
          <w:sz w:val="18"/>
        </w:rPr>
        <w:t>Magen Avraham</w:t>
      </w:r>
      <w:r>
        <w:rPr>
          <w:i/>
          <w:color w:val="5A4B1A"/>
          <w:sz w:val="18"/>
        </w:rPr>
        <w:t xml:space="preserve">; the mystical romance depicted in </w:t>
      </w:r>
      <w:r>
        <w:rPr>
          <w:i/>
          <w:color w:val="5A4B1A"/>
          <w:sz w:val="18"/>
        </w:rPr>
        <w:t>Pirkei Heichalos</w:t>
      </w:r>
      <w:r>
        <w:rPr>
          <w:i/>
          <w:color w:val="5A4B1A"/>
          <w:sz w:val="18"/>
        </w:rPr>
        <w:t xml:space="preserve">; </w:t>
      </w:r>
      <w:r>
        <w:rPr>
          <w:i/>
          <w:color w:val="5A4B1A"/>
          <w:sz w:val="18"/>
        </w:rPr>
        <w:t>Rabbeinu Kalonymus HaZakein</w:t>
      </w:r>
      <w:r>
        <w:rPr>
          <w:i/>
          <w:color w:val="5A4B1A"/>
          <w:sz w:val="18"/>
        </w:rPr>
        <w:t xml:space="preserve"> from the Crusades through the burial in the </w:t>
      </w:r>
      <w:r>
        <w:rPr>
          <w:i/>
          <w:color w:val="5A4B1A"/>
          <w:sz w:val="18"/>
        </w:rPr>
        <w:t>mikveh</w:t>
      </w:r>
      <w:r>
        <w:rPr>
          <w:i/>
          <w:color w:val="5A4B1A"/>
          <w:sz w:val="18"/>
        </w:rPr>
        <w:t xml:space="preserve">; and </w:t>
      </w:r>
      <w:r>
        <w:rPr>
          <w:i/>
          <w:color w:val="5A4B1A"/>
          <w:sz w:val="18"/>
        </w:rPr>
        <w:t>Rav Pirkoi ben Baboi</w:t>
      </w:r>
      <w:r>
        <w:rPr>
          <w:i/>
          <w:color w:val="5A4B1A"/>
          <w:sz w:val="18"/>
        </w:rPr>
        <w:t xml:space="preserve">’s letter from the Cairo Geniza. This edition rewrites the delivered </w:t>
      </w:r>
      <w:r>
        <w:rPr>
          <w:i/>
          <w:color w:val="5A4B1A"/>
          <w:sz w:val="18"/>
        </w:rPr>
        <w:t>shiur</w:t>
      </w:r>
      <w:r>
        <w:rPr>
          <w:i/>
          <w:color w:val="5A4B1A"/>
          <w:sz w:val="18"/>
        </w:rPr>
        <w:t xml:space="preserve"> in the classical sefer voice; sharpens the </w:t>
      </w:r>
      <w:r>
        <w:rPr>
          <w:i/>
          <w:color w:val="5A4B1A"/>
          <w:sz w:val="18"/>
        </w:rPr>
        <w:t>Rabbeinu Kalonymus</w:t>
      </w:r>
      <w:r>
        <w:rPr>
          <w:i/>
          <w:color w:val="5A4B1A"/>
          <w:sz w:val="18"/>
        </w:rPr>
        <w:t xml:space="preserve"> / </w:t>
      </w:r>
      <w:r>
        <w:rPr>
          <w:i/>
          <w:color w:val="5A4B1A"/>
          <w:sz w:val="18"/>
        </w:rPr>
        <w:t>Rashi</w:t>
      </w:r>
      <w:r>
        <w:rPr>
          <w:i/>
          <w:color w:val="5A4B1A"/>
          <w:sz w:val="18"/>
        </w:rPr>
        <w:t xml:space="preserve"> dispute; sets the </w:t>
      </w:r>
      <w:r>
        <w:rPr>
          <w:i/>
          <w:color w:val="5A4B1A"/>
          <w:sz w:val="18"/>
        </w:rPr>
        <w:t>Shefa Kodesh</w:t>
      </w:r>
      <w:r>
        <w:rPr>
          <w:i/>
          <w:color w:val="5A4B1A"/>
          <w:sz w:val="18"/>
        </w:rPr>
        <w:t xml:space="preserve"> in continuity with the </w:t>
      </w:r>
      <w:r>
        <w:rPr>
          <w:i/>
          <w:color w:val="5A4B1A"/>
          <w:sz w:val="18"/>
        </w:rPr>
        <w:t>Gemara</w:t>
      </w:r>
      <w:r>
        <w:rPr>
          <w:i/>
          <w:color w:val="5A4B1A"/>
          <w:sz w:val="18"/>
        </w:rPr>
        <w:t xml:space="preserve"> in </w:t>
      </w:r>
      <w:r>
        <w:rPr>
          <w:i/>
          <w:color w:val="5A4B1A"/>
          <w:sz w:val="18"/>
        </w:rPr>
        <w:t>Shevuos</w:t>
      </w:r>
      <w:r>
        <w:rPr>
          <w:i/>
          <w:color w:val="5A4B1A"/>
          <w:sz w:val="18"/>
        </w:rPr>
        <w:t xml:space="preserve">; and closes with a practical summary of the six items to internalize before the next </w:t>
      </w:r>
      <w:r>
        <w:rPr>
          <w:i/>
          <w:color w:val="5A4B1A"/>
          <w:sz w:val="18"/>
        </w:rPr>
        <w:t>Kedushah</w:t>
      </w:r>
      <w:r>
        <w:rPr>
          <w:i/>
          <w:color w:val="5A4B1A"/>
          <w:sz w:val="18"/>
        </w:rPr>
        <w:t>.</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