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אַתָּה קָדוֹשׁ, הַכּוּזָרִי, וְאַתָּה חוֹנֵן</w:t>
      </w:r>
    </w:p>
    <w:p>
      <w:pPr>
        <w:pBdr>
          <w:bottom w:val="single" w:sz="6" w:space="1" w:color="B8860B"/>
        </w:pBdr>
      </w:pPr>
    </w:p>
    <w:p>
      <w:r>
        <w:rPr>
          <w:i/>
        </w:rPr>
        <w:t xml:space="preserve">Returning to the running track of </w:t>
      </w:r>
      <w:r>
        <w:rPr>
          <w:rFonts w:ascii="David" w:hAnsi="David"/>
          <w:i/>
        </w:rPr>
        <w:t>שמונה עשרה</w:t>
      </w:r>
      <w:r>
        <w:rPr>
          <w:i/>
        </w:rPr>
        <w:t xml:space="preserve"> after the pre-Pesach detour through </w:t>
      </w:r>
      <w:r>
        <w:rPr>
          <w:rFonts w:ascii="David" w:hAnsi="David"/>
          <w:i/>
        </w:rPr>
        <w:t>קדושה</w:t>
      </w:r>
      <w:r>
        <w:rPr>
          <w:i/>
        </w:rPr>
        <w:t xml:space="preserve">. The opening triad of </w:t>
      </w:r>
      <w:r>
        <w:rPr>
          <w:i/>
        </w:rPr>
        <w:t>berachos</w:t>
      </w:r>
      <w:r>
        <w:rPr>
          <w:i/>
        </w:rPr>
        <w:t xml:space="preserve"> closes; the body of </w:t>
      </w:r>
      <w:r>
        <w:rPr>
          <w:i/>
        </w:rPr>
        <w:t>bakashos</w:t>
      </w:r>
      <w:r>
        <w:rPr>
          <w:i/>
        </w:rPr>
        <w:t xml:space="preserve"> opens; and between them stands the deepest question a </w:t>
      </w:r>
      <w:r>
        <w:rPr>
          <w:i/>
        </w:rPr>
        <w:t>mispallel</w:t>
      </w:r>
      <w:r>
        <w:rPr>
          <w:i/>
        </w:rPr>
        <w:t xml:space="preserve"> asks in a lifetime of davening — what does it mean to call </w:t>
      </w:r>
      <w:r>
        <w:rPr>
          <w:rFonts w:ascii="David" w:hAnsi="David"/>
          <w:i/>
        </w:rPr>
        <w:t>הקדוש ברוך הוא</w:t>
      </w:r>
      <w:r>
        <w:rPr>
          <w:i/>
        </w:rPr>
        <w:t xml:space="preserve"> </w:t>
      </w:r>
      <w:r>
        <w:rPr>
          <w:i/>
        </w:rPr>
        <w:t>kadosh</w:t>
      </w:r>
      <w:r>
        <w:rPr>
          <w:i/>
        </w:rPr>
        <w:t>, and what does it mean for us.</w:t>
      </w:r>
    </w:p>
    <w:p>
      <w:r>
        <w:rPr>
          <w:b/>
          <w:color w:val="1E3A8A"/>
          <w:sz w:val="26"/>
        </w:rPr>
        <w:t>I. THE RETURN TO THE RUNNING TRACK</w:t>
      </w:r>
    </w:p>
    <w:p>
      <w:pPr>
        <w:pBdr>
          <w:bottom w:val="single" w:sz="6" w:space="1" w:color="B8860B"/>
        </w:pBdr>
      </w:pPr>
    </w:p>
    <w:p>
      <w:r>
        <w:t xml:space="preserve">Before </w:t>
      </w:r>
      <w:r>
        <w:rPr>
          <w:i/>
        </w:rPr>
        <w:t>Pesach</w:t>
      </w:r>
      <w:r>
        <w:t xml:space="preserve"> of the previous year, this </w:t>
      </w:r>
      <w:r>
        <w:rPr>
          <w:i/>
        </w:rPr>
        <w:t>chaburah</w:t>
      </w:r>
      <w:r>
        <w:t xml:space="preserve"> completed a sustained study of </w:t>
      </w:r>
      <w:r>
        <w:rPr>
          <w:i/>
        </w:rPr>
        <w:t>Kedushah</w:t>
      </w:r>
      <w:r>
        <w:t xml:space="preserve"> (</w:t>
      </w:r>
      <w:r>
        <w:rPr>
          <w:rFonts w:ascii="David" w:hAnsi="David"/>
        </w:rPr>
        <w:t>קדושה</w:t>
      </w:r>
      <w:r>
        <w:t xml:space="preserve">). That detour was structural, not accidental: in the </w:t>
      </w:r>
      <w:r>
        <w:rPr>
          <w:i/>
        </w:rPr>
        <w:t>chazaras ha’shatz</w:t>
      </w:r>
      <w:r>
        <w:t xml:space="preserve"> (</w:t>
      </w:r>
      <w:r>
        <w:rPr>
          <w:rFonts w:ascii="David" w:hAnsi="David"/>
        </w:rPr>
        <w:t>חזרת הש"ץ</w:t>
      </w:r>
      <w:r>
        <w:t xml:space="preserve">), </w:t>
      </w:r>
      <w:r>
        <w:rPr>
          <w:i/>
        </w:rPr>
        <w:t>Kedushah</w:t>
      </w:r>
      <w:r>
        <w:t xml:space="preserve"> stands in the mouth of the </w:t>
      </w:r>
      <w:r>
        <w:rPr>
          <w:i/>
        </w:rPr>
        <w:t>tzibbur</w:t>
      </w:r>
      <w:r>
        <w:t xml:space="preserve"> just before the third </w:t>
      </w:r>
      <w:r>
        <w:rPr>
          <w:i/>
        </w:rPr>
        <w:t>berachah</w:t>
      </w:r>
      <w:r>
        <w:t xml:space="preserve"> of </w:t>
      </w:r>
      <w:r>
        <w:rPr>
          <w:i/>
        </w:rPr>
        <w:t>Shemoneh Esrei</w:t>
      </w:r>
      <w:r>
        <w:t xml:space="preserve"> (</w:t>
      </w:r>
      <w:r>
        <w:rPr>
          <w:rFonts w:ascii="David" w:hAnsi="David"/>
        </w:rPr>
        <w:t>שמונה עשרה</w:t>
      </w:r>
      <w:r>
        <w:t xml:space="preserve">), and no account of the third </w:t>
      </w:r>
      <w:r>
        <w:rPr>
          <w:i/>
        </w:rPr>
        <w:t>berachah</w:t>
      </w:r>
      <w:r>
        <w:t xml:space="preserve"> can be given without first understanding what precedes it. That work having been done, the running track resumes: the third </w:t>
      </w:r>
      <w:r>
        <w:rPr>
          <w:i/>
        </w:rPr>
        <w:t>berachah</w:t>
      </w:r>
      <w:r>
        <w:t xml:space="preserve"> itself, and then the body of the </w:t>
      </w:r>
      <w:r>
        <w:rPr>
          <w:i/>
        </w:rPr>
        <w:t>Amidah</w:t>
      </w:r>
      <w:r>
        <w:t xml:space="preserve"> that follows.</w:t>
      </w:r>
    </w:p>
    <w:p>
      <w:r>
        <w:t xml:space="preserve">The governing question of the entire series returns each time. Where does each </w:t>
      </w:r>
      <w:r>
        <w:rPr>
          <w:i/>
        </w:rPr>
        <w:t>berachah</w:t>
      </w:r>
      <w:r>
        <w:t xml:space="preserve"> come from? Why did the </w:t>
      </w:r>
      <w:r>
        <w:rPr>
          <w:i/>
        </w:rPr>
        <w:t>Chachomim</w:t>
      </w:r>
      <w:r>
        <w:t xml:space="preserve"> (</w:t>
      </w:r>
      <w:r>
        <w:rPr>
          <w:rFonts w:ascii="David" w:hAnsi="David"/>
        </w:rPr>
        <w:t>חכמים</w:t>
      </w:r>
      <w:r>
        <w:t xml:space="preserve">) arrange them in this </w:t>
      </w:r>
      <w:r>
        <w:rPr>
          <w:i/>
        </w:rPr>
        <w:t>seder</w:t>
      </w:r>
      <w:r>
        <w:t xml:space="preserve"> (</w:t>
      </w:r>
      <w:r>
        <w:rPr>
          <w:rFonts w:ascii="David" w:hAnsi="David"/>
        </w:rPr>
        <w:t>סדר</w:t>
      </w:r>
      <w:r>
        <w:t xml:space="preserve">) and no other? Each answer, when it comes, illuminates not only the specific </w:t>
      </w:r>
      <w:r>
        <w:rPr>
          <w:i/>
        </w:rPr>
        <w:t>berachah</w:t>
      </w:r>
      <w:r>
        <w:t xml:space="preserve"> at hand but the architecture of Jewish </w:t>
      </w:r>
      <w:r>
        <w:rPr>
          <w:i/>
        </w:rPr>
        <w:t>tefillah</w:t>
      </w:r>
      <w:r>
        <w:t xml:space="preserve"> as a whole.</w:t>
      </w:r>
    </w:p>
    <w:p>
      <w:r>
        <w:rPr>
          <w:b/>
          <w:color w:val="1E3A8A"/>
          <w:sz w:val="26"/>
        </w:rPr>
        <w:t>II. THE SEDER OF THE FIRST THREE BERACHOS</w:t>
      </w:r>
    </w:p>
    <w:p>
      <w:pPr>
        <w:pBdr>
          <w:bottom w:val="single" w:sz="6" w:space="1" w:color="B8860B"/>
        </w:pBdr>
      </w:pPr>
    </w:p>
    <w:p>
      <w:r>
        <w:rPr>
          <w:i/>
          <w:color w:val="B8860B"/>
          <w:sz w:val="24"/>
        </w:rPr>
        <w:t>The Derashah of the Gemara in Megillah</w:t>
      </w:r>
    </w:p>
    <w:p>
      <w:r>
        <w:t xml:space="preserve">The </w:t>
      </w:r>
      <w:r>
        <w:rPr>
          <w:i/>
        </w:rPr>
        <w:t>Gemara</w:t>
      </w:r>
      <w:r>
        <w:t xml:space="preserve"> (</w:t>
      </w:r>
      <w:r>
        <w:rPr>
          <w:rFonts w:ascii="David" w:hAnsi="David"/>
        </w:rPr>
        <w:t>גמרא</w:t>
      </w:r>
      <w:r>
        <w:t xml:space="preserve">) in </w:t>
      </w:r>
      <w:r>
        <w:rPr>
          <w:i/>
        </w:rPr>
        <w:t>Megillah</w:t>
      </w:r>
      <w:r>
        <w:rPr>
          <w:color w:val="B8860B"/>
          <w:sz w:val="16"/>
          <w:vertAlign w:val="superscript"/>
        </w:rPr>
        <w:t>[1]</w:t>
      </w:r>
      <w:r>
        <w:t xml:space="preserve"> derives the </w:t>
      </w:r>
      <w:r>
        <w:rPr>
          <w:i/>
        </w:rPr>
        <w:t>seder</w:t>
      </w:r>
      <w:r>
        <w:t xml:space="preserve"> of the first three </w:t>
      </w:r>
      <w:r>
        <w:rPr>
          <w:i/>
        </w:rPr>
        <w:t>berachos</w:t>
      </w:r>
      <w:r>
        <w:t xml:space="preserve"> from a single </w:t>
      </w:r>
      <w:r>
        <w:rPr>
          <w:i/>
        </w:rPr>
        <w:t>pasuk</w:t>
      </w:r>
      <w:r>
        <w:t xml:space="preserve"> in </w:t>
      </w:r>
      <w:r>
        <w:rPr>
          <w:i/>
        </w:rPr>
        <w:t>Tehillim</w:t>
      </w:r>
      <w:r>
        <w:t>,</w:t>
      </w:r>
      <w:r>
        <w:rPr>
          <w:color w:val="B8860B"/>
          <w:sz w:val="16"/>
          <w:vertAlign w:val="superscript"/>
        </w:rPr>
        <w:t>[2]</w:t>
      </w:r>
      <w:r>
        <w:t xml:space="preserve"> the </w:t>
      </w:r>
      <w:r>
        <w:rPr>
          <w:i/>
        </w:rPr>
        <w:t>mizmor</w:t>
      </w:r>
      <w:r>
        <w:t xml:space="preserve"> that opens </w:t>
      </w:r>
      <w:r>
        <w:rPr>
          <w:i/>
        </w:rPr>
        <w:t>Havu Lashem Bnei Elim</w:t>
      </w:r>
      <w:r>
        <w:t>:</w:t>
      </w:r>
    </w:p>
    <w:p>
      <w:pPr>
        <w:ind w:left="432"/>
      </w:pPr>
      <w:r>
        <w:rPr>
          <w:i/>
        </w:rPr>
        <w:br/>
      </w:r>
      <w:r>
        <w:rPr>
          <w:rFonts w:ascii="David" w:hAnsi="David"/>
          <w:i/>
        </w:rPr>
        <w:t>הָבוּ לַה' בְּנֵי אֵלִים, הָבוּ לַה' כָּבוֹד וָעֹז. הָבוּ לַה' כְּבוֹד שְׁמוֹ, הִשְׁתַּחֲווּ לַה' בְּהַדְרַת קֹדֶשׁ.</w:t>
      </w:r>
      <w:r>
        <w:rPr>
          <w:i/>
        </w:rPr>
        <w:br/>
      </w:r>
      <w:r>
        <w:rPr>
          <w:i/>
        </w:rPr>
        <w:t>Ascribe to Hashem, O sons of might, ascribe to Hashem glory and strength. Ascribe to Hashem the glory of His name; bow to Hashem in the majesty of holiness.</w:t>
      </w:r>
      <w:r>
        <w:rPr>
          <w:i/>
        </w:rPr>
        <w:br/>
      </w:r>
      <w:r>
        <w:rPr>
          <w:i/>
        </w:rPr>
        <w:t>Tehillim</w:t>
      </w:r>
      <w:r>
        <w:rPr>
          <w:i/>
        </w:rPr>
        <w:t xml:space="preserve"> 29:1–2</w:t>
      </w:r>
      <w:r>
        <w:rPr>
          <w:i/>
        </w:rPr>
        <w:br/>
      </w:r>
    </w:p>
    <w:p>
      <w:r>
        <w:t xml:space="preserve">The three clauses of the </w:t>
      </w:r>
      <w:r>
        <w:rPr>
          <w:i/>
        </w:rPr>
        <w:t>pasuk</w:t>
      </w:r>
      <w:r>
        <w:t xml:space="preserve"> map exactly onto the opening triad of the </w:t>
      </w:r>
      <w:r>
        <w:rPr>
          <w:i/>
        </w:rPr>
        <w:t>Amidah</w:t>
      </w:r>
      <w:r>
        <w:t>:</w:t>
      </w:r>
    </w:p>
    <w:p>
      <w:r>
        <w:t xml:space="preserve">The </w:t>
      </w:r>
      <w:r>
        <w:rPr>
          <w:i/>
        </w:rPr>
        <w:t>Chachomim</w:t>
      </w:r>
      <w:r>
        <w:t xml:space="preserve"> did not compose an arbitrary sequence of praises and then hunt for scriptural support. The order of the </w:t>
      </w:r>
      <w:r>
        <w:rPr>
          <w:i/>
        </w:rPr>
        <w:t>berachos</w:t>
      </w:r>
      <w:r>
        <w:t xml:space="preserve"> is embedded in a single </w:t>
      </w:r>
      <w:r>
        <w:rPr>
          <w:i/>
        </w:rPr>
        <w:t>pasuk</w:t>
      </w:r>
      <w:r>
        <w:t xml:space="preserve">; the </w:t>
      </w:r>
      <w:r>
        <w:rPr>
          <w:i/>
        </w:rPr>
        <w:t>Chachomim</w:t>
      </w:r>
      <w:r>
        <w:t xml:space="preserve"> perceived it there and unfolded it into </w:t>
      </w:r>
      <w:r>
        <w:rPr>
          <w:i/>
        </w:rPr>
        <w:t>tefillah</w:t>
      </w:r>
      <w:r>
        <w:t>.</w:t>
      </w:r>
    </w:p>
    <w:p>
      <w:r>
        <w:rPr>
          <w:b/>
          <w:color w:val="1E3A8A"/>
          <w:sz w:val="26"/>
        </w:rPr>
        <w:t>III. THE DOUBLED PRAISE — ATAH KADOSH V’SHIMCHA KADOSH</w:t>
      </w:r>
    </w:p>
    <w:p>
      <w:pPr>
        <w:pBdr>
          <w:bottom w:val="single" w:sz="6" w:space="1" w:color="B8860B"/>
        </w:pBdr>
      </w:pPr>
    </w:p>
    <w:p>
      <w:r>
        <w:rPr>
          <w:i/>
          <w:color w:val="B8860B"/>
          <w:sz w:val="24"/>
        </w:rPr>
        <w:t>A Doubling Without Parallel</w:t>
      </w:r>
    </w:p>
    <w:p>
      <w:r>
        <w:t xml:space="preserve">The third </w:t>
      </w:r>
      <w:r>
        <w:rPr>
          <w:i/>
        </w:rPr>
        <w:t>berachah</w:t>
      </w:r>
      <w:r>
        <w:t xml:space="preserve"> contains a feature found nowhere else in </w:t>
      </w:r>
      <w:r>
        <w:rPr>
          <w:i/>
        </w:rPr>
        <w:t>Shemoneh Esrei</w:t>
      </w:r>
      <w:r>
        <w:t xml:space="preserve">: a doubled praise. </w:t>
      </w:r>
      <w:r>
        <w:rPr>
          <w:i/>
        </w:rPr>
        <w:t>Atah Kadosh V’Shimcha Kadosh</w:t>
      </w:r>
      <w:r>
        <w:t xml:space="preserve"> (</w:t>
      </w:r>
      <w:r>
        <w:rPr>
          <w:rFonts w:ascii="David" w:hAnsi="David"/>
        </w:rPr>
        <w:t>אתה קדוש ושמך קדוש</w:t>
      </w:r>
      <w:r>
        <w:t xml:space="preserve">). Every other </w:t>
      </w:r>
      <w:r>
        <w:rPr>
          <w:i/>
        </w:rPr>
        <w:t>berachah</w:t>
      </w:r>
      <w:r>
        <w:t xml:space="preserve"> of the </w:t>
      </w:r>
      <w:r>
        <w:rPr>
          <w:i/>
        </w:rPr>
        <w:t>Amidah</w:t>
      </w:r>
      <w:r>
        <w:t xml:space="preserve"> expresses one concept — </w:t>
      </w:r>
      <w:r>
        <w:rPr>
          <w:i/>
        </w:rPr>
        <w:t>Atah Chonen</w:t>
      </w:r>
      <w:r>
        <w:t xml:space="preserve">, </w:t>
      </w:r>
      <w:r>
        <w:rPr>
          <w:i/>
        </w:rPr>
        <w:t>Hashiveinu</w:t>
      </w:r>
      <w:r>
        <w:t xml:space="preserve">, </w:t>
      </w:r>
      <w:r>
        <w:rPr>
          <w:i/>
        </w:rPr>
        <w:t>Selach Lanu</w:t>
      </w:r>
      <w:r>
        <w:t xml:space="preserve">. Only here does the praise repeat: </w:t>
      </w:r>
      <w:r>
        <w:rPr>
          <w:i/>
        </w:rPr>
        <w:t>You are holy, and Your name is holy</w:t>
      </w:r>
      <w:r>
        <w:t>. The question presents itself immediately: what work does the doubling do?</w:t>
      </w:r>
    </w:p>
    <w:p>
      <w:r>
        <w:rPr>
          <w:i/>
          <w:color w:val="B8860B"/>
          <w:sz w:val="24"/>
        </w:rPr>
        <w:t>The Reading of the Zohar HaKadosh</w:t>
      </w:r>
    </w:p>
    <w:p>
      <w:r>
        <w:t xml:space="preserve">The </w:t>
      </w:r>
      <w:r>
        <w:rPr>
          <w:i/>
        </w:rPr>
        <w:t>Zohar HaKadosh</w:t>
      </w:r>
      <w:r>
        <w:t xml:space="preserve"> (</w:t>
      </w:r>
      <w:r>
        <w:rPr>
          <w:rFonts w:ascii="David" w:hAnsi="David"/>
        </w:rPr>
        <w:t>זוהר הקדוש</w:t>
      </w:r>
      <w:r>
        <w:t>)</w:t>
      </w:r>
      <w:r>
        <w:rPr>
          <w:color w:val="B8860B"/>
          <w:sz w:val="16"/>
          <w:vertAlign w:val="superscript"/>
        </w:rPr>
        <w:t>[3]</w:t>
      </w:r>
      <w:r>
        <w:t xml:space="preserve"> develops the question at kabbalistic depth beyond the scope of this study; on the surface, however, its answer can be stated in a single line. The moment a finite, embodied human being opens his mouth to declare </w:t>
      </w:r>
      <w:r>
        <w:rPr>
          <w:i/>
        </w:rPr>
        <w:t>Hashem</w:t>
      </w:r>
      <w:r>
        <w:t xml:space="preserve"> </w:t>
      </w:r>
      <w:r>
        <w:rPr>
          <w:i/>
        </w:rPr>
        <w:t>Kadosh</w:t>
      </w:r>
      <w:r>
        <w:t xml:space="preserve">, the very utterance is a species of presumption. </w:t>
      </w:r>
      <w:r>
        <w:rPr>
          <w:i/>
        </w:rPr>
        <w:t>Who is he who says this?</w:t>
      </w:r>
      <w:r>
        <w:t xml:space="preserve"> How does the </w:t>
      </w:r>
      <w:r>
        <w:rPr>
          <w:i/>
        </w:rPr>
        <w:t>mispallel</w:t>
      </w:r>
      <w:r>
        <w:t xml:space="preserve">, still standing in his flesh and his limitations, presume to be </w:t>
      </w:r>
      <w:r>
        <w:rPr>
          <w:i/>
        </w:rPr>
        <w:t>makdish</w:t>
      </w:r>
      <w:r>
        <w:t xml:space="preserve"> the </w:t>
      </w:r>
      <w:r>
        <w:rPr>
          <w:i/>
        </w:rPr>
        <w:t>Ribbono Shel Olam</w:t>
      </w:r>
      <w:r>
        <w:t xml:space="preserve"> (</w:t>
      </w:r>
      <w:r>
        <w:rPr>
          <w:rFonts w:ascii="David" w:hAnsi="David"/>
        </w:rPr>
        <w:t>רבונו של עולם</w:t>
      </w:r>
      <w:r>
        <w:t xml:space="preserve">)? The moment he says </w:t>
      </w:r>
      <w:r>
        <w:rPr>
          <w:i/>
        </w:rPr>
        <w:t>Kadosh</w:t>
      </w:r>
      <w:r>
        <w:t xml:space="preserve">, he must in the same breath push the recognition of separation further out: </w:t>
      </w:r>
      <w:r>
        <w:rPr>
          <w:i/>
        </w:rPr>
        <w:t>V’Shimcha Kadosh</w:t>
      </w:r>
      <w:r>
        <w:t xml:space="preserve">. </w:t>
      </w:r>
      <w:r>
        <w:rPr>
          <w:i/>
        </w:rPr>
        <w:t>You are so far above me that a single declaration of holiness is not enough — the very name is holy, at a further remove still.</w:t>
      </w:r>
      <w:r>
        <w:t xml:space="preserve"> The doubling is the internal correction of the presumption of the utterance.</w:t>
      </w:r>
    </w:p>
    <w:p>
      <w:r>
        <w:rPr>
          <w:b/>
          <w:color w:val="1E3A8A"/>
          <w:sz w:val="26"/>
        </w:rPr>
        <w:t>IV. THE MEANING OF KADOSH — MUVDAL U’MUFRASH</w:t>
      </w:r>
    </w:p>
    <w:p>
      <w:pPr>
        <w:pBdr>
          <w:bottom w:val="single" w:sz="6" w:space="1" w:color="B8860B"/>
        </w:pBdr>
      </w:pPr>
    </w:p>
    <w:p>
      <w:r>
        <w:rPr>
          <w:i/>
          <w:color w:val="B8860B"/>
          <w:sz w:val="24"/>
        </w:rPr>
        <w:t>Beyond “Holy”</w:t>
      </w:r>
    </w:p>
    <w:p>
      <w:r>
        <w:t xml:space="preserve">The English word </w:t>
      </w:r>
      <w:r>
        <w:rPr>
          <w:i/>
        </w:rPr>
        <w:t>holy</w:t>
      </w:r>
      <w:r>
        <w:t xml:space="preserve"> renders </w:t>
      </w:r>
      <w:r>
        <w:rPr>
          <w:i/>
        </w:rPr>
        <w:t>kadosh</w:t>
      </w:r>
      <w:r>
        <w:t xml:space="preserve"> (</w:t>
      </w:r>
      <w:r>
        <w:rPr>
          <w:rFonts w:ascii="David" w:hAnsi="David"/>
        </w:rPr>
        <w:t>קדוש</w:t>
      </w:r>
      <w:r>
        <w:t xml:space="preserve">) so imperfectly that the translation obscures the concept. The </w:t>
      </w:r>
      <w:r>
        <w:rPr>
          <w:i/>
        </w:rPr>
        <w:t>peshat</w:t>
      </w:r>
      <w:r>
        <w:t xml:space="preserve"> of </w:t>
      </w:r>
      <w:r>
        <w:rPr>
          <w:i/>
        </w:rPr>
        <w:t>kadosh</w:t>
      </w:r>
      <w:r>
        <w:t xml:space="preserve"> is </w:t>
      </w:r>
      <w:r>
        <w:rPr>
          <w:i/>
        </w:rPr>
        <w:t>muvdal u’mufrash</w:t>
      </w:r>
      <w:r>
        <w:t xml:space="preserve"> (</w:t>
      </w:r>
      <w:r>
        <w:rPr>
          <w:rFonts w:ascii="David" w:hAnsi="David"/>
        </w:rPr>
        <w:t>מובדל ומופרש</w:t>
      </w:r>
      <w:r>
        <w:t xml:space="preserve">) — </w:t>
      </w:r>
      <w:r>
        <w:rPr>
          <w:i/>
        </w:rPr>
        <w:t>separated, set apart, transcendent</w:t>
      </w:r>
      <w:r>
        <w:t xml:space="preserve">. Every context in which the root </w:t>
      </w:r>
      <w:r>
        <w:rPr>
          <w:rFonts w:ascii="David" w:hAnsi="David"/>
        </w:rPr>
        <w:t>קד"ש</w:t>
      </w:r>
      <w:r>
        <w:t xml:space="preserve"> appears is illuminated by this lexical anchor.</w:t>
      </w:r>
    </w:p>
    <w:p>
      <w:r>
        <w:rPr>
          <w:i/>
          <w:color w:val="B8860B"/>
          <w:sz w:val="24"/>
        </w:rPr>
        <w:t>The Pasuk of Kedoshim Tihyu</w:t>
      </w:r>
    </w:p>
    <w:p>
      <w:r>
        <w:t xml:space="preserve">The </w:t>
      </w:r>
      <w:r>
        <w:rPr>
          <w:i/>
        </w:rPr>
        <w:t>pasuk</w:t>
      </w:r>
      <w:r>
        <w:t xml:space="preserve"> at the head of </w:t>
      </w:r>
      <w:r>
        <w:rPr>
          <w:i/>
        </w:rPr>
        <w:t>Parshas Kedoshim</w:t>
      </w:r>
      <w:r>
        <w:rPr>
          <w:color w:val="B8860B"/>
          <w:sz w:val="16"/>
          <w:vertAlign w:val="superscript"/>
        </w:rPr>
        <w:t>[4]</w:t>
      </w:r>
      <w:r>
        <w:t xml:space="preserve"> reads </w:t>
      </w:r>
      <w:r>
        <w:rPr>
          <w:i/>
        </w:rPr>
        <w:t>Kedoshim Tihyu Ki Kadosh Ani</w:t>
      </w:r>
      <w:r>
        <w:t xml:space="preserve"> (</w:t>
      </w:r>
      <w:r>
        <w:rPr>
          <w:rFonts w:ascii="David" w:hAnsi="David"/>
        </w:rPr>
        <w:t>קדושים תהיו כי קדוש אני</w:t>
      </w:r>
      <w:r>
        <w:t xml:space="preserve">). </w:t>
      </w:r>
      <w:r>
        <w:rPr>
          <w:i/>
        </w:rPr>
        <w:t>Rashi</w:t>
      </w:r>
      <w:r>
        <w:t xml:space="preserve"> immediately supplies the operational gloss: </w:t>
      </w:r>
      <w:r>
        <w:rPr>
          <w:i/>
        </w:rPr>
        <w:t>Perushim Tihyu min HaArayos</w:t>
      </w:r>
      <w:r>
        <w:t xml:space="preserve"> (</w:t>
      </w:r>
      <w:r>
        <w:rPr>
          <w:rFonts w:ascii="David" w:hAnsi="David"/>
        </w:rPr>
        <w:t>פרושים תהיו מן העריות</w:t>
      </w:r>
      <w:r>
        <w:t xml:space="preserve">) — </w:t>
      </w:r>
      <w:r>
        <w:rPr>
          <w:i/>
        </w:rPr>
        <w:t>be separate from forbidden relations</w:t>
      </w:r>
      <w:r>
        <w:t xml:space="preserve">. The lexical equation </w:t>
      </w:r>
      <w:r>
        <w:rPr>
          <w:i/>
        </w:rPr>
        <w:t>kadosh = muvdal</w:t>
      </w:r>
      <w:r>
        <w:t xml:space="preserve"> is not merely one connotation among many; it is the primary meaning that </w:t>
      </w:r>
      <w:r>
        <w:rPr>
          <w:i/>
        </w:rPr>
        <w:t>Rashi</w:t>
      </w:r>
      <w:r>
        <w:t xml:space="preserve">, drawing on the </w:t>
      </w:r>
      <w:r>
        <w:rPr>
          <w:i/>
        </w:rPr>
        <w:t>Sifra</w:t>
      </w:r>
      <w:r>
        <w:t>, brings to the surface as the working sense of the word.</w:t>
      </w:r>
    </w:p>
    <w:p>
      <w:r>
        <w:t xml:space="preserve">The implication for man is significant. Every human being carries within himself the possibility of stepping out of the finite, of the </w:t>
      </w:r>
      <w:r>
        <w:rPr>
          <w:i/>
        </w:rPr>
        <w:t>ta’avos</w:t>
      </w:r>
      <w:r>
        <w:t xml:space="preserve"> (</w:t>
      </w:r>
      <w:r>
        <w:rPr>
          <w:rFonts w:ascii="David" w:hAnsi="David"/>
        </w:rPr>
        <w:t>תאוות</w:t>
      </w:r>
      <w:r>
        <w:t xml:space="preserve">) and the </w:t>
      </w:r>
      <w:r>
        <w:rPr>
          <w:i/>
        </w:rPr>
        <w:t>yetzer hara</w:t>
      </w:r>
      <w:r>
        <w:t xml:space="preserve"> (</w:t>
      </w:r>
      <w:r>
        <w:rPr>
          <w:rFonts w:ascii="David" w:hAnsi="David"/>
        </w:rPr>
        <w:t>יצר הרע</w:t>
      </w:r>
      <w:r>
        <w:t xml:space="preserve">), of becoming </w:t>
      </w:r>
      <w:r>
        <w:rPr>
          <w:i/>
        </w:rPr>
        <w:t>muvdal</w:t>
      </w:r>
      <w:r>
        <w:t xml:space="preserve"> from his own lower gravities. The </w:t>
      </w:r>
      <w:r>
        <w:rPr>
          <w:i/>
        </w:rPr>
        <w:t>Ribbono Shel Olam</w:t>
      </w:r>
      <w:r>
        <w:t xml:space="preserve">, despite the intimacy of His communication with the world, remains ultimately separate from it. Man is charged with imitating that separation: </w:t>
      </w:r>
      <w:r>
        <w:rPr>
          <w:i/>
        </w:rPr>
        <w:t>Kedoshim Tihyu Ki Kadosh Ani</w:t>
      </w:r>
      <w:r>
        <w:t>.</w:t>
      </w:r>
    </w:p>
    <w:p>
      <w:r>
        <w:rPr>
          <w:i/>
          <w:color w:val="B8860B"/>
          <w:sz w:val="24"/>
        </w:rPr>
        <w:t>The Faces of Kedushah in Halachah</w:t>
      </w:r>
    </w:p>
    <w:p>
      <w:r>
        <w:t xml:space="preserve">The equation </w:t>
      </w:r>
      <w:r>
        <w:rPr>
          <w:i/>
        </w:rPr>
        <w:t>kadosh = muvdal</w:t>
      </w:r>
      <w:r>
        <w:t xml:space="preserve"> is confirmed across three distinct halachic institutions:</w:t>
      </w:r>
    </w:p>
    <w:p>
      <w:r>
        <w:rPr>
          <w:i/>
          <w:color w:val="B8860B"/>
          <w:sz w:val="24"/>
        </w:rPr>
        <w:t>The Geography of Kadesh</w:t>
      </w:r>
    </w:p>
    <w:p>
      <w:r>
        <w:t xml:space="preserve">The lexical sense of </w:t>
      </w:r>
      <w:r>
        <w:rPr>
          <w:i/>
        </w:rPr>
        <w:t>kadosh</w:t>
      </w:r>
      <w:r>
        <w:t xml:space="preserve"> as </w:t>
      </w:r>
      <w:r>
        <w:rPr>
          <w:i/>
        </w:rPr>
        <w:t>muvdal</w:t>
      </w:r>
      <w:r>
        <w:t xml:space="preserve"> is confirmed even in the geography of </w:t>
      </w:r>
      <w:r>
        <w:rPr>
          <w:i/>
        </w:rPr>
        <w:t>Tanach</w:t>
      </w:r>
      <w:r>
        <w:t xml:space="preserve">. The place-name </w:t>
      </w:r>
      <w:r>
        <w:rPr>
          <w:i/>
        </w:rPr>
        <w:t>Kadesh</w:t>
      </w:r>
      <w:r>
        <w:t xml:space="preserve"> (</w:t>
      </w:r>
      <w:r>
        <w:rPr>
          <w:rFonts w:ascii="David" w:hAnsi="David"/>
        </w:rPr>
        <w:t>קדש</w:t>
      </w:r>
      <w:r>
        <w:t xml:space="preserve">) appears more than once. </w:t>
      </w:r>
      <w:r>
        <w:rPr>
          <w:i/>
        </w:rPr>
        <w:t>Kadesh Barnea</w:t>
      </w:r>
      <w:r>
        <w:t xml:space="preserve"> (</w:t>
      </w:r>
      <w:r>
        <w:rPr>
          <w:rFonts w:ascii="David" w:hAnsi="David"/>
        </w:rPr>
        <w:t>קדש ברנע</w:t>
      </w:r>
      <w:r>
        <w:t xml:space="preserve">) sits at the southern border of </w:t>
      </w:r>
      <w:r>
        <w:rPr>
          <w:i/>
        </w:rPr>
        <w:t>Eretz Yisrael</w:t>
      </w:r>
      <w:r>
        <w:t xml:space="preserve">. </w:t>
      </w:r>
      <w:r>
        <w:rPr>
          <w:i/>
        </w:rPr>
        <w:t>Kedesh Naftali</w:t>
      </w:r>
      <w:r>
        <w:t xml:space="preserve"> (</w:t>
      </w:r>
      <w:r>
        <w:rPr>
          <w:rFonts w:ascii="David" w:hAnsi="David"/>
        </w:rPr>
        <w:t>קדש נפתלי</w:t>
      </w:r>
      <w:r>
        <w:t xml:space="preserve">) sits at the northern border, in </w:t>
      </w:r>
      <w:r>
        <w:rPr>
          <w:i/>
        </w:rPr>
        <w:t>Sefer Shoftim</w:t>
      </w:r>
      <w:r>
        <w:t>.</w:t>
      </w:r>
      <w:r>
        <w:rPr>
          <w:color w:val="B8860B"/>
          <w:sz w:val="16"/>
          <w:vertAlign w:val="superscript"/>
        </w:rPr>
        <w:t>[6]</w:t>
      </w:r>
      <w:r>
        <w:t xml:space="preserve"> Every location in the </w:t>
      </w:r>
      <w:r>
        <w:rPr>
          <w:i/>
        </w:rPr>
        <w:t>Tanach</w:t>
      </w:r>
      <w:r>
        <w:t xml:space="preserve"> that carries the name </w:t>
      </w:r>
      <w:r>
        <w:rPr>
          <w:i/>
        </w:rPr>
        <w:t>Kadesh</w:t>
      </w:r>
      <w:r>
        <w:t xml:space="preserve"> stands on a border between regions or peoples. </w:t>
      </w:r>
      <w:r>
        <w:rPr>
          <w:i/>
        </w:rPr>
        <w:t>Kadesh</w:t>
      </w:r>
      <w:r>
        <w:t xml:space="preserve"> is where one nation ends and another begins — the very meaning of the word rendered in geographic space.</w:t>
      </w:r>
    </w:p>
    <w:p>
      <w:r>
        <w:rPr>
          <w:b/>
          <w:color w:val="1E3A8A"/>
          <w:sz w:val="26"/>
        </w:rPr>
        <w:t>V. THE SEFER HAKUZARI</w:t>
      </w:r>
    </w:p>
    <w:p>
      <w:pPr>
        <w:pBdr>
          <w:bottom w:val="single" w:sz="6" w:space="1" w:color="B8860B"/>
        </w:pBdr>
      </w:pPr>
    </w:p>
    <w:p>
      <w:r>
        <w:rPr>
          <w:i/>
          <w:color w:val="B8860B"/>
          <w:sz w:val="24"/>
        </w:rPr>
        <w:t>The Author and His Era</w:t>
      </w:r>
    </w:p>
    <w:p>
      <w:r>
        <w:t xml:space="preserve">The reading of the third </w:t>
      </w:r>
      <w:r>
        <w:rPr>
          <w:i/>
        </w:rPr>
        <w:t>berachah</w:t>
      </w:r>
      <w:r>
        <w:t xml:space="preserve"> that follows in this study is the reading of one of the great </w:t>
      </w:r>
      <w:r>
        <w:rPr>
          <w:i/>
        </w:rPr>
        <w:t>Rishonim</w:t>
      </w:r>
      <w:r>
        <w:t xml:space="preserve"> of Spain: </w:t>
      </w:r>
      <w:r>
        <w:rPr>
          <w:i/>
        </w:rPr>
        <w:t>Rabbeinu Yehudah HaLevi</w:t>
      </w:r>
      <w:r>
        <w:t xml:space="preserve"> (</w:t>
      </w:r>
      <w:r>
        <w:rPr>
          <w:rFonts w:ascii="David" w:hAnsi="David"/>
        </w:rPr>
        <w:t>רבי יהודה הלוי</w:t>
      </w:r>
      <w:r>
        <w:t xml:space="preserve">) in his </w:t>
      </w:r>
      <w:r>
        <w:rPr>
          <w:i/>
        </w:rPr>
        <w:t>Sefer HaKuzari</w:t>
      </w:r>
      <w:r>
        <w:t>.</w:t>
      </w:r>
      <w:r>
        <w:rPr>
          <w:color w:val="B8860B"/>
          <w:sz w:val="16"/>
          <w:vertAlign w:val="superscript"/>
        </w:rPr>
        <w:t>[7]</w:t>
      </w:r>
      <w:r>
        <w:t xml:space="preserve"> The </w:t>
      </w:r>
      <w:r>
        <w:rPr>
          <w:i/>
        </w:rPr>
        <w:t>Kuzari</w:t>
      </w:r>
      <w:r>
        <w:t xml:space="preserve"> is a foundational </w:t>
      </w:r>
      <w:r>
        <w:rPr>
          <w:i/>
        </w:rPr>
        <w:t>sefer machashavah</w:t>
      </w:r>
      <w:r>
        <w:t xml:space="preserve"> of </w:t>
      </w:r>
      <w:r>
        <w:rPr>
          <w:i/>
        </w:rPr>
        <w:t>Klal Yisrael</w:t>
      </w:r>
      <w:r>
        <w:t xml:space="preserve"> — and, notably, one that occupies a curious place in the world of Jewish learning.</w:t>
      </w:r>
    </w:p>
    <w:p>
      <w:r>
        <w:rPr>
          <w:i/>
          <w:color w:val="B8860B"/>
          <w:sz w:val="24"/>
        </w:rPr>
        <w:t>Its Absence from Standard Yeshivos</w:t>
      </w:r>
    </w:p>
    <w:p>
      <w:r>
        <w:t xml:space="preserve">Show a Lithuanian yeshiva that regularly learns </w:t>
      </w:r>
      <w:r>
        <w:rPr>
          <w:i/>
        </w:rPr>
        <w:t>Moreh Nevuchim</w:t>
      </w:r>
      <w:r>
        <w:t xml:space="preserve"> or </w:t>
      </w:r>
      <w:r>
        <w:rPr>
          <w:i/>
        </w:rPr>
        <w:t>Kuzari</w:t>
      </w:r>
      <w:r>
        <w:t xml:space="preserve"> as part of its </w:t>
      </w:r>
      <w:r>
        <w:rPr>
          <w:i/>
        </w:rPr>
        <w:t>seder ha’yom</w:t>
      </w:r>
      <w:r>
        <w:t xml:space="preserve">, and few if any will be found. The exception, and it is a decisive one, is </w:t>
      </w:r>
      <w:r>
        <w:rPr>
          <w:i/>
        </w:rPr>
        <w:t>Yeshivas Merkaz HaRav</w:t>
      </w:r>
      <w:r>
        <w:t xml:space="preserve">. When </w:t>
      </w:r>
      <w:r>
        <w:rPr>
          <w:i/>
        </w:rPr>
        <w:t>HaRav Kook, zt”l</w:t>
      </w:r>
      <w:r>
        <w:t xml:space="preserve">, established the yeshiva in </w:t>
      </w:r>
      <w:r>
        <w:rPr>
          <w:i/>
        </w:rPr>
        <w:t>Eretz Yisrael</w:t>
      </w:r>
      <w:r>
        <w:t xml:space="preserve">, he deliberately incorporated the </w:t>
      </w:r>
      <w:r>
        <w:rPr>
          <w:i/>
        </w:rPr>
        <w:t>Kuzari</w:t>
      </w:r>
      <w:r>
        <w:t xml:space="preserve"> into the </w:t>
      </w:r>
      <w:r>
        <w:rPr>
          <w:i/>
        </w:rPr>
        <w:t>seder ha’limud</w:t>
      </w:r>
      <w:r>
        <w:t xml:space="preserve">, and from there it became a central text of the </w:t>
      </w:r>
      <w:r>
        <w:rPr>
          <w:i/>
        </w:rPr>
        <w:t>dati leumi</w:t>
      </w:r>
      <w:r>
        <w:t xml:space="preserve"> </w:t>
      </w:r>
      <w:r>
        <w:rPr>
          <w:i/>
        </w:rPr>
        <w:t>beis midrash</w:t>
      </w:r>
      <w:r>
        <w:t>.</w:t>
      </w:r>
      <w:r>
        <w:rPr>
          <w:color w:val="B8860B"/>
          <w:sz w:val="16"/>
          <w:vertAlign w:val="superscript"/>
        </w:rPr>
        <w:t>[8]</w:t>
      </w:r>
      <w:r>
        <w:t xml:space="preserve"> The precedent was, in the classical understanding, that of the </w:t>
      </w:r>
      <w:r>
        <w:rPr>
          <w:i/>
        </w:rPr>
        <w:t>Gra</w:t>
      </w:r>
      <w:r>
        <w:t xml:space="preserve">, who called the </w:t>
      </w:r>
      <w:r>
        <w:rPr>
          <w:i/>
        </w:rPr>
        <w:t>Kuzari</w:t>
      </w:r>
      <w:r>
        <w:t xml:space="preserve"> </w:t>
      </w:r>
      <w:r>
        <w:rPr>
          <w:i/>
        </w:rPr>
        <w:t>kadosh v’tahor</w:t>
      </w:r>
      <w:r>
        <w:t xml:space="preserve"> for those equipped to learn it — </w:t>
      </w:r>
      <w:r>
        <w:rPr>
          <w:i/>
        </w:rPr>
        <w:t>yod’ei da’as</w:t>
      </w:r>
      <w:r>
        <w:t xml:space="preserve">. The mainstream Litvish </w:t>
      </w:r>
      <w:r>
        <w:rPr>
          <w:i/>
        </w:rPr>
        <w:t>mashgiach</w:t>
      </w:r>
      <w:r>
        <w:t xml:space="preserve"> would traditionally intercept a </w:t>
      </w:r>
      <w:r>
        <w:rPr>
          <w:i/>
        </w:rPr>
        <w:t>bachur</w:t>
      </w:r>
      <w:r>
        <w:t xml:space="preserve"> discovered learning </w:t>
      </w:r>
      <w:r>
        <w:rPr>
          <w:i/>
        </w:rPr>
        <w:t>Kuzari</w:t>
      </w:r>
      <w:r>
        <w:t xml:space="preserve"> with the concern that philosophical inquiry might disturb the direct simplicity of his </w:t>
      </w:r>
      <w:r>
        <w:rPr>
          <w:i/>
        </w:rPr>
        <w:t>emunah</w:t>
      </w:r>
      <w:r>
        <w:t xml:space="preserve">. In truth, the philosophical questions the </w:t>
      </w:r>
      <w:r>
        <w:rPr>
          <w:i/>
        </w:rPr>
        <w:t>Kuzari</w:t>
      </w:r>
      <w:r>
        <w:t xml:space="preserve"> addresses trouble few </w:t>
      </w:r>
      <w:r>
        <w:rPr>
          <w:i/>
        </w:rPr>
        <w:t>bachurim</w:t>
      </w:r>
      <w:r>
        <w:t xml:space="preserve"> today; but the </w:t>
      </w:r>
      <w:r>
        <w:rPr>
          <w:i/>
        </w:rPr>
        <w:t>sefer</w:t>
      </w:r>
      <w:r>
        <w:t xml:space="preserve"> survives, and its reading of </w:t>
      </w:r>
      <w:r>
        <w:rPr>
          <w:i/>
        </w:rPr>
        <w:t>tefillah</w:t>
      </w:r>
      <w:r>
        <w:t xml:space="preserve"> has entered the mainstream of the </w:t>
      </w:r>
      <w:r>
        <w:rPr>
          <w:i/>
        </w:rPr>
        <w:t>Rishonim</w:t>
      </w:r>
      <w:r>
        <w:t xml:space="preserve"> and </w:t>
      </w:r>
      <w:r>
        <w:rPr>
          <w:i/>
        </w:rPr>
        <w:t>Acharonim</w:t>
      </w:r>
      <w:r>
        <w:t xml:space="preserve"> who explicate the </w:t>
      </w:r>
      <w:r>
        <w:rPr>
          <w:i/>
        </w:rPr>
        <w:t>seder ha’tefillah</w:t>
      </w:r>
      <w:r>
        <w:t>.</w:t>
      </w:r>
    </w:p>
    <w:p>
      <w:r>
        <w:rPr>
          <w:b/>
          <w:color w:val="1E3A8A"/>
          <w:sz w:val="26"/>
        </w:rPr>
        <w:t>VI. THE KHAZAR NARRATIVE</w:t>
      </w:r>
    </w:p>
    <w:p>
      <w:pPr>
        <w:pBdr>
          <w:bottom w:val="single" w:sz="6" w:space="1" w:color="B8860B"/>
        </w:pBdr>
      </w:pPr>
    </w:p>
    <w:p>
      <w:r>
        <w:rPr>
          <w:i/>
          <w:color w:val="B8860B"/>
          <w:sz w:val="24"/>
        </w:rPr>
        <w:t>The Story as the Kuzari Tells It</w:t>
      </w:r>
    </w:p>
    <w:p>
      <w:r>
        <w:t xml:space="preserve">The </w:t>
      </w:r>
      <w:r>
        <w:rPr>
          <w:i/>
        </w:rPr>
        <w:t>Kuzari</w:t>
      </w:r>
      <w:r>
        <w:t xml:space="preserve"> opens with a narrative that for centuries was received as legend. In the eighth or ninth century, in the region of the Caucasus — the </w:t>
      </w:r>
      <w:r>
        <w:rPr>
          <w:i/>
        </w:rPr>
        <w:t>Kavkaz</w:t>
      </w:r>
      <w:r>
        <w:t xml:space="preserve">, in the mountains north of what is today Uzbekistan and its neighbors — a king named </w:t>
      </w:r>
      <w:r>
        <w:rPr>
          <w:i/>
        </w:rPr>
        <w:t>Yehosef</w:t>
      </w:r>
      <w:r>
        <w:t xml:space="preserve"> (</w:t>
      </w:r>
      <w:r>
        <w:rPr>
          <w:rFonts w:ascii="David" w:hAnsi="David"/>
        </w:rPr>
        <w:t>יהוסף</w:t>
      </w:r>
      <w:r>
        <w:t xml:space="preserve">), also called </w:t>
      </w:r>
      <w:r>
        <w:rPr>
          <w:i/>
        </w:rPr>
        <w:t>Yosef</w:t>
      </w:r>
      <w:r>
        <w:t xml:space="preserve">, ruled the kingdom of Khazar. The </w:t>
      </w:r>
      <w:r>
        <w:rPr>
          <w:i/>
        </w:rPr>
        <w:t>Kuzari</w:t>
      </w:r>
      <w:r>
        <w:t xml:space="preserve"> presents him as a righteous and thoughtful </w:t>
      </w:r>
      <w:r>
        <w:rPr>
          <w:i/>
        </w:rPr>
        <w:t>goy gamur</w:t>
      </w:r>
      <w:r>
        <w:t xml:space="preserve"> in earnest search of </w:t>
      </w:r>
      <w:r>
        <w:rPr>
          <w:i/>
        </w:rPr>
        <w:t>emes</w:t>
      </w:r>
      <w:r>
        <w:t xml:space="preserve"> (</w:t>
      </w:r>
      <w:r>
        <w:rPr>
          <w:rFonts w:ascii="David" w:hAnsi="David"/>
        </w:rPr>
        <w:t>אמת</w:t>
      </w:r>
      <w:r>
        <w:t xml:space="preserve">). A historical footnote of some interest: a substantial portion of the </w:t>
      </w:r>
      <w:r>
        <w:rPr>
          <w:i/>
        </w:rPr>
        <w:t>Kavkazi</w:t>
      </w:r>
      <w:r>
        <w:t xml:space="preserve"> Jewry now living in </w:t>
      </w:r>
      <w:r>
        <w:rPr>
          <w:i/>
        </w:rPr>
        <w:t>Eretz Yisrael</w:t>
      </w:r>
      <w:r>
        <w:t xml:space="preserve"> traces its ancestry to this region, and one school of historical opinion argues that a portion of </w:t>
      </w:r>
      <w:r>
        <w:rPr>
          <w:i/>
        </w:rPr>
        <w:t>Ashkenazi</w:t>
      </w:r>
      <w:r>
        <w:t xml:space="preserve"> Jewry descends from the converted Khazars.</w:t>
      </w:r>
    </w:p>
    <w:p>
      <w:r>
        <w:rPr>
          <w:i/>
          <w:color w:val="B8860B"/>
          <w:sz w:val="24"/>
        </w:rPr>
        <w:t>The Dream and the Investigation</w:t>
      </w:r>
    </w:p>
    <w:p>
      <w:r>
        <w:t xml:space="preserve">The king dreamt of a </w:t>
      </w:r>
      <w:r>
        <w:rPr>
          <w:i/>
        </w:rPr>
        <w:t>malach</w:t>
      </w:r>
      <w:r>
        <w:t xml:space="preserve"> (</w:t>
      </w:r>
      <w:r>
        <w:rPr>
          <w:rFonts w:ascii="David" w:hAnsi="David"/>
        </w:rPr>
        <w:t>מלאך</w:t>
      </w:r>
      <w:r>
        <w:t xml:space="preserve">) who spoke to him: </w:t>
      </w:r>
      <w:r>
        <w:rPr>
          <w:i/>
        </w:rPr>
        <w:t>Your intent is good and righteous; your deeds are wrong.</w:t>
      </w:r>
      <w:r>
        <w:t xml:space="preserve"> He awoke understanding: he had to find a different religion. He interviewed a philosopher and remained unmoved. He interviewed a Muslim scholar and remained unmoved. He then approached the Jews, and there met a </w:t>
      </w:r>
      <w:r>
        <w:rPr>
          <w:i/>
        </w:rPr>
        <w:t>chacham</w:t>
      </w:r>
      <w:r>
        <w:t xml:space="preserve"> (</w:t>
      </w:r>
      <w:r>
        <w:rPr>
          <w:rFonts w:ascii="David" w:hAnsi="David"/>
        </w:rPr>
        <w:t>חכם</w:t>
      </w:r>
      <w:r>
        <w:t xml:space="preserve">): </w:t>
      </w:r>
      <w:r>
        <w:rPr>
          <w:i/>
        </w:rPr>
        <w:t>Rav Yitzchak HaSangari</w:t>
      </w:r>
      <w:r>
        <w:t xml:space="preserve"> (</w:t>
      </w:r>
      <w:r>
        <w:rPr>
          <w:rFonts w:ascii="David" w:hAnsi="David"/>
        </w:rPr>
        <w:t>רבי יצחק הסנגרי</w:t>
      </w:r>
      <w:r>
        <w:t xml:space="preserve">). The </w:t>
      </w:r>
      <w:r>
        <w:rPr>
          <w:i/>
        </w:rPr>
        <w:t>Kuzari</w:t>
      </w:r>
      <w:r>
        <w:t xml:space="preserve"> records the ensuing dialogue between king and </w:t>
      </w:r>
      <w:r>
        <w:rPr>
          <w:i/>
        </w:rPr>
        <w:t>chacham</w:t>
      </w:r>
      <w:r>
        <w:t xml:space="preserve">. The </w:t>
      </w:r>
      <w:r>
        <w:rPr>
          <w:i/>
        </w:rPr>
        <w:t>chacham’s</w:t>
      </w:r>
      <w:r>
        <w:t xml:space="preserve"> answers convinced the king; he returned to his nation, retreated first to a cave together with a group of hidden Jewish </w:t>
      </w:r>
      <w:r>
        <w:rPr>
          <w:i/>
        </w:rPr>
        <w:t>chassidim</w:t>
      </w:r>
      <w:r>
        <w:t xml:space="preserve"> and his chief of staff, underwent his own conversion, and only then persuaded his kingdom to follow.</w:t>
      </w:r>
    </w:p>
    <w:p>
      <w:r>
        <w:rPr>
          <w:i/>
          <w:color w:val="B8860B"/>
          <w:sz w:val="24"/>
        </w:rPr>
        <w:t>The Historical Verification — The Cairo Genizah Letters</w:t>
      </w:r>
    </w:p>
    <w:p>
      <w:r>
        <w:t xml:space="preserve">For centuries the narrative was received in the world of scholarship as a literary construction — a philosophical dialogue with a fictional frame. The </w:t>
      </w:r>
      <w:r>
        <w:rPr>
          <w:i/>
        </w:rPr>
        <w:t>Cairo Genizah</w:t>
      </w:r>
      <w:r>
        <w:rPr>
          <w:color w:val="B8860B"/>
          <w:sz w:val="16"/>
          <w:vertAlign w:val="superscript"/>
        </w:rPr>
        <w:t>[9]</w:t>
      </w:r>
      <w:r>
        <w:t xml:space="preserve"> altered the picture. Among the manuscripts recovered by </w:t>
      </w:r>
      <w:r>
        <w:rPr>
          <w:i/>
        </w:rPr>
        <w:t>Solomon Schechter</w:t>
      </w:r>
      <w:r>
        <w:t xml:space="preserve">, three letters of the eighth or ninth century have come to light — letters either written by the king of Khazar himself or issued by his court and addressed to </w:t>
      </w:r>
      <w:r>
        <w:rPr>
          <w:i/>
        </w:rPr>
        <w:t>Rav Chasdai ibn Shaprut</w:t>
      </w:r>
      <w:r>
        <w:t xml:space="preserve"> (</w:t>
      </w:r>
      <w:r>
        <w:rPr>
          <w:rFonts w:ascii="David" w:hAnsi="David"/>
        </w:rPr>
        <w:t>רבי חסדאי אבן שפרוט</w:t>
      </w:r>
      <w:r>
        <w:t xml:space="preserve">), a major figure in the Jewry of Umayyad Spain. Rav Chasdai had heard of the Khazar report and had dispatched </w:t>
      </w:r>
      <w:r>
        <w:rPr>
          <w:i/>
        </w:rPr>
        <w:t>shluchim</w:t>
      </w:r>
      <w:r>
        <w:t xml:space="preserve"> to verify it; the letters preserved in the Genizah are the responses that returned to him. The details vary from the </w:t>
      </w:r>
      <w:r>
        <w:rPr>
          <w:i/>
        </w:rPr>
        <w:t>Kuzari’s</w:t>
      </w:r>
      <w:r>
        <w:t xml:space="preserve"> account — the conversion may have been partial rather than total, extending to the king and the noble families rather than to every citizen of the kingdom — but that </w:t>
      </w:r>
      <w:r>
        <w:rPr>
          <w:i/>
        </w:rPr>
        <w:t>something</w:t>
      </w:r>
      <w:r>
        <w:t xml:space="preserve"> occurred is no longer in question. Independent corroboration comes from Islamic historical sources of the same period, which describe a Caucasus tribal kingdom that experimented first with Islam and then turned to Judaism. The Khazar episode is real.</w:t>
      </w:r>
    </w:p>
    <w:p>
      <w:r>
        <w:rPr>
          <w:i/>
          <w:color w:val="B8860B"/>
          <w:sz w:val="24"/>
        </w:rPr>
        <w:t>The Composition of the Sefer</w:t>
      </w:r>
    </w:p>
    <w:p>
      <w:r>
        <w:rPr>
          <w:i/>
        </w:rPr>
        <w:t>Rabbeinu Yehudah HaLevi</w:t>
      </w:r>
      <w:r>
        <w:t xml:space="preserve"> wrote the </w:t>
      </w:r>
      <w:r>
        <w:rPr>
          <w:i/>
        </w:rPr>
        <w:t>Kuzari</w:t>
      </w:r>
      <w:r>
        <w:t xml:space="preserve"> in Arabic. </w:t>
      </w:r>
      <w:r>
        <w:rPr>
          <w:i/>
        </w:rPr>
        <w:t>Rabbi Yehudah ibn Tibbon</w:t>
      </w:r>
      <w:r>
        <w:t xml:space="preserve"> (</w:t>
      </w:r>
      <w:r>
        <w:rPr>
          <w:rFonts w:ascii="David" w:hAnsi="David"/>
        </w:rPr>
        <w:t>יהודה אבן תיבון</w:t>
      </w:r>
      <w:r>
        <w:t xml:space="preserve">), the great translator of the Arabic works of the </w:t>
      </w:r>
      <w:r>
        <w:rPr>
          <w:i/>
        </w:rPr>
        <w:t>Rishonim</w:t>
      </w:r>
      <w:r>
        <w:t xml:space="preserve">, rendered it into Hebrew. The literal Arabic title translates as </w:t>
      </w:r>
      <w:r>
        <w:rPr>
          <w:i/>
        </w:rPr>
        <w:t>The Book of Disputations, Refutations, and Proofs on Behalf of the Despised Religion</w:t>
      </w:r>
      <w:r>
        <w:t xml:space="preserve"> — the despised religion being, of course, our own. In a letter recovered from the </w:t>
      </w:r>
      <w:r>
        <w:rPr>
          <w:i/>
        </w:rPr>
        <w:t>Genizah</w:t>
      </w:r>
      <w:r>
        <w:t xml:space="preserve">, </w:t>
      </w:r>
      <w:r>
        <w:rPr>
          <w:i/>
        </w:rPr>
        <w:t>Rabbeinu Yehudah HaLevi</w:t>
      </w:r>
      <w:r>
        <w:t xml:space="preserve"> himself refers to the work modestly as </w:t>
      </w:r>
      <w:r>
        <w:rPr>
          <w:i/>
        </w:rPr>
        <w:t>davar katan</w:t>
      </w:r>
      <w:r>
        <w:t xml:space="preserve"> (</w:t>
      </w:r>
      <w:r>
        <w:rPr>
          <w:rFonts w:ascii="David" w:hAnsi="David"/>
        </w:rPr>
        <w:t>דבר קטן</w:t>
      </w:r>
      <w:r>
        <w:t xml:space="preserve">); he was, apparently, unsatisfied with it. The world has held it otherwise. By the time of the </w:t>
      </w:r>
      <w:r>
        <w:rPr>
          <w:i/>
        </w:rPr>
        <w:t>Rambam</w:t>
      </w:r>
      <w:r>
        <w:t xml:space="preserve">, the </w:t>
      </w:r>
      <w:r>
        <w:rPr>
          <w:i/>
        </w:rPr>
        <w:t>chachomim</w:t>
      </w:r>
      <w:r>
        <w:t xml:space="preserve"> of Lunel were writing to him: </w:t>
      </w:r>
      <w:r>
        <w:rPr>
          <w:i/>
        </w:rPr>
        <w:t>We have read the Kuzari; we have read the Chovos HaLevavos; now send us the Moreh Nevuchim.</w:t>
      </w:r>
      <w:r>
        <w:t xml:space="preserve"> The </w:t>
      </w:r>
      <w:r>
        <w:rPr>
          <w:i/>
        </w:rPr>
        <w:t>Kuzari</w:t>
      </w:r>
      <w:r>
        <w:t xml:space="preserve"> stands as one of the pillars of Jewish </w:t>
      </w:r>
      <w:r>
        <w:rPr>
          <w:i/>
        </w:rPr>
        <w:t>machashavah</w:t>
      </w:r>
      <w:r>
        <w:t>.</w:t>
      </w:r>
    </w:p>
    <w:p>
      <w:r>
        <w:rPr>
          <w:b/>
          <w:color w:val="1E3A8A"/>
          <w:sz w:val="26"/>
        </w:rPr>
        <w:t>VII. THE KUZARI’S READING OF THE FIRST THREE BERACHOS</w:t>
      </w:r>
    </w:p>
    <w:p>
      <w:pPr>
        <w:pBdr>
          <w:bottom w:val="single" w:sz="6" w:space="1" w:color="B8860B"/>
        </w:pBdr>
      </w:pPr>
    </w:p>
    <w:p>
      <w:r>
        <w:rPr>
          <w:i/>
          <w:color w:val="B8860B"/>
          <w:sz w:val="24"/>
        </w:rPr>
        <w:t>The Immanence of Gevuros</w:t>
      </w:r>
    </w:p>
    <w:p>
      <w:r>
        <w:t xml:space="preserve">The second </w:t>
      </w:r>
      <w:r>
        <w:rPr>
          <w:i/>
        </w:rPr>
        <w:t>berachah</w:t>
      </w:r>
      <w:r>
        <w:t xml:space="preserve"> of the </w:t>
      </w:r>
      <w:r>
        <w:rPr>
          <w:i/>
        </w:rPr>
        <w:t>Amidah</w:t>
      </w:r>
      <w:r>
        <w:t xml:space="preserve"> — </w:t>
      </w:r>
      <w:r>
        <w:rPr>
          <w:i/>
        </w:rPr>
        <w:t>Gevuros</w:t>
      </w:r>
      <w:r>
        <w:t xml:space="preserve"> — speaks of the </w:t>
      </w:r>
      <w:r>
        <w:rPr>
          <w:i/>
        </w:rPr>
        <w:t>Ribbono Shel Olam</w:t>
      </w:r>
      <w:r>
        <w:t xml:space="preserve"> as </w:t>
      </w:r>
      <w:r>
        <w:rPr>
          <w:i/>
        </w:rPr>
        <w:t>Rofei Cholim</w:t>
      </w:r>
      <w:r>
        <w:t xml:space="preserve">, </w:t>
      </w:r>
      <w:r>
        <w:rPr>
          <w:i/>
        </w:rPr>
        <w:t>Matir Asurim</w:t>
      </w:r>
      <w:r>
        <w:t xml:space="preserve">, </w:t>
      </w:r>
      <w:r>
        <w:rPr>
          <w:i/>
        </w:rPr>
        <w:t>Mechayeh Meisim</w:t>
      </w:r>
      <w:r>
        <w:t xml:space="preserve">. Each of these declares an </w:t>
      </w:r>
      <w:r>
        <w:rPr>
          <w:i/>
        </w:rPr>
        <w:t>intimate</w:t>
      </w:r>
      <w:r>
        <w:t xml:space="preserve"> engagement of </w:t>
      </w:r>
      <w:r>
        <w:rPr>
          <w:i/>
        </w:rPr>
        <w:t>Hashem</w:t>
      </w:r>
      <w:r>
        <w:t xml:space="preserve"> with the world. When one is sick, He is involved. When one is bound, He is involved. When the dead will be raised, He is the one who raises them. The </w:t>
      </w:r>
      <w:r>
        <w:rPr>
          <w:i/>
        </w:rPr>
        <w:t>berachah</w:t>
      </w:r>
      <w:r>
        <w:t xml:space="preserve"> is a sustained affirmation of the immanence of the </w:t>
      </w:r>
      <w:r>
        <w:rPr>
          <w:i/>
        </w:rPr>
        <w:t>Ribbono Shel Olam</w:t>
      </w:r>
      <w:r>
        <w:t xml:space="preserve"> in the ordinary and extraordinary affairs of His creatures.</w:t>
      </w:r>
    </w:p>
    <w:p>
      <w:r>
        <w:rPr>
          <w:i/>
          <w:color w:val="B8860B"/>
          <w:sz w:val="24"/>
        </w:rPr>
        <w:t>The Danger of Immanence Without Transcendence</w:t>
      </w:r>
    </w:p>
    <w:p>
      <w:r>
        <w:t xml:space="preserve">The </w:t>
      </w:r>
      <w:r>
        <w:rPr>
          <w:i/>
        </w:rPr>
        <w:t>Kuzari</w:t>
      </w:r>
      <w:r>
        <w:t xml:space="preserve"> observes that a </w:t>
      </w:r>
      <w:r>
        <w:rPr>
          <w:i/>
        </w:rPr>
        <w:t>mispallel</w:t>
      </w:r>
      <w:r>
        <w:t xml:space="preserve"> who davens </w:t>
      </w:r>
      <w:r>
        <w:rPr>
          <w:i/>
        </w:rPr>
        <w:t>Gevuros</w:t>
      </w:r>
      <w:r>
        <w:t xml:space="preserve"> without what follows could arrive at a distorted conception: </w:t>
      </w:r>
      <w:r>
        <w:rPr>
          <w:i/>
        </w:rPr>
        <w:t>Hashem</w:t>
      </w:r>
      <w:r>
        <w:t xml:space="preserve"> is close, accessible, immanent — a </w:t>
      </w:r>
      <w:r>
        <w:rPr>
          <w:i/>
        </w:rPr>
        <w:t>buddy</w:t>
      </w:r>
      <w:r>
        <w:t xml:space="preserve">, one to whom one calls in familiar terms. The </w:t>
      </w:r>
      <w:r>
        <w:rPr>
          <w:i/>
        </w:rPr>
        <w:t>Kuzari</w:t>
      </w:r>
      <w:r>
        <w:t xml:space="preserve"> teaches that the </w:t>
      </w:r>
      <w:r>
        <w:rPr>
          <w:i/>
        </w:rPr>
        <w:t>Chachomim</w:t>
      </w:r>
      <w:r>
        <w:t xml:space="preserve"> immediately follow </w:t>
      </w:r>
      <w:r>
        <w:rPr>
          <w:i/>
        </w:rPr>
        <w:t>Gevuros</w:t>
      </w:r>
      <w:r>
        <w:t xml:space="preserve"> with </w:t>
      </w:r>
      <w:r>
        <w:rPr>
          <w:i/>
        </w:rPr>
        <w:t>Atah Kadosh</w:t>
      </w:r>
      <w:r>
        <w:t xml:space="preserve"> precisely to correct this potential distortion. </w:t>
      </w:r>
      <w:r>
        <w:rPr>
          <w:i/>
        </w:rPr>
        <w:t>Yes — He is close. And in the same breath: He is infinitely separate.</w:t>
      </w:r>
      <w:r>
        <w:t xml:space="preserve"> Immanence without transcendence collapses the distance to an idolatry of familiarity. The </w:t>
      </w:r>
      <w:r>
        <w:rPr>
          <w:i/>
        </w:rPr>
        <w:t>pasuk</w:t>
      </w:r>
      <w:r>
        <w:t xml:space="preserve"> in </w:t>
      </w:r>
      <w:r>
        <w:rPr>
          <w:i/>
        </w:rPr>
        <w:t>Parshas Kedoshim</w:t>
      </w:r>
      <w:r>
        <w:t xml:space="preserve"> teaches </w:t>
      </w:r>
      <w:r>
        <w:rPr>
          <w:i/>
        </w:rPr>
        <w:t>kedushasi lema’alah mi’kedushaschem</w:t>
      </w:r>
      <w:r>
        <w:t xml:space="preserve"> (</w:t>
      </w:r>
      <w:r>
        <w:rPr>
          <w:rFonts w:ascii="David" w:hAnsi="David"/>
        </w:rPr>
        <w:t>קדושתי למעלה מקדושתכם</w:t>
      </w:r>
      <w:r>
        <w:t xml:space="preserve">); before any </w:t>
      </w:r>
      <w:r>
        <w:rPr>
          <w:i/>
        </w:rPr>
        <w:t>bakashah</w:t>
      </w:r>
      <w:r>
        <w:t xml:space="preserve"> can be spoken, the </w:t>
      </w:r>
      <w:r>
        <w:rPr>
          <w:i/>
        </w:rPr>
        <w:t>mispallel</w:t>
      </w:r>
      <w:r>
        <w:t xml:space="preserve"> acknowledges that </w:t>
      </w:r>
      <w:r>
        <w:rPr>
          <w:i/>
        </w:rPr>
        <w:t>Hashem’s</w:t>
      </w:r>
      <w:r>
        <w:t xml:space="preserve"> </w:t>
      </w:r>
      <w:r>
        <w:rPr>
          <w:i/>
        </w:rPr>
        <w:t>kedushah</w:t>
      </w:r>
      <w:r>
        <w:t xml:space="preserve"> is </w:t>
      </w:r>
      <w:r>
        <w:rPr>
          <w:i/>
        </w:rPr>
        <w:t>lema’alah</w:t>
      </w:r>
      <w:r>
        <w:t xml:space="preserve"> from his own.</w:t>
      </w:r>
    </w:p>
    <w:p>
      <w:r>
        <w:rPr>
          <w:b/>
          <w:color w:val="1E3A8A"/>
          <w:sz w:val="26"/>
        </w:rPr>
        <w:t>VIII. THE YEHUDI’S CAPACITY FOR KEDUSHAH</w:t>
      </w:r>
    </w:p>
    <w:p>
      <w:pPr>
        <w:pBdr>
          <w:bottom w:val="single" w:sz="6" w:space="1" w:color="B8860B"/>
        </w:pBdr>
      </w:pPr>
    </w:p>
    <w:p>
      <w:r>
        <w:rPr>
          <w:i/>
          <w:color w:val="B8860B"/>
          <w:sz w:val="24"/>
        </w:rPr>
        <w:t>The Assertion Concealed in the Praise</w:t>
      </w:r>
    </w:p>
    <w:p>
      <w:r>
        <w:t xml:space="preserve">Beneath the </w:t>
      </w:r>
      <w:r>
        <w:rPr>
          <w:i/>
        </w:rPr>
        <w:t>Kuzari’s</w:t>
      </w:r>
      <w:r>
        <w:t xml:space="preserve"> point lies a further one drawn by the </w:t>
      </w:r>
      <w:r>
        <w:rPr>
          <w:i/>
        </w:rPr>
        <w:t>Acharonim</w:t>
      </w:r>
      <w:r>
        <w:t xml:space="preserve">. The </w:t>
      </w:r>
      <w:r>
        <w:rPr>
          <w:i/>
        </w:rPr>
        <w:t>mispallel</w:t>
      </w:r>
      <w:r>
        <w:t xml:space="preserve"> who declares </w:t>
      </w:r>
      <w:r>
        <w:rPr>
          <w:i/>
        </w:rPr>
        <w:t>Atah Kadosh</w:t>
      </w:r>
      <w:r>
        <w:t xml:space="preserve"> is not merely praising; he is asserting his own capacity. The </w:t>
      </w:r>
      <w:r>
        <w:rPr>
          <w:i/>
        </w:rPr>
        <w:t>Mishnah</w:t>
      </w:r>
      <w:r>
        <w:t xml:space="preserve"> in </w:t>
      </w:r>
      <w:r>
        <w:rPr>
          <w:i/>
        </w:rPr>
        <w:t>Avos</w:t>
      </w:r>
      <w:r>
        <w:rPr>
          <w:color w:val="B8860B"/>
          <w:sz w:val="16"/>
          <w:vertAlign w:val="superscript"/>
        </w:rPr>
        <w:t>[10]</w:t>
      </w:r>
      <w:r>
        <w:t xml:space="preserve"> teaches: </w:t>
      </w:r>
      <w:r>
        <w:rPr>
          <w:i/>
        </w:rPr>
        <w:t>Chavivin Yisrael she’nikre’u banim laMakom</w:t>
      </w:r>
      <w:r>
        <w:t xml:space="preserve"> (</w:t>
      </w:r>
      <w:r>
        <w:rPr>
          <w:rFonts w:ascii="David" w:hAnsi="David"/>
        </w:rPr>
        <w:t>חביבין ישראל שנקראו בנים למקום</w:t>
      </w:r>
      <w:r>
        <w:t xml:space="preserve">) — </w:t>
      </w:r>
      <w:r>
        <w:rPr>
          <w:i/>
        </w:rPr>
        <w:t>beloved is Yisrael, called children to the Omnipresent</w:t>
      </w:r>
      <w:r>
        <w:t xml:space="preserve">. Every human being carries </w:t>
      </w:r>
      <w:r>
        <w:rPr>
          <w:i/>
        </w:rPr>
        <w:t>tzelem Elokim</w:t>
      </w:r>
      <w:r>
        <w:t xml:space="preserve"> (</w:t>
      </w:r>
      <w:r>
        <w:rPr>
          <w:rFonts w:ascii="David" w:hAnsi="David"/>
        </w:rPr>
        <w:t>צלם אלוקים</w:t>
      </w:r>
      <w:r>
        <w:t xml:space="preserve">); </w:t>
      </w:r>
      <w:r>
        <w:rPr>
          <w:i/>
        </w:rPr>
        <w:t>Klal Yisrael</w:t>
      </w:r>
      <w:r>
        <w:t xml:space="preserve"> carries an additional relation of sonship. Into that sonship the </w:t>
      </w:r>
      <w:r>
        <w:rPr>
          <w:i/>
        </w:rPr>
        <w:t>Ribbono Shel Olam</w:t>
      </w:r>
      <w:r>
        <w:t xml:space="preserve"> implanted the same </w:t>
      </w:r>
      <w:r>
        <w:rPr>
          <w:i/>
        </w:rPr>
        <w:t>koach</w:t>
      </w:r>
      <w:r>
        <w:t xml:space="preserve"> He Himself possesses: the </w:t>
      </w:r>
      <w:r>
        <w:rPr>
          <w:i/>
        </w:rPr>
        <w:t>koach</w:t>
      </w:r>
      <w:r>
        <w:t xml:space="preserve"> of separation, the </w:t>
      </w:r>
      <w:r>
        <w:rPr>
          <w:i/>
        </w:rPr>
        <w:t>koach</w:t>
      </w:r>
      <w:r>
        <w:t xml:space="preserve"> of </w:t>
      </w:r>
      <w:r>
        <w:rPr>
          <w:i/>
        </w:rPr>
        <w:t>kedushah</w:t>
      </w:r>
      <w:r>
        <w:t xml:space="preserve">. Just as He is </w:t>
      </w:r>
      <w:r>
        <w:rPr>
          <w:i/>
        </w:rPr>
        <w:t>Kadosh</w:t>
      </w:r>
      <w:r>
        <w:t xml:space="preserve">, we have the capacity to be </w:t>
      </w:r>
      <w:r>
        <w:rPr>
          <w:i/>
        </w:rPr>
        <w:t>kedoshim</w:t>
      </w:r>
      <w:r>
        <w:t xml:space="preserve">: </w:t>
      </w:r>
      <w:r>
        <w:rPr>
          <w:i/>
        </w:rPr>
        <w:t>u’kedoshim b’chol yom yehalleluchah selah</w:t>
      </w:r>
      <w:r>
        <w:t xml:space="preserve"> (</w:t>
      </w:r>
      <w:r>
        <w:rPr>
          <w:rFonts w:ascii="David" w:hAnsi="David"/>
        </w:rPr>
        <w:t>וקדושים בכל יום יהללוך סלה</w:t>
      </w:r>
      <w:r>
        <w:t>).</w:t>
      </w:r>
    </w:p>
    <w:p>
      <w:r>
        <w:t xml:space="preserve">Each morning, when the </w:t>
      </w:r>
      <w:r>
        <w:rPr>
          <w:i/>
        </w:rPr>
        <w:t>mispallel</w:t>
      </w:r>
      <w:r>
        <w:t xml:space="preserve"> stands and says </w:t>
      </w:r>
      <w:r>
        <w:rPr>
          <w:i/>
        </w:rPr>
        <w:t>Atah Kadosh</w:t>
      </w:r>
      <w:r>
        <w:t xml:space="preserve">, he is thereby also saying — </w:t>
      </w:r>
      <w:r>
        <w:rPr>
          <w:i/>
        </w:rPr>
        <w:t>I have that capacity.</w:t>
      </w:r>
      <w:r>
        <w:t xml:space="preserve"> No matter how heavy the daily </w:t>
      </w:r>
      <w:r>
        <w:rPr>
          <w:i/>
        </w:rPr>
        <w:t>ta’avos</w:t>
      </w:r>
      <w:r>
        <w:t xml:space="preserve">, no matter how insistent the </w:t>
      </w:r>
      <w:r>
        <w:rPr>
          <w:i/>
        </w:rPr>
        <w:t>yetzer hara</w:t>
      </w:r>
      <w:r>
        <w:t xml:space="preserve">, </w:t>
      </w:r>
      <w:r>
        <w:rPr>
          <w:i/>
        </w:rPr>
        <w:t>Klal Yisrael</w:t>
      </w:r>
      <w:r>
        <w:t xml:space="preserve"> carries the </w:t>
      </w:r>
      <w:r>
        <w:rPr>
          <w:i/>
        </w:rPr>
        <w:t>koach</w:t>
      </w:r>
      <w:r>
        <w:t xml:space="preserve"> of </w:t>
      </w:r>
      <w:r>
        <w:rPr>
          <w:i/>
        </w:rPr>
        <w:t>kedushah</w:t>
      </w:r>
      <w:r>
        <w:t xml:space="preserve"> built in by the same Hand that built us. The daily declaration of </w:t>
      </w:r>
      <w:r>
        <w:rPr>
          <w:i/>
        </w:rPr>
        <w:t>Kadosh</w:t>
      </w:r>
      <w:r>
        <w:t xml:space="preserve"> is a daily reminder that this capacity is not a distant aspiration but a native possession.</w:t>
      </w:r>
    </w:p>
    <w:p>
      <w:r>
        <w:rPr>
          <w:i/>
          <w:color w:val="B8860B"/>
          <w:sz w:val="24"/>
        </w:rPr>
        <w:t>The Rizhiner on Kedoshim Tihyu</w:t>
      </w:r>
    </w:p>
    <w:p>
      <w:r>
        <w:t xml:space="preserve">The </w:t>
      </w:r>
      <w:r>
        <w:rPr>
          <w:i/>
        </w:rPr>
        <w:t>Rizhiner Rebbe</w:t>
      </w:r>
      <w:r>
        <w:t xml:space="preserve"> (</w:t>
      </w:r>
      <w:r>
        <w:rPr>
          <w:rFonts w:ascii="David" w:hAnsi="David"/>
        </w:rPr>
        <w:t>רבי ישראל מריזשין</w:t>
      </w:r>
      <w:r>
        <w:t>)</w:t>
      </w:r>
      <w:r>
        <w:rPr>
          <w:color w:val="B8860B"/>
          <w:sz w:val="16"/>
          <w:vertAlign w:val="superscript"/>
        </w:rPr>
        <w:t>[11]</w:t>
      </w:r>
      <w:r>
        <w:t xml:space="preserve"> reads the well-known </w:t>
      </w:r>
      <w:r>
        <w:rPr>
          <w:i/>
        </w:rPr>
        <w:t>Rashi</w:t>
      </w:r>
      <w:r>
        <w:t xml:space="preserve"> on </w:t>
      </w:r>
      <w:r>
        <w:rPr>
          <w:i/>
        </w:rPr>
        <w:t>Kedoshim Tihyu Ki Kadosh Ani</w:t>
      </w:r>
      <w:r>
        <w:t xml:space="preserve"> with an unexpected inflection. The standard reading of </w:t>
      </w:r>
      <w:r>
        <w:rPr>
          <w:i/>
        </w:rPr>
        <w:t>Rashi</w:t>
      </w:r>
      <w:r>
        <w:t xml:space="preserve"> takes the phrase </w:t>
      </w:r>
      <w:r>
        <w:rPr>
          <w:i/>
        </w:rPr>
        <w:t>Talmud Lomar “Ki Kadosh Ani”</w:t>
      </w:r>
      <w:r>
        <w:t xml:space="preserve"> (</w:t>
      </w:r>
      <w:r>
        <w:rPr>
          <w:rFonts w:ascii="David" w:hAnsi="David"/>
        </w:rPr>
        <w:t>תלמוד לומר "כי קדוש אני"</w:t>
      </w:r>
      <w:r>
        <w:t xml:space="preserve">) as a technical </w:t>
      </w:r>
      <w:r>
        <w:rPr>
          <w:i/>
        </w:rPr>
        <w:t>derashah</w:t>
      </w:r>
      <w:r>
        <w:t xml:space="preserve">: one might have imagined a boundless equivalence — that we should be </w:t>
      </w:r>
      <w:r>
        <w:rPr>
          <w:i/>
        </w:rPr>
        <w:t>kadosh</w:t>
      </w:r>
      <w:r>
        <w:t xml:space="preserve"> in every sense as </w:t>
      </w:r>
      <w:r>
        <w:rPr>
          <w:i/>
        </w:rPr>
        <w:t>Hashem</w:t>
      </w:r>
      <w:r>
        <w:t xml:space="preserve"> is </w:t>
      </w:r>
      <w:r>
        <w:rPr>
          <w:i/>
        </w:rPr>
        <w:t>Kadosh</w:t>
      </w:r>
      <w:r>
        <w:t xml:space="preserve">; </w:t>
      </w:r>
      <w:r>
        <w:rPr>
          <w:i/>
        </w:rPr>
        <w:t>talmud lomar “ki kadosh Ani”</w:t>
      </w:r>
      <w:r>
        <w:t xml:space="preserve"> is the </w:t>
      </w:r>
      <w:r>
        <w:rPr>
          <w:i/>
        </w:rPr>
        <w:t>derashah’s</w:t>
      </w:r>
      <w:r>
        <w:t xml:space="preserve"> corrective — </w:t>
      </w:r>
      <w:r>
        <w:rPr>
          <w:i/>
        </w:rPr>
        <w:t>kedushasi lema’alah mi’kedushaschem</w:t>
      </w:r>
      <w:r>
        <w:t xml:space="preserve">. The </w:t>
      </w:r>
      <w:r>
        <w:rPr>
          <w:i/>
        </w:rPr>
        <w:t>Rizhiner</w:t>
      </w:r>
      <w:r>
        <w:t xml:space="preserve"> reads </w:t>
      </w:r>
      <w:r>
        <w:rPr>
          <w:i/>
        </w:rPr>
        <w:t>talmud lomar</w:t>
      </w:r>
      <w:r>
        <w:t xml:space="preserve"> not as a derivational formula but as an imperative: </w:t>
      </w:r>
      <w:r>
        <w:rPr>
          <w:i/>
        </w:rPr>
        <w:t>teach yourself to say it</w:t>
      </w:r>
      <w:r>
        <w:t xml:space="preserve">. Talk to yourself every day: </w:t>
      </w:r>
      <w:r>
        <w:rPr>
          <w:i/>
        </w:rPr>
        <w:t>I am a kadosh.</w:t>
      </w:r>
      <w:r>
        <w:t xml:space="preserve"> The act of sustained self-affirmation crystallizes over time into self-becoming. The daily </w:t>
      </w:r>
      <w:r>
        <w:rPr>
          <w:i/>
        </w:rPr>
        <w:t>Atah Kadosh</w:t>
      </w:r>
      <w:r>
        <w:t xml:space="preserve"> is, in this reading, the </w:t>
      </w:r>
      <w:r>
        <w:rPr>
          <w:i/>
        </w:rPr>
        <w:t>mispallel’s</w:t>
      </w:r>
      <w:r>
        <w:t xml:space="preserve"> own </w:t>
      </w:r>
      <w:r>
        <w:rPr>
          <w:i/>
        </w:rPr>
        <w:t>talmud lomar</w:t>
      </w:r>
      <w:r>
        <w:t xml:space="preserve"> — the daily instruction to himself of what he is.</w:t>
      </w:r>
    </w:p>
    <w:p>
      <w:r>
        <w:rPr>
          <w:i/>
          <w:color w:val="B8860B"/>
          <w:sz w:val="24"/>
        </w:rPr>
        <w:t>Rav Yonah of Vizhnitz — The Gap Between Lips and Nefesh</w:t>
      </w:r>
    </w:p>
    <w:p>
      <w:r>
        <w:t xml:space="preserve">A story preserved in the chassidishe transmission of </w:t>
      </w:r>
      <w:r>
        <w:rPr>
          <w:i/>
        </w:rPr>
        <w:t>Rav Yonah of Vizhnitz</w:t>
      </w:r>
      <w:r>
        <w:rPr>
          <w:color w:val="B8860B"/>
          <w:sz w:val="16"/>
          <w:vertAlign w:val="superscript"/>
        </w:rPr>
        <w:t>[12]</w:t>
      </w:r>
      <w:r>
        <w:t xml:space="preserve"> renders the </w:t>
      </w:r>
      <w:r>
        <w:rPr>
          <w:i/>
        </w:rPr>
        <w:t>avodah</w:t>
      </w:r>
      <w:r>
        <w:t xml:space="preserve"> of </w:t>
      </w:r>
      <w:r>
        <w:rPr>
          <w:i/>
        </w:rPr>
        <w:t>Atah Kadosh</w:t>
      </w:r>
      <w:r>
        <w:t xml:space="preserve"> in an unforgettable form. In Prague, a </w:t>
      </w:r>
      <w:r>
        <w:rPr>
          <w:i/>
        </w:rPr>
        <w:t>baal habayis</w:t>
      </w:r>
      <w:r>
        <w:t xml:space="preserve"> who had not received the </w:t>
      </w:r>
      <w:r>
        <w:rPr>
          <w:i/>
        </w:rPr>
        <w:t>aliyah</w:t>
      </w:r>
      <w:r>
        <w:t xml:space="preserve"> he had expected made a public </w:t>
      </w:r>
      <w:r>
        <w:rPr>
          <w:i/>
        </w:rPr>
        <w:t>shturem</w:t>
      </w:r>
      <w:r>
        <w:t xml:space="preserve"> in shul on </w:t>
      </w:r>
      <w:r>
        <w:rPr>
          <w:i/>
        </w:rPr>
        <w:t>Shabbos</w:t>
      </w:r>
      <w:r>
        <w:t xml:space="preserve">. </w:t>
      </w:r>
      <w:r>
        <w:rPr>
          <w:i/>
        </w:rPr>
        <w:t>Rav Yonah</w:t>
      </w:r>
      <w:r>
        <w:t xml:space="preserve"> approached him quietly and said: </w:t>
      </w:r>
      <w:r>
        <w:rPr>
          <w:i/>
        </w:rPr>
        <w:t>I do not understand. You sit by the mizrach; I heard you just now saying Yishtabach aloud. You said — V’nafshi k’afar la’kol tih’yeh — let my soul be like dust to all. How is it possible that a man who has just prayed for the effacement of the self makes a public fuss over an aliyah?</w:t>
      </w:r>
    </w:p>
    <w:p>
      <w:r>
        <w:rPr>
          <w:b/>
          <w:color w:val="1E3A8A"/>
          <w:sz w:val="26"/>
        </w:rPr>
        <w:t>IX. THE CLOSING OF THE OPENING UNIT</w:t>
      </w:r>
    </w:p>
    <w:p>
      <w:pPr>
        <w:pBdr>
          <w:bottom w:val="single" w:sz="6" w:space="1" w:color="B8860B"/>
        </w:pBdr>
      </w:pPr>
    </w:p>
    <w:p>
      <w:r>
        <w:rPr>
          <w:i/>
          <w:color w:val="B8860B"/>
          <w:sz w:val="24"/>
        </w:rPr>
        <w:t>Halachah — The Three Berachos as One Unit</w:t>
      </w:r>
    </w:p>
    <w:p>
      <w:r>
        <w:t xml:space="preserve">The third </w:t>
      </w:r>
      <w:r>
        <w:rPr>
          <w:i/>
        </w:rPr>
        <w:t>berachah</w:t>
      </w:r>
      <w:r>
        <w:t xml:space="preserve"> is the seal of the first liturgical unit of </w:t>
      </w:r>
      <w:r>
        <w:rPr>
          <w:i/>
        </w:rPr>
        <w:t>Shemoneh Esrei</w:t>
      </w:r>
      <w:r>
        <w:t xml:space="preserve"> — the unit of </w:t>
      </w:r>
      <w:r>
        <w:rPr>
          <w:i/>
        </w:rPr>
        <w:t>shevach</w:t>
      </w:r>
      <w:r>
        <w:t xml:space="preserve">. </w:t>
      </w:r>
      <w:r>
        <w:rPr>
          <w:i/>
        </w:rPr>
        <w:t>Halachah l’maaseh</w:t>
      </w:r>
      <w:r>
        <w:t xml:space="preserve"> confirms this structurally. If a </w:t>
      </w:r>
      <w:r>
        <w:rPr>
          <w:i/>
        </w:rPr>
        <w:t>mispallel</w:t>
      </w:r>
      <w:r>
        <w:t xml:space="preserve"> makes a critical error at any point in the first three </w:t>
      </w:r>
      <w:r>
        <w:rPr>
          <w:i/>
        </w:rPr>
        <w:t>berachos</w:t>
      </w:r>
      <w:r>
        <w:t xml:space="preserve"> requiring him to return, he cannot simply resume from the beginning of </w:t>
      </w:r>
      <w:r>
        <w:rPr>
          <w:i/>
        </w:rPr>
        <w:t>HaKel HaKadosh</w:t>
      </w:r>
      <w:r>
        <w:t xml:space="preserve">; he must return to the beginning of </w:t>
      </w:r>
      <w:r>
        <w:rPr>
          <w:i/>
        </w:rPr>
        <w:t>Shemoneh Esrei</w:t>
      </w:r>
      <w:r>
        <w:t xml:space="preserve"> altogether. The three </w:t>
      </w:r>
      <w:r>
        <w:rPr>
          <w:i/>
        </w:rPr>
        <w:t>berachos</w:t>
      </w:r>
      <w:r>
        <w:t xml:space="preserve"> form a single indivisible unit of praise, and any repair must reconstitute the unit from its opening.</w:t>
      </w:r>
    </w:p>
    <w:p>
      <w:r>
        <w:rPr>
          <w:i/>
          <w:color w:val="B8860B"/>
          <w:sz w:val="24"/>
        </w:rPr>
        <w:t>The Rema on the Amen After HaKel HaKadosh</w:t>
      </w:r>
    </w:p>
    <w:p>
      <w:r>
        <w:t xml:space="preserve">A less-widely-known </w:t>
      </w:r>
      <w:r>
        <w:rPr>
          <w:i/>
        </w:rPr>
        <w:t>halachah</w:t>
      </w:r>
      <w:r>
        <w:t xml:space="preserve"> gives the point additional weight. If a </w:t>
      </w:r>
      <w:r>
        <w:rPr>
          <w:i/>
        </w:rPr>
        <w:t>mispallel</w:t>
      </w:r>
      <w:r>
        <w:t xml:space="preserve"> arrives at shul while </w:t>
      </w:r>
      <w:r>
        <w:rPr>
          <w:i/>
        </w:rPr>
        <w:t>chazaras ha’shatz</w:t>
      </w:r>
      <w:r>
        <w:t xml:space="preserve"> is already in progress and cannot begin his </w:t>
      </w:r>
      <w:r>
        <w:rPr>
          <w:i/>
        </w:rPr>
        <w:t>Shemoneh Esrei</w:t>
      </w:r>
      <w:r>
        <w:t xml:space="preserve"> with the </w:t>
      </w:r>
      <w:r>
        <w:rPr>
          <w:i/>
        </w:rPr>
        <w:t>chazan</w:t>
      </w:r>
      <w:r>
        <w:t xml:space="preserve">, the </w:t>
      </w:r>
      <w:r>
        <w:rPr>
          <w:i/>
        </w:rPr>
        <w:t>Rema</w:t>
      </w:r>
      <w:r>
        <w:rPr>
          <w:color w:val="B8860B"/>
          <w:sz w:val="16"/>
          <w:vertAlign w:val="superscript"/>
        </w:rPr>
        <w:t>[13]</w:t>
      </w:r>
      <w:r>
        <w:t xml:space="preserve"> rules that he should wait. He should say </w:t>
      </w:r>
      <w:r>
        <w:rPr>
          <w:i/>
        </w:rPr>
        <w:t>Kedushah</w:t>
      </w:r>
      <w:r>
        <w:t xml:space="preserve"> with the </w:t>
      </w:r>
      <w:r>
        <w:rPr>
          <w:i/>
        </w:rPr>
        <w:t>tzibbur</w:t>
      </w:r>
      <w:r>
        <w:t xml:space="preserve">; then continue waiting through the close of </w:t>
      </w:r>
      <w:r>
        <w:rPr>
          <w:i/>
        </w:rPr>
        <w:t>HaKel HaKadosh</w:t>
      </w:r>
      <w:r>
        <w:t xml:space="preserve">; answer </w:t>
      </w:r>
      <w:r>
        <w:rPr>
          <w:i/>
        </w:rPr>
        <w:t>Amen</w:t>
      </w:r>
      <w:r>
        <w:t xml:space="preserve"> to that </w:t>
      </w:r>
      <w:r>
        <w:rPr>
          <w:i/>
        </w:rPr>
        <w:t>berachah</w:t>
      </w:r>
      <w:r>
        <w:t xml:space="preserve"> specifically; and only then begin his own </w:t>
      </w:r>
      <w:r>
        <w:rPr>
          <w:i/>
        </w:rPr>
        <w:t>Shemoneh Esrei</w:t>
      </w:r>
      <w:r>
        <w:t xml:space="preserve">. That particular </w:t>
      </w:r>
      <w:r>
        <w:rPr>
          <w:i/>
        </w:rPr>
        <w:t>Amen</w:t>
      </w:r>
      <w:r>
        <w:t xml:space="preserve"> — the </w:t>
      </w:r>
      <w:r>
        <w:rPr>
          <w:i/>
        </w:rPr>
        <w:t>Amen</w:t>
      </w:r>
      <w:r>
        <w:t xml:space="preserve"> that seals the opening unit — is more important than any other </w:t>
      </w:r>
      <w:r>
        <w:rPr>
          <w:i/>
        </w:rPr>
        <w:t>Amen</w:t>
      </w:r>
      <w:r>
        <w:t xml:space="preserve"> he might answer during </w:t>
      </w:r>
      <w:r>
        <w:rPr>
          <w:i/>
        </w:rPr>
        <w:t>chazaras ha’shatz</w:t>
      </w:r>
      <w:r>
        <w:t xml:space="preserve">. The </w:t>
      </w:r>
      <w:r>
        <w:rPr>
          <w:i/>
        </w:rPr>
        <w:t>Beis Yosef</w:t>
      </w:r>
      <w:r>
        <w:t xml:space="preserve"> registers hesitation about extending the wait this far; the </w:t>
      </w:r>
      <w:r>
        <w:rPr>
          <w:i/>
        </w:rPr>
        <w:t>Rema’s</w:t>
      </w:r>
      <w:r>
        <w:t xml:space="preserve"> point stands. It is not only the </w:t>
      </w:r>
      <w:r>
        <w:rPr>
          <w:i/>
        </w:rPr>
        <w:t>Kedushah</w:t>
      </w:r>
      <w:r>
        <w:t xml:space="preserve"> that matters at this station of the davening, but the </w:t>
      </w:r>
      <w:r>
        <w:rPr>
          <w:i/>
        </w:rPr>
        <w:t>Amen</w:t>
      </w:r>
      <w:r>
        <w:t xml:space="preserve"> that closes the triadic unit.</w:t>
      </w:r>
    </w:p>
    <w:p>
      <w:r>
        <w:rPr>
          <w:i/>
          <w:color w:val="B8860B"/>
          <w:sz w:val="24"/>
        </w:rPr>
        <w:t>The Amen Within Krias Shema</w:t>
      </w:r>
    </w:p>
    <w:p>
      <w:r>
        <w:t xml:space="preserve">The general principle is well known that one cannot interrupt </w:t>
      </w:r>
      <w:r>
        <w:rPr>
          <w:i/>
        </w:rPr>
        <w:t>Krias Shema</w:t>
      </w:r>
      <w:r>
        <w:t xml:space="preserve"> for ordinary </w:t>
      </w:r>
      <w:r>
        <w:rPr>
          <w:i/>
        </w:rPr>
        <w:t>amenim</w:t>
      </w:r>
      <w:r>
        <w:t xml:space="preserve">. The exceptions traditionally taught are </w:t>
      </w:r>
      <w:r>
        <w:rPr>
          <w:i/>
        </w:rPr>
        <w:t>Kaddish</w:t>
      </w:r>
      <w:r>
        <w:t xml:space="preserve"> and </w:t>
      </w:r>
      <w:r>
        <w:rPr>
          <w:i/>
        </w:rPr>
        <w:t>Kedushah</w:t>
      </w:r>
      <w:r>
        <w:t xml:space="preserve">. On the same logic, the </w:t>
      </w:r>
      <w:r>
        <w:rPr>
          <w:i/>
        </w:rPr>
        <w:t>Rema</w:t>
      </w:r>
      <w:r>
        <w:t xml:space="preserve"> permits the </w:t>
      </w:r>
      <w:r>
        <w:rPr>
          <w:i/>
        </w:rPr>
        <w:t>Amen</w:t>
      </w:r>
      <w:r>
        <w:t xml:space="preserve"> following </w:t>
      </w:r>
      <w:r>
        <w:rPr>
          <w:i/>
        </w:rPr>
        <w:t>HaKel HaKadosh</w:t>
      </w:r>
      <w:r>
        <w:t xml:space="preserve"> to be answered mid-</w:t>
      </w:r>
      <w:r>
        <w:rPr>
          <w:i/>
        </w:rPr>
        <w:t>Krias Shema</w:t>
      </w:r>
      <w:r>
        <w:t xml:space="preserve"> as well. </w:t>
      </w:r>
      <w:r>
        <w:rPr>
          <w:i/>
        </w:rPr>
        <w:t>Halachah l’maaseh</w:t>
      </w:r>
      <w:r>
        <w:t xml:space="preserve">, this is a </w:t>
      </w:r>
      <w:r>
        <w:rPr>
          <w:i/>
        </w:rPr>
        <w:t>pesak</w:t>
      </w:r>
      <w:r>
        <w:t xml:space="preserve"> that many </w:t>
      </w:r>
      <w:r>
        <w:rPr>
          <w:i/>
        </w:rPr>
        <w:t>mispallelim</w:t>
      </w:r>
      <w:r>
        <w:t xml:space="preserve"> pass their lifetime without encountering.</w:t>
      </w:r>
    </w:p>
    <w:p>
      <w:r>
        <w:rPr>
          <w:b/>
          <w:color w:val="1E3A8A"/>
          <w:sz w:val="26"/>
        </w:rPr>
        <w:t>X. L’DOR VADOR VERSUS ATAH KADOSH — THE NUSACH STORY</w:t>
      </w:r>
    </w:p>
    <w:p>
      <w:pPr>
        <w:pBdr>
          <w:bottom w:val="single" w:sz="6" w:space="1" w:color="B8860B"/>
        </w:pBdr>
      </w:pPr>
    </w:p>
    <w:p>
      <w:r>
        <w:rPr>
          <w:i/>
          <w:color w:val="B8860B"/>
          <w:sz w:val="24"/>
        </w:rPr>
        <w:t>The Machlokes</w:t>
      </w:r>
    </w:p>
    <w:p>
      <w:r>
        <w:t xml:space="preserve">A well-known divergence separates the two great </w:t>
      </w:r>
      <w:r>
        <w:rPr>
          <w:i/>
        </w:rPr>
        <w:t>nusachos</w:t>
      </w:r>
      <w:r>
        <w:t xml:space="preserve"> at this station of the </w:t>
      </w:r>
      <w:r>
        <w:rPr>
          <w:i/>
        </w:rPr>
        <w:t>Amidah</w:t>
      </w:r>
      <w:r>
        <w:t xml:space="preserve">. In the silent </w:t>
      </w:r>
      <w:r>
        <w:rPr>
          <w:i/>
        </w:rPr>
        <w:t>Shemoneh Esrei</w:t>
      </w:r>
      <w:r>
        <w:t xml:space="preserve"> of the </w:t>
      </w:r>
      <w:r>
        <w:rPr>
          <w:i/>
        </w:rPr>
        <w:t>yachid</w:t>
      </w:r>
      <w:r>
        <w:t xml:space="preserve">, does one open the third </w:t>
      </w:r>
      <w:r>
        <w:rPr>
          <w:i/>
        </w:rPr>
        <w:t>berachah</w:t>
      </w:r>
      <w:r>
        <w:t xml:space="preserve"> with </w:t>
      </w:r>
      <w:r>
        <w:rPr>
          <w:i/>
        </w:rPr>
        <w:t>L’dor VaDor Nagid Godlecha</w:t>
      </w:r>
      <w:r>
        <w:t xml:space="preserve"> (</w:t>
      </w:r>
      <w:r>
        <w:rPr>
          <w:rFonts w:ascii="David" w:hAnsi="David"/>
        </w:rPr>
        <w:t>לדור ודור נגיד גדלך</w:t>
      </w:r>
      <w:r>
        <w:t xml:space="preserve">) — the formulation of </w:t>
      </w:r>
      <w:r>
        <w:rPr>
          <w:i/>
        </w:rPr>
        <w:t>Nusach Ashkenaz</w:t>
      </w:r>
      <w:r>
        <w:t xml:space="preserve"> — or with </w:t>
      </w:r>
      <w:r>
        <w:rPr>
          <w:i/>
        </w:rPr>
        <w:t>Atah Kadosh V’Shimcha Kadosh</w:t>
      </w:r>
      <w:r>
        <w:t xml:space="preserve"> — the formulation of </w:t>
      </w:r>
      <w:r>
        <w:rPr>
          <w:i/>
        </w:rPr>
        <w:t>Nusach Sefard</w:t>
      </w:r>
      <w:r>
        <w:t>?</w:t>
      </w:r>
    </w:p>
    <w:p>
      <w:r>
        <w:rPr>
          <w:i/>
          <w:color w:val="B8860B"/>
          <w:sz w:val="24"/>
        </w:rPr>
        <w:t>The Original Nusach</w:t>
      </w:r>
    </w:p>
    <w:p>
      <w:r>
        <w:t xml:space="preserve">The </w:t>
      </w:r>
      <w:r>
        <w:rPr>
          <w:i/>
        </w:rPr>
        <w:t>Rambam</w:t>
      </w:r>
      <w:r>
        <w:t xml:space="preserve"> in </w:t>
      </w:r>
      <w:r>
        <w:rPr>
          <w:i/>
        </w:rPr>
        <w:t>Sefer Ahavah</w:t>
      </w:r>
      <w:r>
        <w:t>,</w:t>
      </w:r>
      <w:r>
        <w:rPr>
          <w:color w:val="B8860B"/>
          <w:sz w:val="16"/>
          <w:vertAlign w:val="superscript"/>
        </w:rPr>
        <w:t>[14]</w:t>
      </w:r>
      <w:r>
        <w:t xml:space="preserve"> in his </w:t>
      </w:r>
      <w:r>
        <w:rPr>
          <w:i/>
        </w:rPr>
        <w:t>seder ha’tefillah</w:t>
      </w:r>
      <w:r>
        <w:t xml:space="preserve">, records the third </w:t>
      </w:r>
      <w:r>
        <w:rPr>
          <w:i/>
        </w:rPr>
        <w:t>berachah</w:t>
      </w:r>
      <w:r>
        <w:t xml:space="preserve"> in the </w:t>
      </w:r>
      <w:r>
        <w:rPr>
          <w:i/>
        </w:rPr>
        <w:t>L’dor VaDor</w:t>
      </w:r>
      <w:r>
        <w:t xml:space="preserve"> formulation. This is a fact of considerable weight, since the </w:t>
      </w:r>
      <w:r>
        <w:rPr>
          <w:i/>
        </w:rPr>
        <w:t>Rambam</w:t>
      </w:r>
      <w:r>
        <w:t xml:space="preserve"> is Sephardic, while the </w:t>
      </w:r>
      <w:r>
        <w:rPr>
          <w:i/>
        </w:rPr>
        <w:t>L’dor VaDor</w:t>
      </w:r>
      <w:r>
        <w:t xml:space="preserve"> formulation is today identified as </w:t>
      </w:r>
      <w:r>
        <w:rPr>
          <w:i/>
        </w:rPr>
        <w:t>Nusach Ashkenaz</w:t>
      </w:r>
      <w:r>
        <w:t xml:space="preserve">. The Provencal </w:t>
      </w:r>
      <w:r>
        <w:rPr>
          <w:i/>
        </w:rPr>
        <w:t>Rishonim</w:t>
      </w:r>
      <w:r>
        <w:t xml:space="preserve"> confirm the picture. The </w:t>
      </w:r>
      <w:r>
        <w:rPr>
          <w:i/>
        </w:rPr>
        <w:t>Orchos Chaim</w:t>
      </w:r>
      <w:r>
        <w:t xml:space="preserve"> and the </w:t>
      </w:r>
      <w:r>
        <w:rPr>
          <w:i/>
        </w:rPr>
        <w:t>Kol Bo</w:t>
      </w:r>
      <w:r>
        <w:t>,</w:t>
      </w:r>
      <w:r>
        <w:rPr>
          <w:color w:val="B8860B"/>
          <w:sz w:val="16"/>
          <w:vertAlign w:val="superscript"/>
        </w:rPr>
        <w:t>[15]</w:t>
      </w:r>
      <w:r>
        <w:t xml:space="preserve"> both cited extensively by the </w:t>
      </w:r>
      <w:r>
        <w:rPr>
          <w:i/>
        </w:rPr>
        <w:t>Beis Yosef</w:t>
      </w:r>
      <w:r>
        <w:t xml:space="preserve">, preserve the same early tradition: the </w:t>
      </w:r>
      <w:r>
        <w:rPr>
          <w:i/>
        </w:rPr>
        <w:t>original</w:t>
      </w:r>
      <w:r>
        <w:t xml:space="preserve"> </w:t>
      </w:r>
      <w:r>
        <w:rPr>
          <w:i/>
        </w:rPr>
        <w:t>nusach ha’masorah</w:t>
      </w:r>
      <w:r>
        <w:t xml:space="preserve"> of the </w:t>
      </w:r>
      <w:r>
        <w:rPr>
          <w:i/>
        </w:rPr>
        <w:t>yachid’s</w:t>
      </w:r>
      <w:r>
        <w:t xml:space="preserve"> silent </w:t>
      </w:r>
      <w:r>
        <w:rPr>
          <w:i/>
        </w:rPr>
        <w:t>Amidah</w:t>
      </w:r>
      <w:r>
        <w:t xml:space="preserve"> ran </w:t>
      </w:r>
      <w:r>
        <w:rPr>
          <w:i/>
        </w:rPr>
        <w:t>L’dor VaDor</w:t>
      </w:r>
      <w:r>
        <w:t xml:space="preserve"> — flowing directly from the </w:t>
      </w:r>
      <w:r>
        <w:rPr>
          <w:i/>
        </w:rPr>
        <w:t>Kedushah</w:t>
      </w:r>
      <w:r>
        <w:t xml:space="preserve"> conceptually and textually.</w:t>
      </w:r>
    </w:p>
    <w:p>
      <w:r>
        <w:rPr>
          <w:i/>
          <w:color w:val="B8860B"/>
          <w:sz w:val="24"/>
        </w:rPr>
        <w:t>Why the Nusach Was Later Modified</w:t>
      </w:r>
    </w:p>
    <w:p>
      <w:r>
        <w:t xml:space="preserve">Why then was the </w:t>
      </w:r>
      <w:r>
        <w:rPr>
          <w:i/>
        </w:rPr>
        <w:t>nusach</w:t>
      </w:r>
      <w:r>
        <w:t xml:space="preserve"> subsequently reorganized in the Sephardic tradition to open with </w:t>
      </w:r>
      <w:r>
        <w:rPr>
          <w:i/>
        </w:rPr>
        <w:t>Atah Kadosh V’Shimcha Kadosh</w:t>
      </w:r>
      <w:r>
        <w:t xml:space="preserve"> in the silent </w:t>
      </w:r>
      <w:r>
        <w:rPr>
          <w:i/>
        </w:rPr>
        <w:t>Shemoneh Esrei</w:t>
      </w:r>
      <w:r>
        <w:t xml:space="preserve">? The reason is structural. The third </w:t>
      </w:r>
      <w:r>
        <w:rPr>
          <w:i/>
        </w:rPr>
        <w:t>berachah</w:t>
      </w:r>
      <w:r>
        <w:t xml:space="preserve"> requires </w:t>
      </w:r>
      <w:r>
        <w:rPr>
          <w:i/>
        </w:rPr>
        <w:t>three</w:t>
      </w:r>
      <w:r>
        <w:t xml:space="preserve"> mentions of </w:t>
      </w:r>
      <w:r>
        <w:rPr>
          <w:i/>
        </w:rPr>
        <w:t>Kadosh</w:t>
      </w:r>
      <w:r>
        <w:t xml:space="preserve">, mirroring the </w:t>
      </w:r>
      <w:r>
        <w:rPr>
          <w:i/>
        </w:rPr>
        <w:t>malachim’s</w:t>
      </w:r>
      <w:r>
        <w:t xml:space="preserve"> triple </w:t>
      </w:r>
      <w:r>
        <w:rPr>
          <w:i/>
        </w:rPr>
        <w:t>Kadosh Kadosh Kadosh</w:t>
      </w:r>
      <w:r>
        <w:t>.</w:t>
      </w:r>
    </w:p>
    <w:p>
      <w:r>
        <w:t xml:space="preserve">In the </w:t>
      </w:r>
      <w:r>
        <w:rPr>
          <w:i/>
        </w:rPr>
        <w:t>chazaras ha’shatz</w:t>
      </w:r>
      <w:r>
        <w:t xml:space="preserve">, the three </w:t>
      </w:r>
      <w:r>
        <w:rPr>
          <w:i/>
        </w:rPr>
        <w:t>Kadosh’s</w:t>
      </w:r>
      <w:r>
        <w:t xml:space="preserve"> are explicit in the </w:t>
      </w:r>
      <w:r>
        <w:rPr>
          <w:i/>
        </w:rPr>
        <w:t>Kedushah</w:t>
      </w:r>
      <w:r>
        <w:t xml:space="preserve"> itself, as the </w:t>
      </w:r>
      <w:r>
        <w:rPr>
          <w:i/>
        </w:rPr>
        <w:t>tzibbur</w:t>
      </w:r>
      <w:r>
        <w:t xml:space="preserve"> proclaims them. But the </w:t>
      </w:r>
      <w:r>
        <w:rPr>
          <w:i/>
        </w:rPr>
        <w:t>yachid</w:t>
      </w:r>
      <w:r>
        <w:t xml:space="preserve"> davening alone has no </w:t>
      </w:r>
      <w:r>
        <w:rPr>
          <w:i/>
        </w:rPr>
        <w:t>Kedushah</w:t>
      </w:r>
      <w:r>
        <w:t xml:space="preserve">. His silent </w:t>
      </w:r>
      <w:r>
        <w:rPr>
          <w:i/>
        </w:rPr>
        <w:t>berachah</w:t>
      </w:r>
      <w:r>
        <w:t xml:space="preserve">, if it opened with </w:t>
      </w:r>
      <w:r>
        <w:rPr>
          <w:i/>
        </w:rPr>
        <w:t>L’dor VaDor</w:t>
      </w:r>
      <w:r>
        <w:t xml:space="preserve">, would be missing the requisite triple invocation. The </w:t>
      </w:r>
      <w:r>
        <w:rPr>
          <w:i/>
        </w:rPr>
        <w:t>Chachomim</w:t>
      </w:r>
      <w:r>
        <w:t xml:space="preserve"> therefore reorganized the </w:t>
      </w:r>
      <w:r>
        <w:rPr>
          <w:i/>
        </w:rPr>
        <w:t>yachid’s</w:t>
      </w:r>
      <w:r>
        <w:t xml:space="preserve"> </w:t>
      </w:r>
      <w:r>
        <w:rPr>
          <w:i/>
        </w:rPr>
        <w:t>nusach</w:t>
      </w:r>
      <w:r>
        <w:t xml:space="preserve"> to insert three </w:t>
      </w:r>
      <w:r>
        <w:rPr>
          <w:i/>
        </w:rPr>
        <w:t>Kadosh</w:t>
      </w:r>
      <w:r>
        <w:t xml:space="preserve"> mentions explicitly into the body of the </w:t>
      </w:r>
      <w:r>
        <w:rPr>
          <w:i/>
        </w:rPr>
        <w:t>berachah</w:t>
      </w:r>
      <w:r>
        <w:t xml:space="preserve">: </w:t>
      </w:r>
      <w:r>
        <w:rPr>
          <w:i/>
        </w:rPr>
        <w:t>Atah Kadosh, V’Shimcha Kadosh, u’Kedoshim b’chol yom yehalleluchah selah</w:t>
      </w:r>
      <w:r>
        <w:t xml:space="preserve">. Now the count is satisfied within the silent </w:t>
      </w:r>
      <w:r>
        <w:rPr>
          <w:i/>
        </w:rPr>
        <w:t>Amidah</w:t>
      </w:r>
      <w:r>
        <w:t xml:space="preserve"> itself.</w:t>
      </w:r>
    </w:p>
    <w:p>
      <w:r>
        <w:t xml:space="preserve">The Sephardic </w:t>
      </w:r>
      <w:r>
        <w:rPr>
          <w:i/>
        </w:rPr>
        <w:t>Atah Kadosh</w:t>
      </w:r>
      <w:r>
        <w:t xml:space="preserve"> is therefore not the original formulation; it is a later structural </w:t>
      </w:r>
      <w:r>
        <w:rPr>
          <w:i/>
        </w:rPr>
        <w:t>takanah</w:t>
      </w:r>
      <w:r>
        <w:t xml:space="preserve">. </w:t>
      </w:r>
      <w:r>
        <w:rPr>
          <w:i/>
        </w:rPr>
        <w:t>L’dor VaDor</w:t>
      </w:r>
      <w:r>
        <w:t xml:space="preserve"> is the original. In the </w:t>
      </w:r>
      <w:r>
        <w:rPr>
          <w:i/>
        </w:rPr>
        <w:t>chazaras ha’shatz</w:t>
      </w:r>
      <w:r>
        <w:t xml:space="preserve">, both </w:t>
      </w:r>
      <w:r>
        <w:rPr>
          <w:i/>
        </w:rPr>
        <w:t>nusachos</w:t>
      </w:r>
      <w:r>
        <w:t xml:space="preserve"> say </w:t>
      </w:r>
      <w:r>
        <w:rPr>
          <w:i/>
        </w:rPr>
        <w:t>L’dor VaDor</w:t>
      </w:r>
      <w:r>
        <w:t xml:space="preserve"> in agreement; only in the silent </w:t>
      </w:r>
      <w:r>
        <w:rPr>
          <w:i/>
        </w:rPr>
        <w:t>tefillah</w:t>
      </w:r>
      <w:r>
        <w:t xml:space="preserve"> of the </w:t>
      </w:r>
      <w:r>
        <w:rPr>
          <w:i/>
        </w:rPr>
        <w:t>yachid</w:t>
      </w:r>
      <w:r>
        <w:t xml:space="preserve"> do the traditions diverge, and the divergence is the mark of a later halachic accommodation of the three-</w:t>
      </w:r>
      <w:r>
        <w:rPr>
          <w:i/>
        </w:rPr>
        <w:t>Kadosh</w:t>
      </w:r>
      <w:r>
        <w:t xml:space="preserve"> requirement.</w:t>
      </w:r>
    </w:p>
    <w:p>
      <w:r>
        <w:rPr>
          <w:b/>
          <w:color w:val="1E3A8A"/>
          <w:sz w:val="26"/>
        </w:rPr>
        <w:t>XI. HAMELECH HAKADOSH ON ASERES YEMEI TESHUVAH</w:t>
      </w:r>
    </w:p>
    <w:p>
      <w:pPr>
        <w:pBdr>
          <w:bottom w:val="single" w:sz="6" w:space="1" w:color="B8860B"/>
        </w:pBdr>
      </w:pPr>
    </w:p>
    <w:p>
      <w:r>
        <w:rPr>
          <w:i/>
          <w:color w:val="B8860B"/>
          <w:sz w:val="24"/>
        </w:rPr>
        <w:t>The Substitution and Its Source</w:t>
      </w:r>
    </w:p>
    <w:p>
      <w:r>
        <w:t xml:space="preserve">During the </w:t>
      </w:r>
      <w:r>
        <w:rPr>
          <w:i/>
        </w:rPr>
        <w:t>Aseres Yemei Teshuvah</w:t>
      </w:r>
      <w:r>
        <w:t xml:space="preserve">, the closing formula of the third </w:t>
      </w:r>
      <w:r>
        <w:rPr>
          <w:i/>
        </w:rPr>
        <w:t>berachah</w:t>
      </w:r>
      <w:r>
        <w:t xml:space="preserve"> shifts. In place of </w:t>
      </w:r>
      <w:r>
        <w:rPr>
          <w:i/>
        </w:rPr>
        <w:t>HaKel HaKadosh</w:t>
      </w:r>
      <w:r>
        <w:t xml:space="preserve">, the </w:t>
      </w:r>
      <w:r>
        <w:rPr>
          <w:i/>
        </w:rPr>
        <w:t>mispallel</w:t>
      </w:r>
      <w:r>
        <w:t xml:space="preserve"> says </w:t>
      </w:r>
      <w:r>
        <w:rPr>
          <w:i/>
        </w:rPr>
        <w:t>HaMelech HaKadosh</w:t>
      </w:r>
      <w:r>
        <w:t xml:space="preserve">. The </w:t>
      </w:r>
      <w:r>
        <w:rPr>
          <w:i/>
        </w:rPr>
        <w:t>Zohar HaKadosh</w:t>
      </w:r>
      <w:r>
        <w:t xml:space="preserve"> grounds the substitution kabbalistically: </w:t>
      </w:r>
      <w:r>
        <w:rPr>
          <w:i/>
        </w:rPr>
        <w:t>HaKel</w:t>
      </w:r>
      <w:r>
        <w:t xml:space="preserve"> is associated with </w:t>
      </w:r>
      <w:r>
        <w:rPr>
          <w:i/>
        </w:rPr>
        <w:t>chesed</w:t>
      </w:r>
      <w:r>
        <w:t xml:space="preserve">; </w:t>
      </w:r>
      <w:r>
        <w:rPr>
          <w:i/>
        </w:rPr>
        <w:t>HaMelech</w:t>
      </w:r>
      <w:r>
        <w:t xml:space="preserve"> is associated with </w:t>
      </w:r>
      <w:r>
        <w:rPr>
          <w:i/>
        </w:rPr>
        <w:t>din</w:t>
      </w:r>
      <w:r>
        <w:t xml:space="preserve"> and </w:t>
      </w:r>
      <w:r>
        <w:rPr>
          <w:i/>
        </w:rPr>
        <w:t>gevurah</w:t>
      </w:r>
      <w:r>
        <w:t xml:space="preserve">. When </w:t>
      </w:r>
      <w:r>
        <w:rPr>
          <w:i/>
        </w:rPr>
        <w:t>HaMelech yosheiv ba’din</w:t>
      </w:r>
      <w:r>
        <w:t xml:space="preserve"> (</w:t>
      </w:r>
      <w:r>
        <w:rPr>
          <w:rFonts w:ascii="David" w:hAnsi="David"/>
        </w:rPr>
        <w:t>המלך יושב בדין</w:t>
      </w:r>
      <w:r>
        <w:t xml:space="preserve">), the formulation shifts accordingly. The </w:t>
      </w:r>
      <w:r>
        <w:rPr>
          <w:i/>
        </w:rPr>
        <w:t>Gemara</w:t>
      </w:r>
      <w:r>
        <w:t xml:space="preserve"> in </w:t>
      </w:r>
      <w:r>
        <w:rPr>
          <w:i/>
        </w:rPr>
        <w:t>Berachos</w:t>
      </w:r>
      <w:r>
        <w:rPr>
          <w:color w:val="B8860B"/>
          <w:sz w:val="16"/>
          <w:vertAlign w:val="superscript"/>
        </w:rPr>
        <w:t>[16]</w:t>
      </w:r>
      <w:r>
        <w:t xml:space="preserve"> establishes the halachic weight of the substitution: forgetting </w:t>
      </w:r>
      <w:r>
        <w:rPr>
          <w:i/>
        </w:rPr>
        <w:t>HaMelech HaKadosh</w:t>
      </w:r>
      <w:r>
        <w:t xml:space="preserve"> during the ten days is </w:t>
      </w:r>
      <w:r>
        <w:rPr>
          <w:i/>
        </w:rPr>
        <w:t>me’akev</w:t>
      </w:r>
      <w:r>
        <w:t xml:space="preserve">. One who erroneously said </w:t>
      </w:r>
      <w:r>
        <w:rPr>
          <w:i/>
        </w:rPr>
        <w:t>HaKel HaKadosh</w:t>
      </w:r>
      <w:r>
        <w:t xml:space="preserve"> must return to the beginning of </w:t>
      </w:r>
      <w:r>
        <w:rPr>
          <w:i/>
        </w:rPr>
        <w:t>Shemoneh Esrei</w:t>
      </w:r>
      <w:r>
        <w:t xml:space="preserve"> and re-daven.</w:t>
      </w:r>
    </w:p>
    <w:p>
      <w:r>
        <w:rPr>
          <w:i/>
          <w:color w:val="B8860B"/>
          <w:sz w:val="24"/>
        </w:rPr>
        <w:t>Rav Avli Posweller’s Chiddush</w:t>
      </w:r>
    </w:p>
    <w:p>
      <w:r>
        <w:rPr>
          <w:i/>
        </w:rPr>
        <w:t>Rav Avli Posweller</w:t>
      </w:r>
      <w:r>
        <w:t xml:space="preserve"> (</w:t>
      </w:r>
      <w:r>
        <w:rPr>
          <w:rFonts w:ascii="David" w:hAnsi="David"/>
        </w:rPr>
        <w:t>רבי אבלי פוסוועלר</w:t>
      </w:r>
      <w:r>
        <w:t>)</w:t>
      </w:r>
      <w:r>
        <w:rPr>
          <w:color w:val="B8860B"/>
          <w:sz w:val="16"/>
          <w:vertAlign w:val="superscript"/>
        </w:rPr>
        <w:t>[17]</w:t>
      </w:r>
      <w:r>
        <w:t xml:space="preserve"> is a Lithuanian </w:t>
      </w:r>
      <w:r>
        <w:rPr>
          <w:i/>
        </w:rPr>
        <w:t>posek</w:t>
      </w:r>
      <w:r>
        <w:t xml:space="preserve"> whose broader oeuvre is little studied today; his renown rests upon a single </w:t>
      </w:r>
      <w:r>
        <w:rPr>
          <w:i/>
        </w:rPr>
        <w:t>chiddush</w:t>
      </w:r>
      <w:r>
        <w:t xml:space="preserve"> preserved in the </w:t>
      </w:r>
      <w:r>
        <w:rPr>
          <w:i/>
        </w:rPr>
        <w:t>Chayei Adam</w:t>
      </w:r>
      <w:r>
        <w:t xml:space="preserve">, around which the </w:t>
      </w:r>
      <w:r>
        <w:rPr>
          <w:i/>
        </w:rPr>
        <w:t>Acharonim</w:t>
      </w:r>
      <w:r>
        <w:t xml:space="preserve"> have debated for two centuries. This is the kind of </w:t>
      </w:r>
      <w:r>
        <w:rPr>
          <w:i/>
        </w:rPr>
        <w:t>lomdishe pilpul</w:t>
      </w:r>
      <w:r>
        <w:t xml:space="preserve"> that is traditionally brought forward as an </w:t>
      </w:r>
      <w:r>
        <w:rPr>
          <w:i/>
        </w:rPr>
        <w:t>Erev Rosh HaShanah</w:t>
      </w:r>
      <w:r>
        <w:t xml:space="preserve"> </w:t>
      </w:r>
      <w:r>
        <w:rPr>
          <w:i/>
        </w:rPr>
        <w:t>devar Torah</w:t>
      </w:r>
      <w:r>
        <w:t>.</w:t>
      </w:r>
    </w:p>
    <w:p>
      <w:r>
        <w:t xml:space="preserve">His </w:t>
      </w:r>
      <w:r>
        <w:rPr>
          <w:i/>
        </w:rPr>
        <w:t>chiddush</w:t>
      </w:r>
      <w:r>
        <w:t xml:space="preserve">: if one says </w:t>
      </w:r>
      <w:r>
        <w:rPr>
          <w:i/>
        </w:rPr>
        <w:t>HaKel HaKadosh</w:t>
      </w:r>
      <w:r>
        <w:t xml:space="preserve"> in error on </w:t>
      </w:r>
      <w:r>
        <w:rPr>
          <w:i/>
        </w:rPr>
        <w:t>Rosh HaShanah</w:t>
      </w:r>
      <w:r>
        <w:t xml:space="preserve"> </w:t>
      </w:r>
      <w:r>
        <w:rPr>
          <w:i/>
        </w:rPr>
        <w:t>day</w:t>
      </w:r>
      <w:r>
        <w:t xml:space="preserve">, he must indeed return and re-daven. But if he says </w:t>
      </w:r>
      <w:r>
        <w:rPr>
          <w:i/>
        </w:rPr>
        <w:t>HaKel HaKadosh</w:t>
      </w:r>
      <w:r>
        <w:t xml:space="preserve"> in error on </w:t>
      </w:r>
      <w:r>
        <w:rPr>
          <w:i/>
        </w:rPr>
        <w:t>Rosh HaShanah</w:t>
      </w:r>
      <w:r>
        <w:t xml:space="preserve"> </w:t>
      </w:r>
      <w:r>
        <w:rPr>
          <w:i/>
        </w:rPr>
        <w:t>night</w:t>
      </w:r>
      <w:r>
        <w:t xml:space="preserve">, he is </w:t>
      </w:r>
      <w:r>
        <w:rPr>
          <w:i/>
        </w:rPr>
        <w:t>yotzei</w:t>
      </w:r>
      <w:r>
        <w:t xml:space="preserve"> and need not repeat.</w:t>
      </w:r>
    </w:p>
    <w:p>
      <w:r>
        <w:t xml:space="preserve">The parallel that generates the </w:t>
      </w:r>
      <w:r>
        <w:rPr>
          <w:i/>
        </w:rPr>
        <w:t>chiddush</w:t>
      </w:r>
      <w:r>
        <w:t xml:space="preserve"> is the halachah of </w:t>
      </w:r>
      <w:r>
        <w:rPr>
          <w:i/>
        </w:rPr>
        <w:t>Yaaleh V’Yavo</w:t>
      </w:r>
      <w:r>
        <w:t xml:space="preserve"> on </w:t>
      </w:r>
      <w:r>
        <w:rPr>
          <w:i/>
        </w:rPr>
        <w:t>Rosh Chodesh</w:t>
      </w:r>
      <w:r>
        <w:t xml:space="preserve">. One who forgets </w:t>
      </w:r>
      <w:r>
        <w:rPr>
          <w:i/>
        </w:rPr>
        <w:t>Yaaleh V’Yavo</w:t>
      </w:r>
      <w:r>
        <w:t xml:space="preserve"> at the </w:t>
      </w:r>
      <w:r>
        <w:rPr>
          <w:i/>
        </w:rPr>
        <w:t>Shacharis</w:t>
      </w:r>
      <w:r>
        <w:t xml:space="preserve"> of </w:t>
      </w:r>
      <w:r>
        <w:rPr>
          <w:i/>
        </w:rPr>
        <w:t>Rosh Chodesh</w:t>
      </w:r>
      <w:r>
        <w:t xml:space="preserve"> must return and repeat; but one who forgets </w:t>
      </w:r>
      <w:r>
        <w:rPr>
          <w:i/>
        </w:rPr>
        <w:t>Yaaleh V’Yavo</w:t>
      </w:r>
      <w:r>
        <w:t xml:space="preserve"> at the </w:t>
      </w:r>
      <w:r>
        <w:rPr>
          <w:i/>
        </w:rPr>
        <w:t>Maariv</w:t>
      </w:r>
      <w:r>
        <w:t xml:space="preserve"> of </w:t>
      </w:r>
      <w:r>
        <w:rPr>
          <w:i/>
        </w:rPr>
        <w:t>Rosh Chodesh</w:t>
      </w:r>
      <w:r>
        <w:t xml:space="preserve"> does not repeat — because </w:t>
      </w:r>
      <w:r>
        <w:rPr>
          <w:i/>
        </w:rPr>
        <w:t>ein mekadshin es ha’chodesh ba’laylah</w:t>
      </w:r>
      <w:r>
        <w:t xml:space="preserve"> (</w:t>
      </w:r>
      <w:r>
        <w:rPr>
          <w:rFonts w:ascii="David" w:hAnsi="David"/>
        </w:rPr>
        <w:t>אין מקדשין את החודש בלילה</w:t>
      </w:r>
      <w:r>
        <w:t xml:space="preserve">). </w:t>
      </w:r>
      <w:r>
        <w:rPr>
          <w:i/>
        </w:rPr>
        <w:t>Rav Avli</w:t>
      </w:r>
      <w:r>
        <w:t xml:space="preserve"> applies the same logic to </w:t>
      </w:r>
      <w:r>
        <w:rPr>
          <w:i/>
        </w:rPr>
        <w:t>HaMelech HaKadosh</w:t>
      </w:r>
      <w:r>
        <w:t xml:space="preserve">: the </w:t>
      </w:r>
      <w:r>
        <w:rPr>
          <w:i/>
        </w:rPr>
        <w:t>Aseres Yemei Teshuvah</w:t>
      </w:r>
      <w:r>
        <w:t xml:space="preserve"> begin on </w:t>
      </w:r>
      <w:r>
        <w:rPr>
          <w:i/>
        </w:rPr>
        <w:t>Rosh HaShanah</w:t>
      </w:r>
      <w:r>
        <w:t xml:space="preserve">, which is bound to the sanctification of </w:t>
      </w:r>
      <w:r>
        <w:rPr>
          <w:i/>
        </w:rPr>
        <w:t>Chodesh Tishrei</w:t>
      </w:r>
      <w:r>
        <w:t xml:space="preserve">; at night the new </w:t>
      </w:r>
      <w:r>
        <w:rPr>
          <w:i/>
        </w:rPr>
        <w:t>chodesh</w:t>
      </w:r>
      <w:r>
        <w:t xml:space="preserve"> is not yet formally </w:t>
      </w:r>
      <w:r>
        <w:rPr>
          <w:i/>
        </w:rPr>
        <w:t>mekudash</w:t>
      </w:r>
      <w:r>
        <w:t xml:space="preserve">. Hence </w:t>
      </w:r>
      <w:r>
        <w:rPr>
          <w:i/>
        </w:rPr>
        <w:t>HaMelech HaKadosh</w:t>
      </w:r>
      <w:r>
        <w:t xml:space="preserve"> at night should not be </w:t>
      </w:r>
      <w:r>
        <w:rPr>
          <w:i/>
        </w:rPr>
        <w:t>me’akev</w:t>
      </w:r>
      <w:r>
        <w:t>.</w:t>
      </w:r>
    </w:p>
    <w:p>
      <w:r>
        <w:rPr>
          <w:i/>
          <w:color w:val="B8860B"/>
          <w:sz w:val="24"/>
        </w:rPr>
        <w:t>The Rejection of the Chiddush</w:t>
      </w:r>
    </w:p>
    <w:p>
      <w:r>
        <w:t xml:space="preserve">The </w:t>
      </w:r>
      <w:r>
        <w:rPr>
          <w:i/>
        </w:rPr>
        <w:t>Mishnah Berurah</w:t>
      </w:r>
      <w:r>
        <w:t xml:space="preserve"> and most </w:t>
      </w:r>
      <w:r>
        <w:rPr>
          <w:i/>
        </w:rPr>
        <w:t>Acharonim</w:t>
      </w:r>
      <w:r>
        <w:t xml:space="preserve"> reject the </w:t>
      </w:r>
      <w:r>
        <w:rPr>
          <w:i/>
        </w:rPr>
        <w:t>chiddush</w:t>
      </w:r>
      <w:r>
        <w:t xml:space="preserve">. Their objection is precise. On an ordinary weekday </w:t>
      </w:r>
      <w:r>
        <w:rPr>
          <w:i/>
        </w:rPr>
        <w:t>Maariv</w:t>
      </w:r>
      <w:r>
        <w:t xml:space="preserve"> following </w:t>
      </w:r>
      <w:r>
        <w:rPr>
          <w:i/>
        </w:rPr>
        <w:t>Rosh Chodesh</w:t>
      </w:r>
      <w:r>
        <w:t xml:space="preserve">, the rest of the </w:t>
      </w:r>
      <w:r>
        <w:rPr>
          <w:i/>
        </w:rPr>
        <w:t>tefillah</w:t>
      </w:r>
      <w:r>
        <w:t xml:space="preserve"> is a standard weekday </w:t>
      </w:r>
      <w:r>
        <w:rPr>
          <w:i/>
        </w:rPr>
        <w:t>Shemoneh Esrei</w:t>
      </w:r>
      <w:r>
        <w:t xml:space="preserve">; a missing </w:t>
      </w:r>
      <w:r>
        <w:rPr>
          <w:i/>
        </w:rPr>
        <w:t>Yaaleh V’Yavo</w:t>
      </w:r>
      <w:r>
        <w:t xml:space="preserve"> creates no internal contradiction with the surrounding text. But on </w:t>
      </w:r>
      <w:r>
        <w:rPr>
          <w:i/>
        </w:rPr>
        <w:t>Rosh HaShanah</w:t>
      </w:r>
      <w:r>
        <w:t xml:space="preserve"> night, the entire </w:t>
      </w:r>
      <w:r>
        <w:rPr>
          <w:i/>
        </w:rPr>
        <w:t>nusach</w:t>
      </w:r>
      <w:r>
        <w:t xml:space="preserve"> of the </w:t>
      </w:r>
      <w:r>
        <w:rPr>
          <w:i/>
        </w:rPr>
        <w:t>tefillah</w:t>
      </w:r>
      <w:r>
        <w:t xml:space="preserve"> is the full </w:t>
      </w:r>
      <w:r>
        <w:rPr>
          <w:i/>
        </w:rPr>
        <w:t>Yom Tov</w:t>
      </w:r>
      <w:r>
        <w:t xml:space="preserve"> davening — </w:t>
      </w:r>
      <w:r>
        <w:rPr>
          <w:i/>
        </w:rPr>
        <w:t>Atah Vechartanu</w:t>
      </w:r>
      <w:r>
        <w:t xml:space="preserve">, </w:t>
      </w:r>
      <w:r>
        <w:rPr>
          <w:i/>
        </w:rPr>
        <w:t>HaMelech Mocheil</w:t>
      </w:r>
      <w:r>
        <w:t xml:space="preserve">, the entire liturgical apparatus of the day. Saying </w:t>
      </w:r>
      <w:r>
        <w:rPr>
          <w:i/>
        </w:rPr>
        <w:t>HaKel HaKadosh</w:t>
      </w:r>
      <w:r>
        <w:t xml:space="preserve"> in the middle of such a davening is </w:t>
      </w:r>
      <w:r>
        <w:rPr>
          <w:i/>
        </w:rPr>
        <w:t>tarti d’sasri</w:t>
      </w:r>
      <w:r>
        <w:t xml:space="preserve"> (</w:t>
      </w:r>
      <w:r>
        <w:rPr>
          <w:rFonts w:ascii="David" w:hAnsi="David"/>
        </w:rPr>
        <w:t>תרתי דסתרי</w:t>
      </w:r>
      <w:r>
        <w:t xml:space="preserve">) — a head-on collision with the surrounding </w:t>
      </w:r>
      <w:r>
        <w:rPr>
          <w:i/>
        </w:rPr>
        <w:t>nusach</w:t>
      </w:r>
      <w:r>
        <w:t xml:space="preserve">. On this ground, </w:t>
      </w:r>
      <w:r>
        <w:rPr>
          <w:i/>
        </w:rPr>
        <w:t>HaMelech HaKadosh</w:t>
      </w:r>
      <w:r>
        <w:t xml:space="preserve"> at night remains </w:t>
      </w:r>
      <w:r>
        <w:rPr>
          <w:i/>
        </w:rPr>
        <w:t>me’akev</w:t>
      </w:r>
      <w:r>
        <w:t xml:space="preserve">. The </w:t>
      </w:r>
      <w:r>
        <w:rPr>
          <w:i/>
        </w:rPr>
        <w:t>chiddush</w:t>
      </w:r>
      <w:r>
        <w:t xml:space="preserve"> circulates as a classic </w:t>
      </w:r>
      <w:r>
        <w:rPr>
          <w:i/>
        </w:rPr>
        <w:t>lomdishe</w:t>
      </w:r>
      <w:r>
        <w:t xml:space="preserve"> curiosity; the </w:t>
      </w:r>
      <w:r>
        <w:rPr>
          <w:i/>
        </w:rPr>
        <w:t>halachah l’maaseh</w:t>
      </w:r>
      <w:r>
        <w:t xml:space="preserve"> follows the </w:t>
      </w:r>
      <w:r>
        <w:rPr>
          <w:i/>
        </w:rPr>
        <w:t>Mishnah Berurah</w:t>
      </w:r>
      <w:r>
        <w:t>.</w:t>
      </w:r>
    </w:p>
    <w:p>
      <w:r>
        <w:rPr>
          <w:b/>
          <w:color w:val="1E3A8A"/>
          <w:sz w:val="26"/>
        </w:rPr>
        <w:t>XII. BIRCHAS ATAH CHONEN — THE OPENING “ATAH”</w:t>
      </w:r>
    </w:p>
    <w:p>
      <w:pPr>
        <w:pBdr>
          <w:bottom w:val="single" w:sz="6" w:space="1" w:color="B8860B"/>
        </w:pBdr>
      </w:pPr>
    </w:p>
    <w:p>
      <w:r>
        <w:rPr>
          <w:i/>
          <w:color w:val="B8860B"/>
          <w:sz w:val="24"/>
        </w:rPr>
        <w:t>The Anomaly of the Opening Word</w:t>
      </w:r>
    </w:p>
    <w:p>
      <w:r>
        <w:t xml:space="preserve">With the third </w:t>
      </w:r>
      <w:r>
        <w:rPr>
          <w:i/>
        </w:rPr>
        <w:t>berachah</w:t>
      </w:r>
      <w:r>
        <w:t xml:space="preserve"> sealed, the body of </w:t>
      </w:r>
      <w:r>
        <w:rPr>
          <w:i/>
        </w:rPr>
        <w:t>bakashos</w:t>
      </w:r>
      <w:r>
        <w:t xml:space="preserve"> now begins. A structural anomaly immediately arrests the attention of the careful </w:t>
      </w:r>
      <w:r>
        <w:rPr>
          <w:i/>
        </w:rPr>
        <w:t>mispallel</w:t>
      </w:r>
      <w:r>
        <w:t xml:space="preserve">. </w:t>
      </w:r>
      <w:r>
        <w:rPr>
          <w:i/>
        </w:rPr>
        <w:t>Birchas Atah Chonen</w:t>
      </w:r>
      <w:r>
        <w:t xml:space="preserve"> opens with the word </w:t>
      </w:r>
      <w:r>
        <w:rPr>
          <w:i/>
        </w:rPr>
        <w:t>Atah</w:t>
      </w:r>
      <w:r>
        <w:t xml:space="preserve"> (</w:t>
      </w:r>
      <w:r>
        <w:rPr>
          <w:rFonts w:ascii="David" w:hAnsi="David"/>
        </w:rPr>
        <w:t>אתה</w:t>
      </w:r>
      <w:r>
        <w:t xml:space="preserve">). No other </w:t>
      </w:r>
      <w:r>
        <w:rPr>
          <w:i/>
        </w:rPr>
        <w:t>berachah</w:t>
      </w:r>
      <w:r>
        <w:t xml:space="preserve"> in the twelve middle </w:t>
      </w:r>
      <w:r>
        <w:rPr>
          <w:i/>
        </w:rPr>
        <w:t>berachos</w:t>
      </w:r>
      <w:r>
        <w:t xml:space="preserve"> of </w:t>
      </w:r>
      <w:r>
        <w:rPr>
          <w:i/>
        </w:rPr>
        <w:t>bakashah</w:t>
      </w:r>
      <w:r>
        <w:t xml:space="preserve"> opens with </w:t>
      </w:r>
      <w:r>
        <w:rPr>
          <w:i/>
        </w:rPr>
        <w:t>Atah</w:t>
      </w:r>
      <w:r>
        <w:t>. Why does this one?</w:t>
      </w:r>
    </w:p>
    <w:p>
      <w:r>
        <w:rPr>
          <w:i/>
          <w:color w:val="B8860B"/>
          <w:sz w:val="24"/>
        </w:rPr>
        <w:t>The Rishonim — A Transition from Shevach to Bakashah</w:t>
      </w:r>
    </w:p>
    <w:p>
      <w:r>
        <w:t xml:space="preserve">The </w:t>
      </w:r>
      <w:r>
        <w:rPr>
          <w:i/>
        </w:rPr>
        <w:t>Rishonim</w:t>
      </w:r>
      <w:r>
        <w:t xml:space="preserve"> supply the answer. The first three </w:t>
      </w:r>
      <w:r>
        <w:rPr>
          <w:i/>
        </w:rPr>
        <w:t>berachos</w:t>
      </w:r>
      <w:r>
        <w:t xml:space="preserve"> are </w:t>
      </w:r>
      <w:r>
        <w:rPr>
          <w:i/>
        </w:rPr>
        <w:t>shevach</w:t>
      </w:r>
      <w:r>
        <w:t xml:space="preserve">; the middle twelve are </w:t>
      </w:r>
      <w:r>
        <w:rPr>
          <w:i/>
        </w:rPr>
        <w:t>bakashos</w:t>
      </w:r>
      <w:r>
        <w:t xml:space="preserve">; the </w:t>
      </w:r>
      <w:r>
        <w:rPr>
          <w:i/>
        </w:rPr>
        <w:t>Chachomim</w:t>
      </w:r>
      <w:r>
        <w:t xml:space="preserve"> wove a transition. The first </w:t>
      </w:r>
      <w:r>
        <w:rPr>
          <w:i/>
        </w:rPr>
        <w:t>berachah</w:t>
      </w:r>
      <w:r>
        <w:t xml:space="preserve"> of </w:t>
      </w:r>
      <w:r>
        <w:rPr>
          <w:i/>
        </w:rPr>
        <w:t>bakashah</w:t>
      </w:r>
      <w:r>
        <w:t xml:space="preserve"> should still open in the register of </w:t>
      </w:r>
      <w:r>
        <w:rPr>
          <w:i/>
        </w:rPr>
        <w:t>shevach</w:t>
      </w:r>
      <w:r>
        <w:t xml:space="preserve">. </w:t>
      </w:r>
      <w:r>
        <w:rPr>
          <w:i/>
        </w:rPr>
        <w:t>Atah Chonen l’adam da’as</w:t>
      </w:r>
      <w:r>
        <w:t xml:space="preserve"> (</w:t>
      </w:r>
      <w:r>
        <w:rPr>
          <w:rFonts w:ascii="David" w:hAnsi="David"/>
        </w:rPr>
        <w:t>אתה חונן לאדם דעת</w:t>
      </w:r>
      <w:r>
        <w:t xml:space="preserve">) is itself a praise — an acknowledgment that the </w:t>
      </w:r>
      <w:r>
        <w:rPr>
          <w:i/>
        </w:rPr>
        <w:t>Ribbono Shel Olam</w:t>
      </w:r>
      <w:r>
        <w:t xml:space="preserve"> is the source of </w:t>
      </w:r>
      <w:r>
        <w:rPr>
          <w:i/>
        </w:rPr>
        <w:t>da’as</w:t>
      </w:r>
      <w:r>
        <w:t xml:space="preserve">. Only </w:t>
      </w:r>
      <w:r>
        <w:rPr>
          <w:i/>
        </w:rPr>
        <w:t>then</w:t>
      </w:r>
      <w:r>
        <w:t xml:space="preserve">, in the second clause, does the request emerge: </w:t>
      </w:r>
      <w:r>
        <w:rPr>
          <w:i/>
        </w:rPr>
        <w:t>chonneinu me’itcha de’ah binah v’haskeil</w:t>
      </w:r>
      <w:r>
        <w:t xml:space="preserve">. The opening </w:t>
      </w:r>
      <w:r>
        <w:rPr>
          <w:i/>
        </w:rPr>
        <w:t>Atah</w:t>
      </w:r>
      <w:r>
        <w:t xml:space="preserve"> is the hinge on which the whole </w:t>
      </w:r>
      <w:r>
        <w:rPr>
          <w:i/>
        </w:rPr>
        <w:t>Amidah</w:t>
      </w:r>
      <w:r>
        <w:t xml:space="preserve"> pivots from praise into supplication, and the </w:t>
      </w:r>
      <w:r>
        <w:rPr>
          <w:i/>
        </w:rPr>
        <w:t>Chachomim</w:t>
      </w:r>
      <w:r>
        <w:t xml:space="preserve"> arranged it so that even the pivot itself is a praise.</w:t>
      </w:r>
    </w:p>
    <w:p>
      <w:r>
        <w:rPr>
          <w:b/>
          <w:color w:val="1E3A8A"/>
          <w:sz w:val="26"/>
        </w:rPr>
        <w:t>XIII. WHY DA’AS FIRST?</w:t>
      </w:r>
    </w:p>
    <w:p>
      <w:pPr>
        <w:pBdr>
          <w:bottom w:val="single" w:sz="6" w:space="1" w:color="B8860B"/>
        </w:pBdr>
      </w:pPr>
    </w:p>
    <w:p>
      <w:r>
        <w:rPr>
          <w:i/>
          <w:color w:val="B8860B"/>
          <w:sz w:val="24"/>
        </w:rPr>
        <w:t>The Gemara in Nedarim</w:t>
      </w:r>
    </w:p>
    <w:p>
      <w:r>
        <w:t xml:space="preserve">Of all the things a </w:t>
      </w:r>
      <w:r>
        <w:rPr>
          <w:i/>
        </w:rPr>
        <w:t>mispallel</w:t>
      </w:r>
      <w:r>
        <w:t xml:space="preserve"> could ask the </w:t>
      </w:r>
      <w:r>
        <w:rPr>
          <w:i/>
        </w:rPr>
        <w:t>Ribbono Shel Olam</w:t>
      </w:r>
      <w:r>
        <w:t xml:space="preserve"> for, why does the sequence of </w:t>
      </w:r>
      <w:r>
        <w:rPr>
          <w:i/>
        </w:rPr>
        <w:t>bakashos</w:t>
      </w:r>
      <w:r>
        <w:t xml:space="preserve"> begin with </w:t>
      </w:r>
      <w:r>
        <w:rPr>
          <w:i/>
        </w:rPr>
        <w:t>da’as</w:t>
      </w:r>
      <w:r>
        <w:t xml:space="preserve">? The answer is supplied by the </w:t>
      </w:r>
      <w:r>
        <w:rPr>
          <w:i/>
        </w:rPr>
        <w:t>Gemara</w:t>
      </w:r>
      <w:r>
        <w:t xml:space="preserve"> in </w:t>
      </w:r>
      <w:r>
        <w:rPr>
          <w:i/>
        </w:rPr>
        <w:t>Nedarim</w:t>
      </w:r>
      <w:r>
        <w:t>,</w:t>
      </w:r>
      <w:r>
        <w:rPr>
          <w:color w:val="B8860B"/>
          <w:sz w:val="16"/>
          <w:vertAlign w:val="superscript"/>
        </w:rPr>
        <w:t>[18]</w:t>
      </w:r>
      <w:r>
        <w:t xml:space="preserve"> which reads:</w:t>
      </w:r>
    </w:p>
    <w:p>
      <w:pPr>
        <w:ind w:left="432"/>
      </w:pPr>
      <w:r>
        <w:rPr>
          <w:i/>
        </w:rPr>
        <w:br/>
      </w:r>
      <w:r>
        <w:rPr>
          <w:rFonts w:ascii="David" w:hAnsi="David"/>
          <w:i/>
        </w:rPr>
        <w:t>אִי דַּעַת קָנִיתָ, מַה חָסַרְתָּ? אִי דַּעַת חָסַרְתָּ, מַה קָנִיתָ?</w:t>
      </w:r>
      <w:r>
        <w:rPr>
          <w:i/>
        </w:rPr>
        <w:br/>
      </w:r>
      <w:r>
        <w:rPr>
          <w:i/>
        </w:rPr>
        <w:t xml:space="preserve">If you have acquired </w:t>
      </w:r>
      <w:r>
        <w:rPr>
          <w:i/>
        </w:rPr>
        <w:t>da’as</w:t>
      </w:r>
      <w:r>
        <w:rPr>
          <w:i/>
        </w:rPr>
        <w:t xml:space="preserve">, what are you lacking? If you lack </w:t>
      </w:r>
      <w:r>
        <w:rPr>
          <w:i/>
        </w:rPr>
        <w:t>da’as</w:t>
      </w:r>
      <w:r>
        <w:rPr>
          <w:i/>
        </w:rPr>
        <w:t>, what have you acquired?</w:t>
      </w:r>
      <w:r>
        <w:rPr>
          <w:i/>
        </w:rPr>
        <w:br/>
      </w:r>
      <w:r>
        <w:rPr>
          <w:i/>
        </w:rPr>
        <w:t>Nedarim</w:t>
      </w:r>
      <w:r>
        <w:rPr>
          <w:i/>
        </w:rPr>
        <w:t xml:space="preserve"> 41a</w:t>
      </w:r>
      <w:r>
        <w:rPr>
          <w:i/>
        </w:rPr>
        <w:br/>
      </w:r>
    </w:p>
    <w:p>
      <w:r>
        <w:t xml:space="preserve">The </w:t>
      </w:r>
      <w:r>
        <w:rPr>
          <w:i/>
        </w:rPr>
        <w:t>Gemara</w:t>
      </w:r>
      <w:r>
        <w:t xml:space="preserve"> continues with the associated </w:t>
      </w:r>
      <w:r>
        <w:rPr>
          <w:i/>
        </w:rPr>
        <w:t>kelal</w:t>
      </w:r>
      <w:r>
        <w:t xml:space="preserve">: </w:t>
      </w:r>
      <w:r>
        <w:rPr>
          <w:i/>
        </w:rPr>
        <w:t>ein ani ela b’da’as</w:t>
      </w:r>
      <w:r>
        <w:t xml:space="preserve"> (</w:t>
      </w:r>
      <w:r>
        <w:rPr>
          <w:rFonts w:ascii="David" w:hAnsi="David"/>
        </w:rPr>
        <w:t>אין עני אלא בדעת</w:t>
      </w:r>
      <w:r>
        <w:t xml:space="preserve">) — </w:t>
      </w:r>
      <w:r>
        <w:rPr>
          <w:i/>
        </w:rPr>
        <w:t>the only true poverty is the poverty of da’as</w:t>
      </w:r>
      <w:r>
        <w:t xml:space="preserve">. The impoverished person is not the man standing at the door collecting </w:t>
      </w:r>
      <w:r>
        <w:rPr>
          <w:i/>
        </w:rPr>
        <w:t>tzedakah</w:t>
      </w:r>
      <w:r>
        <w:t xml:space="preserve">; the truly impoverished is the man without </w:t>
      </w:r>
      <w:r>
        <w:rPr>
          <w:i/>
        </w:rPr>
        <w:t>sechel</w:t>
      </w:r>
      <w:r>
        <w:t xml:space="preserve">. </w:t>
      </w:r>
      <w:r>
        <w:rPr>
          <w:i/>
        </w:rPr>
        <w:t>Chazal</w:t>
      </w:r>
      <w:r>
        <w:t xml:space="preserve"> knew this </w:t>
      </w:r>
      <w:r>
        <w:rPr>
          <w:i/>
        </w:rPr>
        <w:t>Gemara</w:t>
      </w:r>
      <w:r>
        <w:t xml:space="preserve"> long before it became a popular song. </w:t>
      </w:r>
      <w:r>
        <w:rPr>
          <w:i/>
        </w:rPr>
        <w:t>Da’as</w:t>
      </w:r>
      <w:r>
        <w:t xml:space="preserve"> is the foundation of every other </w:t>
      </w:r>
      <w:r>
        <w:rPr>
          <w:i/>
        </w:rPr>
        <w:t>bakashah</w:t>
      </w:r>
      <w:r>
        <w:t xml:space="preserve"> in the </w:t>
      </w:r>
      <w:r>
        <w:rPr>
          <w:i/>
        </w:rPr>
        <w:t>Amidah</w:t>
      </w:r>
      <w:r>
        <w:t xml:space="preserve">: </w:t>
      </w:r>
      <w:r>
        <w:rPr>
          <w:i/>
        </w:rPr>
        <w:t>parnassah</w:t>
      </w:r>
      <w:r>
        <w:t xml:space="preserve">, </w:t>
      </w:r>
      <w:r>
        <w:rPr>
          <w:i/>
        </w:rPr>
        <w:t>refuah</w:t>
      </w:r>
      <w:r>
        <w:t xml:space="preserve">, </w:t>
      </w:r>
      <w:r>
        <w:rPr>
          <w:i/>
        </w:rPr>
        <w:t>shalom bayis</w:t>
      </w:r>
      <w:r>
        <w:t xml:space="preserve"> — each of these matters, and each of these functions, only if </w:t>
      </w:r>
      <w:r>
        <w:rPr>
          <w:i/>
        </w:rPr>
        <w:t>da’as</w:t>
      </w:r>
      <w:r>
        <w:t xml:space="preserve"> is in place. Without </w:t>
      </w:r>
      <w:r>
        <w:rPr>
          <w:i/>
        </w:rPr>
        <w:t>da’as</w:t>
      </w:r>
      <w:r>
        <w:t>, the other requests are answered into a vessel that cannot hold them.</w:t>
      </w:r>
    </w:p>
    <w:p>
      <w:r>
        <w:rPr>
          <w:b/>
          <w:color w:val="1E3A8A"/>
          <w:sz w:val="26"/>
        </w:rPr>
        <w:t>XIV. THE TRAGEDY OF LOST DA’AS</w:t>
      </w:r>
    </w:p>
    <w:p>
      <w:pPr>
        <w:pBdr>
          <w:bottom w:val="single" w:sz="6" w:space="1" w:color="B8860B"/>
        </w:pBdr>
      </w:pPr>
    </w:p>
    <w:p>
      <w:r>
        <w:rPr>
          <w:i/>
          <w:color w:val="B8860B"/>
          <w:sz w:val="24"/>
        </w:rPr>
        <w:t>What the Berachah Actually Guards Against</w:t>
      </w:r>
    </w:p>
    <w:p>
      <w:r>
        <w:t xml:space="preserve">Anyone who has sat with a person who has lost his </w:t>
      </w:r>
      <w:r>
        <w:rPr>
          <w:i/>
        </w:rPr>
        <w:t>da’as</w:t>
      </w:r>
      <w:r>
        <w:t xml:space="preserve"> — through Alzheimer’s, dementia, or severe amnesia — understands what the </w:t>
      </w:r>
      <w:r>
        <w:rPr>
          <w:i/>
        </w:rPr>
        <w:t>Chachomim</w:t>
      </w:r>
      <w:r>
        <w:t xml:space="preserve"> installed at the head of the </w:t>
      </w:r>
      <w:r>
        <w:rPr>
          <w:i/>
        </w:rPr>
        <w:t>bakashos</w:t>
      </w:r>
      <w:r>
        <w:t xml:space="preserve">. The body remains; the person, in a sense, does not. The daily </w:t>
      </w:r>
      <w:r>
        <w:rPr>
          <w:i/>
        </w:rPr>
        <w:t>berachah</w:t>
      </w:r>
      <w:r>
        <w:t xml:space="preserve"> of </w:t>
      </w:r>
      <w:r>
        <w:rPr>
          <w:i/>
        </w:rPr>
        <w:t>Atah Chonen</w:t>
      </w:r>
      <w:r>
        <w:t xml:space="preserve"> is a request that the </w:t>
      </w:r>
      <w:r>
        <w:rPr>
          <w:i/>
        </w:rPr>
        <w:t>mispallel</w:t>
      </w:r>
      <w:r>
        <w:t xml:space="preserve"> not take for granted the gift of waking each morning with a mind that thinks, understands, and functions as the </w:t>
      </w:r>
      <w:r>
        <w:rPr>
          <w:i/>
        </w:rPr>
        <w:t>tzelem Elokim</w:t>
      </w:r>
      <w:r>
        <w:t xml:space="preserve"> the </w:t>
      </w:r>
      <w:r>
        <w:rPr>
          <w:i/>
        </w:rPr>
        <w:t>Ribbono Shel Olam</w:t>
      </w:r>
      <w:r>
        <w:t xml:space="preserve"> installed in him. The </w:t>
      </w:r>
      <w:r>
        <w:rPr>
          <w:i/>
        </w:rPr>
        <w:t>pasuk</w:t>
      </w:r>
      <w:r>
        <w:t xml:space="preserve"> </w:t>
      </w:r>
      <w:r>
        <w:rPr>
          <w:i/>
        </w:rPr>
        <w:t>V’al tashlicheinu l’eis ziknah</w:t>
      </w:r>
      <w:r>
        <w:t xml:space="preserve"> (</w:t>
      </w:r>
      <w:r>
        <w:rPr>
          <w:rFonts w:ascii="David" w:hAnsi="David"/>
        </w:rPr>
        <w:t>ואל תשליכנו לעת זקנה</w:t>
      </w:r>
      <w:r>
        <w:t xml:space="preserve">) — </w:t>
      </w:r>
      <w:r>
        <w:rPr>
          <w:i/>
        </w:rPr>
        <w:t>do not cast us off in the time of old age</w:t>
      </w:r>
      <w:r>
        <w:t xml:space="preserve"> — anchors the request: let </w:t>
      </w:r>
      <w:r>
        <w:rPr>
          <w:i/>
        </w:rPr>
        <w:t>da’as</w:t>
      </w:r>
      <w:r>
        <w:t xml:space="preserve"> remain until the end.</w:t>
      </w:r>
    </w:p>
    <w:p>
      <w:r>
        <w:t xml:space="preserve">The full </w:t>
      </w:r>
      <w:r>
        <w:rPr>
          <w:i/>
        </w:rPr>
        <w:t>bakashah</w:t>
      </w:r>
      <w:r>
        <w:t xml:space="preserve"> completes the point: </w:t>
      </w:r>
      <w:r>
        <w:rPr>
          <w:i/>
        </w:rPr>
        <w:t>Atah Chonen l’adam da’as... chonneinu me’itcha de’ah binah v’haskeil</w:t>
      </w:r>
      <w:r>
        <w:t xml:space="preserve">. Grant me </w:t>
      </w:r>
      <w:r>
        <w:rPr>
          <w:i/>
        </w:rPr>
        <w:t>da’as</w:t>
      </w:r>
      <w:r>
        <w:t xml:space="preserve"> to the end of my days, that I may function as the human being You created me to be.</w:t>
      </w:r>
    </w:p>
    <w:p>
      <w:r>
        <w:rPr>
          <w:b/>
          <w:color w:val="1E3A8A"/>
          <w:sz w:val="26"/>
        </w:rPr>
        <w:t>XV. MODERN ADAPTATIONS OF THE KUZARI</w:t>
      </w:r>
    </w:p>
    <w:p>
      <w:pPr>
        <w:pBdr>
          <w:bottom w:val="single" w:sz="6" w:space="1" w:color="B8860B"/>
        </w:pBdr>
      </w:pPr>
    </w:p>
    <w:p>
      <w:r>
        <w:t xml:space="preserve">Two notable later works follow the dialogic form of the </w:t>
      </w:r>
      <w:r>
        <w:rPr>
          <w:i/>
        </w:rPr>
        <w:t>Kuzari</w:t>
      </w:r>
      <w:r>
        <w:t>:</w:t>
      </w:r>
      <w:r>
        <w:rPr>
          <w:color w:val="B8860B"/>
          <w:sz w:val="16"/>
          <w:vertAlign w:val="superscript"/>
        </w:rPr>
        <w:t>[19]</w:t>
      </w:r>
    </w:p>
    <w:p>
      <w:r>
        <w:t xml:space="preserve">Both works are read today primarily within their respective scholarly circles. The genius of the original </w:t>
      </w:r>
      <w:r>
        <w:rPr>
          <w:i/>
        </w:rPr>
        <w:t>Kuzari</w:t>
      </w:r>
      <w:r>
        <w:t xml:space="preserve">, which distinguishes it from an ordinary philosophy book, lies in its dialogic form — a sustained conversation between king and </w:t>
      </w:r>
      <w:r>
        <w:rPr>
          <w:i/>
        </w:rPr>
        <w:t>chacham</w:t>
      </w:r>
      <w:r>
        <w:t xml:space="preserve">, with give-and-take, argument and reply. That form pulls the reader in. The Rebbe does not urge that this </w:t>
      </w:r>
      <w:r>
        <w:rPr>
          <w:i/>
        </w:rPr>
        <w:t>chaburah</w:t>
      </w:r>
      <w:r>
        <w:t xml:space="preserve"> take up the study of </w:t>
      </w:r>
      <w:r>
        <w:rPr>
          <w:i/>
        </w:rPr>
        <w:t>Kuzari</w:t>
      </w:r>
      <w:r>
        <w:t xml:space="preserve"> as a formal </w:t>
      </w:r>
      <w:r>
        <w:rPr>
          <w:i/>
        </w:rPr>
        <w:t>seder</w:t>
      </w:r>
      <w:r>
        <w:t xml:space="preserve">; but its reading of the first three </w:t>
      </w:r>
      <w:r>
        <w:rPr>
          <w:i/>
        </w:rPr>
        <w:t>berachos</w:t>
      </w:r>
      <w:r>
        <w:t xml:space="preserve"> has entered the mainstream </w:t>
      </w:r>
      <w:r>
        <w:rPr>
          <w:i/>
        </w:rPr>
        <w:t>Rishonim</w:t>
      </w:r>
      <w:r>
        <w:t xml:space="preserve"> and </w:t>
      </w:r>
      <w:r>
        <w:rPr>
          <w:i/>
        </w:rPr>
        <w:t>Acharonim</w:t>
      </w:r>
      <w:r>
        <w:t xml:space="preserve"> who explicate the </w:t>
      </w:r>
      <w:r>
        <w:rPr>
          <w:i/>
        </w:rPr>
        <w:t>seder ha’tefillah</w:t>
      </w:r>
      <w:r>
        <w:t>, and it deserves recognition on that account.</w:t>
      </w:r>
    </w:p>
    <w:p>
      <w:r>
        <w:rPr>
          <w:b/>
          <w:color w:val="1E3A8A"/>
          <w:sz w:val="26"/>
        </w:rPr>
        <w:t>XVI. PRACTICAL SUMMARY</w:t>
      </w:r>
    </w:p>
    <w:p>
      <w:pPr>
        <w:pBdr>
          <w:bottom w:val="single" w:sz="6" w:space="1" w:color="B8860B"/>
        </w:pBdr>
      </w:pP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Gemara Megillah</w:t>
      </w:r>
      <w:r>
        <w:rPr>
          <w:b/>
          <w:color w:val="1E3A8A"/>
        </w:rPr>
        <w:t xml:space="preserve"> 17b — </w:t>
      </w:r>
      <w:r>
        <w:rPr>
          <w:b/>
          <w:i/>
          <w:color w:val="1E3A8A"/>
        </w:rPr>
        <w:t>seder</w:t>
      </w:r>
      <w:r>
        <w:rPr>
          <w:b/>
          <w:color w:val="1E3A8A"/>
        </w:rPr>
        <w:t xml:space="preserve"> of the </w:t>
      </w:r>
      <w:r>
        <w:rPr>
          <w:b/>
          <w:i/>
          <w:color w:val="1E3A8A"/>
        </w:rPr>
        <w:t>berachos</w:t>
      </w:r>
      <w:r>
        <w:rPr>
          <w:b/>
          <w:color w:val="1E3A8A"/>
        </w:rPr>
        <w:t xml:space="preserve"> of </w:t>
      </w:r>
      <w:r>
        <w:rPr>
          <w:b/>
          <w:i/>
          <w:color w:val="1E3A8A"/>
        </w:rPr>
        <w:t>Shemoneh Esrei</w:t>
      </w:r>
      <w:r>
        <w:rPr>
          <w:b/>
          <w:color w:val="1E3A8A"/>
        </w:rPr>
        <w:t xml:space="preserve"> derived from </w:t>
      </w:r>
      <w:r>
        <w:rPr>
          <w:b/>
          <w:i/>
          <w:color w:val="1E3A8A"/>
        </w:rPr>
        <w:t>Tehillim</w:t>
      </w:r>
      <w:r>
        <w:rPr>
          <w:b/>
          <w:color w:val="1E3A8A"/>
        </w:rPr>
        <w:t xml:space="preserve"> 29.</w:t>
      </w:r>
      <w:r>
        <w:t xml:space="preserve"> </w:t>
      </w:r>
      <w:r>
        <w:t xml:space="preserve">— The </w:t>
      </w:r>
      <w:r>
        <w:rPr>
          <w:i/>
        </w:rPr>
        <w:t>Gemara</w:t>
      </w:r>
      <w:r>
        <w:t xml:space="preserve"> in </w:t>
      </w:r>
      <w:r>
        <w:rPr>
          <w:i/>
        </w:rPr>
        <w:t>Megillah</w:t>
      </w:r>
      <w:r>
        <w:t xml:space="preserve"> presents the classical </w:t>
      </w:r>
      <w:r>
        <w:rPr>
          <w:i/>
        </w:rPr>
        <w:t>derashah</w:t>
      </w:r>
      <w:r>
        <w:t xml:space="preserve"> deriving the </w:t>
      </w:r>
      <w:r>
        <w:rPr>
          <w:i/>
        </w:rPr>
        <w:t>seder</w:t>
      </w:r>
      <w:r>
        <w:t xml:space="preserve"> of the eighteen (now nineteen) </w:t>
      </w:r>
      <w:r>
        <w:rPr>
          <w:i/>
        </w:rPr>
        <w:t>berachos</w:t>
      </w:r>
      <w:r>
        <w:t xml:space="preserve"> of </w:t>
      </w:r>
      <w:r>
        <w:rPr>
          <w:i/>
        </w:rPr>
        <w:t>Shemoneh Esrei</w:t>
      </w:r>
      <w:r>
        <w:t xml:space="preserve"> from various </w:t>
      </w:r>
      <w:r>
        <w:rPr>
          <w:i/>
        </w:rPr>
        <w:t>pesukim</w:t>
      </w:r>
      <w:r>
        <w:t xml:space="preserve"> in </w:t>
      </w:r>
      <w:r>
        <w:rPr>
          <w:i/>
        </w:rPr>
        <w:t>Tanach</w:t>
      </w:r>
      <w:r>
        <w:t xml:space="preserve">. The opening triad is grounded in </w:t>
      </w:r>
      <w:r>
        <w:rPr>
          <w:i/>
        </w:rPr>
        <w:t>Havu LaShem Bnei Elim</w:t>
      </w:r>
      <w:r>
        <w:t xml:space="preserve">; the middle </w:t>
      </w:r>
      <w:r>
        <w:rPr>
          <w:i/>
        </w:rPr>
        <w:t>bakashos</w:t>
      </w:r>
      <w:r>
        <w:t xml:space="preserve"> in verses of </w:t>
      </w:r>
      <w:r>
        <w:rPr>
          <w:i/>
        </w:rPr>
        <w:t>Tehillim</w:t>
      </w:r>
      <w:r>
        <w:t xml:space="preserve"> and </w:t>
      </w:r>
      <w:r>
        <w:rPr>
          <w:i/>
        </w:rPr>
        <w:t>Divrei HaYamim</w:t>
      </w:r>
      <w:r>
        <w:t>; the closing three (</w:t>
      </w:r>
      <w:r>
        <w:rPr>
          <w:i/>
        </w:rPr>
        <w:t>Avodah</w:t>
      </w:r>
      <w:r>
        <w:t xml:space="preserve">, </w:t>
      </w:r>
      <w:r>
        <w:rPr>
          <w:i/>
        </w:rPr>
        <w:t>Hodaah</w:t>
      </w:r>
      <w:r>
        <w:t xml:space="preserve">, </w:t>
      </w:r>
      <w:r>
        <w:rPr>
          <w:i/>
        </w:rPr>
        <w:t>Shalom</w:t>
      </w:r>
      <w:r>
        <w:t xml:space="preserve">) in the closing structure of the </w:t>
      </w:r>
      <w:r>
        <w:rPr>
          <w:i/>
        </w:rPr>
        <w:t>Korban Tamid</w:t>
      </w:r>
      <w:r>
        <w:t xml:space="preserve">. This </w:t>
      </w:r>
      <w:r>
        <w:rPr>
          <w:i/>
        </w:rPr>
        <w:t>sugya</w:t>
      </w:r>
      <w:r>
        <w:t xml:space="preserve"> is the principal source for understanding why </w:t>
      </w:r>
      <w:r>
        <w:rPr>
          <w:i/>
        </w:rPr>
        <w:t>Chazal</w:t>
      </w:r>
      <w:r>
        <w:t xml:space="preserve"> ordered the </w:t>
      </w:r>
      <w:r>
        <w:rPr>
          <w:i/>
        </w:rPr>
        <w:t>berachos</w:t>
      </w:r>
      <w:r>
        <w:t xml:space="preserve"> as they did.</w:t>
      </w:r>
    </w:p>
    <w:p>
      <w:r>
        <w:rPr>
          <w:b/>
          <w:color w:val="1E3A8A"/>
        </w:rPr>
        <w:t xml:space="preserve">2. </w:t>
      </w:r>
      <w:r>
        <w:rPr>
          <w:b/>
          <w:i/>
          <w:color w:val="1E3A8A"/>
        </w:rPr>
        <w:t>Tehillim</w:t>
      </w:r>
      <w:r>
        <w:rPr>
          <w:b/>
          <w:color w:val="1E3A8A"/>
        </w:rPr>
        <w:t xml:space="preserve"> 29:1–2 — </w:t>
      </w:r>
      <w:r>
        <w:rPr>
          <w:b/>
          <w:i/>
          <w:color w:val="1E3A8A"/>
        </w:rPr>
        <w:t>Havu LaShem Bnei Elim, Havu LaShem Kavod VaOz; Havu LaShem Kevod Shemo</w:t>
      </w:r>
      <w:r>
        <w:rPr>
          <w:b/>
          <w:color w:val="1E3A8A"/>
        </w:rPr>
        <w:t>.</w:t>
      </w:r>
      <w:r>
        <w:t xml:space="preserve"> </w:t>
      </w:r>
      <w:r>
        <w:t xml:space="preserve">— The opening </w:t>
      </w:r>
      <w:r>
        <w:rPr>
          <w:i/>
        </w:rPr>
        <w:t>pesukim</w:t>
      </w:r>
      <w:r>
        <w:t xml:space="preserve"> of </w:t>
      </w:r>
      <w:r>
        <w:rPr>
          <w:i/>
        </w:rPr>
        <w:t>Mizmor</w:t>
      </w:r>
      <w:r>
        <w:t xml:space="preserve"> 29 in </w:t>
      </w:r>
      <w:r>
        <w:rPr>
          <w:i/>
        </w:rPr>
        <w:t>Tehillim</w:t>
      </w:r>
      <w:r>
        <w:t xml:space="preserve">, recited as the closing </w:t>
      </w:r>
      <w:r>
        <w:rPr>
          <w:i/>
        </w:rPr>
        <w:t>mizmor</w:t>
      </w:r>
      <w:r>
        <w:t xml:space="preserve"> of </w:t>
      </w:r>
      <w:r>
        <w:rPr>
          <w:i/>
        </w:rPr>
        <w:t>Kabbalas Shabbos</w:t>
      </w:r>
      <w:r>
        <w:t xml:space="preserve"> and as part of the </w:t>
      </w:r>
      <w:r>
        <w:rPr>
          <w:i/>
        </w:rPr>
        <w:t>hotza’as sefer Torah</w:t>
      </w:r>
      <w:r>
        <w:t xml:space="preserve">, are read by </w:t>
      </w:r>
      <w:r>
        <w:rPr>
          <w:i/>
        </w:rPr>
        <w:t>Chazal</w:t>
      </w:r>
      <w:r>
        <w:t xml:space="preserve"> as the textual ground for the structure of the opening unit of the </w:t>
      </w:r>
      <w:r>
        <w:rPr>
          <w:i/>
        </w:rPr>
        <w:t>Amidah</w:t>
      </w:r>
      <w:r>
        <w:t>. The three clauses (</w:t>
      </w:r>
      <w:r>
        <w:rPr>
          <w:i/>
        </w:rPr>
        <w:t>Bnei Elim</w:t>
      </w:r>
      <w:r>
        <w:t xml:space="preserve">, </w:t>
      </w:r>
      <w:r>
        <w:rPr>
          <w:i/>
        </w:rPr>
        <w:t>Oz</w:t>
      </w:r>
      <w:r>
        <w:t xml:space="preserve">, </w:t>
      </w:r>
      <w:r>
        <w:rPr>
          <w:i/>
        </w:rPr>
        <w:t>Kevod Shemo</w:t>
      </w:r>
      <w:r>
        <w:t xml:space="preserve">) map respectively onto </w:t>
      </w:r>
      <w:r>
        <w:rPr>
          <w:i/>
        </w:rPr>
        <w:t>Avos</w:t>
      </w:r>
      <w:r>
        <w:t xml:space="preserve">, </w:t>
      </w:r>
      <w:r>
        <w:rPr>
          <w:i/>
        </w:rPr>
        <w:t>Gevuros</w:t>
      </w:r>
      <w:r>
        <w:t xml:space="preserve">, and </w:t>
      </w:r>
      <w:r>
        <w:rPr>
          <w:i/>
        </w:rPr>
        <w:t>Kedushah</w:t>
      </w:r>
      <w:r>
        <w:t>.</w:t>
      </w:r>
    </w:p>
    <w:p>
      <w:r>
        <w:rPr>
          <w:b/>
          <w:color w:val="1E3A8A"/>
        </w:rPr>
        <w:t xml:space="preserve">3. </w:t>
      </w:r>
      <w:r>
        <w:rPr>
          <w:b/>
          <w:i/>
          <w:color w:val="1E3A8A"/>
        </w:rPr>
        <w:t>Zohar HaKadosh</w:t>
      </w:r>
      <w:r>
        <w:rPr>
          <w:b/>
          <w:color w:val="1E3A8A"/>
        </w:rPr>
        <w:t xml:space="preserve"> on </w:t>
      </w:r>
      <w:r>
        <w:rPr>
          <w:b/>
          <w:i/>
          <w:color w:val="1E3A8A"/>
        </w:rPr>
        <w:t>Atah Kadosh V’Shimcha Kadosh</w:t>
      </w:r>
      <w:r>
        <w:rPr>
          <w:b/>
          <w:color w:val="1E3A8A"/>
        </w:rPr>
        <w:t xml:space="preserve">, and on </w:t>
      </w:r>
      <w:r>
        <w:rPr>
          <w:b/>
          <w:i/>
          <w:color w:val="1E3A8A"/>
        </w:rPr>
        <w:t>HaMelech</w:t>
      </w:r>
      <w:r>
        <w:rPr>
          <w:b/>
          <w:color w:val="1E3A8A"/>
        </w:rPr>
        <w:t xml:space="preserve"> (</w:t>
      </w:r>
      <w:r>
        <w:rPr>
          <w:b/>
          <w:i/>
          <w:color w:val="1E3A8A"/>
        </w:rPr>
        <w:t>din</w:t>
      </w:r>
      <w:r>
        <w:rPr>
          <w:b/>
          <w:color w:val="1E3A8A"/>
        </w:rPr>
        <w:t xml:space="preserve">) versus </w:t>
      </w:r>
      <w:r>
        <w:rPr>
          <w:b/>
          <w:i/>
          <w:color w:val="1E3A8A"/>
        </w:rPr>
        <w:t>HaKel</w:t>
      </w:r>
      <w:r>
        <w:rPr>
          <w:b/>
          <w:color w:val="1E3A8A"/>
        </w:rPr>
        <w:t xml:space="preserve"> (</w:t>
      </w:r>
      <w:r>
        <w:rPr>
          <w:b/>
          <w:i/>
          <w:color w:val="1E3A8A"/>
        </w:rPr>
        <w:t>chesed</w:t>
      </w:r>
      <w:r>
        <w:rPr>
          <w:b/>
          <w:color w:val="1E3A8A"/>
        </w:rPr>
        <w:t>).</w:t>
      </w:r>
      <w:r>
        <w:t xml:space="preserve"> </w:t>
      </w:r>
      <w:r>
        <w:t xml:space="preserve">— The </w:t>
      </w:r>
      <w:r>
        <w:rPr>
          <w:i/>
        </w:rPr>
        <w:t>Zohar</w:t>
      </w:r>
      <w:r>
        <w:t xml:space="preserve"> develops two relevant points across multiple passages. First, on the doubled </w:t>
      </w:r>
      <w:r>
        <w:rPr>
          <w:i/>
        </w:rPr>
        <w:t>Atah Kadosh V’Shimcha Kadosh</w:t>
      </w:r>
      <w:r>
        <w:t xml:space="preserve">: a finite, embodied </w:t>
      </w:r>
      <w:r>
        <w:rPr>
          <w:i/>
        </w:rPr>
        <w:t>mispallel</w:t>
      </w:r>
      <w:r>
        <w:t xml:space="preserve"> who presumes to declare </w:t>
      </w:r>
      <w:r>
        <w:rPr>
          <w:i/>
        </w:rPr>
        <w:t>Hashem</w:t>
      </w:r>
      <w:r>
        <w:t xml:space="preserve"> </w:t>
      </w:r>
      <w:r>
        <w:rPr>
          <w:i/>
        </w:rPr>
        <w:t>kadosh</w:t>
      </w:r>
      <w:r>
        <w:t xml:space="preserve"> must immediately deepen the recognition of separation by adding </w:t>
      </w:r>
      <w:r>
        <w:rPr>
          <w:i/>
        </w:rPr>
        <w:t>V’Shimcha Kadosh</w:t>
      </w:r>
      <w:r>
        <w:t xml:space="preserve">. Second, on the substitution during </w:t>
      </w:r>
      <w:r>
        <w:rPr>
          <w:i/>
        </w:rPr>
        <w:t>Aseres Yemei Teshuvah</w:t>
      </w:r>
      <w:r>
        <w:t xml:space="preserve">: </w:t>
      </w:r>
      <w:r>
        <w:rPr>
          <w:i/>
        </w:rPr>
        <w:t>HaKel</w:t>
      </w:r>
      <w:r>
        <w:t xml:space="preserve"> is associated kabbalistically with </w:t>
      </w:r>
      <w:r>
        <w:rPr>
          <w:i/>
        </w:rPr>
        <w:t>chesed</w:t>
      </w:r>
      <w:r>
        <w:t xml:space="preserve">, while </w:t>
      </w:r>
      <w:r>
        <w:rPr>
          <w:i/>
        </w:rPr>
        <w:t>HaMelech</w:t>
      </w:r>
      <w:r>
        <w:t xml:space="preserve"> sits in </w:t>
      </w:r>
      <w:r>
        <w:rPr>
          <w:i/>
        </w:rPr>
        <w:t>gevurah</w:t>
      </w:r>
      <w:r>
        <w:t xml:space="preserve"> and </w:t>
      </w:r>
      <w:r>
        <w:rPr>
          <w:i/>
        </w:rPr>
        <w:t>din</w:t>
      </w:r>
      <w:r>
        <w:t xml:space="preserve">; when the King sits in judgment, the formulation shifts to </w:t>
      </w:r>
      <w:r>
        <w:rPr>
          <w:i/>
        </w:rPr>
        <w:t>HaMelech HaKadosh</w:t>
      </w:r>
      <w:r>
        <w:t>. Not verified through Sefaria: an oral kabbalistic tradition drawn on by the Rebbe; preserved as cited.</w:t>
      </w:r>
    </w:p>
    <w:p>
      <w:r>
        <w:rPr>
          <w:b/>
          <w:color w:val="1E3A8A"/>
        </w:rPr>
        <w:t xml:space="preserve">4. </w:t>
      </w:r>
      <w:r>
        <w:rPr>
          <w:b/>
          <w:i/>
          <w:color w:val="1E3A8A"/>
        </w:rPr>
        <w:t>Vayikra</w:t>
      </w:r>
      <w:r>
        <w:rPr>
          <w:b/>
          <w:color w:val="1E3A8A"/>
        </w:rPr>
        <w:t xml:space="preserve"> 19:2 with </w:t>
      </w:r>
      <w:r>
        <w:rPr>
          <w:b/>
          <w:i/>
          <w:color w:val="1E3A8A"/>
        </w:rPr>
        <w:t>Rashi</w:t>
      </w:r>
      <w:r>
        <w:rPr>
          <w:b/>
          <w:color w:val="1E3A8A"/>
        </w:rPr>
        <w:t xml:space="preserve"> — </w:t>
      </w:r>
      <w:r>
        <w:rPr>
          <w:b/>
          <w:i/>
          <w:color w:val="1E3A8A"/>
        </w:rPr>
        <w:t>Kedoshim Tihyu Ki Kadosh Ani; Perushim Tihyu min HaArayos</w:t>
      </w:r>
      <w:r>
        <w:rPr>
          <w:b/>
          <w:color w:val="1E3A8A"/>
        </w:rPr>
        <w:t>.</w:t>
      </w:r>
      <w:r>
        <w:t xml:space="preserve"> </w:t>
      </w:r>
      <w:r>
        <w:t xml:space="preserve">— The opening </w:t>
      </w:r>
      <w:r>
        <w:rPr>
          <w:i/>
        </w:rPr>
        <w:t>pasuk</w:t>
      </w:r>
      <w:r>
        <w:t xml:space="preserve"> of </w:t>
      </w:r>
      <w:r>
        <w:rPr>
          <w:i/>
        </w:rPr>
        <w:t>Parshas Kedoshim</w:t>
      </w:r>
      <w:r>
        <w:t xml:space="preserve">. </w:t>
      </w:r>
      <w:r>
        <w:rPr>
          <w:i/>
        </w:rPr>
        <w:t>Rashi</w:t>
      </w:r>
      <w:r>
        <w:t xml:space="preserve">, drawing on the </w:t>
      </w:r>
      <w:r>
        <w:rPr>
          <w:i/>
        </w:rPr>
        <w:t>Sifra</w:t>
      </w:r>
      <w:r>
        <w:t xml:space="preserve">, glosses </w:t>
      </w:r>
      <w:r>
        <w:rPr>
          <w:i/>
        </w:rPr>
        <w:t>Kedoshim</w:t>
      </w:r>
      <w:r>
        <w:t xml:space="preserve"> as </w:t>
      </w:r>
      <w:r>
        <w:rPr>
          <w:i/>
        </w:rPr>
        <w:t>Perushim</w:t>
      </w:r>
      <w:r>
        <w:t xml:space="preserve"> — separated, particularly from forbidden relations — establishing the lexical equation </w:t>
      </w:r>
      <w:r>
        <w:rPr>
          <w:i/>
        </w:rPr>
        <w:t>kadosh = muvdal</w:t>
      </w:r>
      <w:r>
        <w:t xml:space="preserve">. Verified on Sefaria: </w:t>
      </w:r>
      <w:r>
        <w:rPr>
          <w:i/>
        </w:rPr>
        <w:t>Rashi on Leviticus</w:t>
      </w:r>
      <w:r>
        <w:t xml:space="preserve"> 19:2 — “keep aloof from the forbidden sexual relations just mentioned and from sinful thoughts.” The same </w:t>
      </w:r>
      <w:r>
        <w:rPr>
          <w:i/>
        </w:rPr>
        <w:t>pasuk</w:t>
      </w:r>
      <w:r>
        <w:t xml:space="preserve"> closes with </w:t>
      </w:r>
      <w:r>
        <w:rPr>
          <w:i/>
        </w:rPr>
        <w:t>Ki Kadosh Ani</w:t>
      </w:r>
      <w:r>
        <w:t xml:space="preserve">, the </w:t>
      </w:r>
      <w:r>
        <w:rPr>
          <w:i/>
        </w:rPr>
        <w:t>seifa</w:t>
      </w:r>
      <w:r>
        <w:t xml:space="preserve"> on which the </w:t>
      </w:r>
      <w:r>
        <w:rPr>
          <w:i/>
        </w:rPr>
        <w:t>Rizhiner</w:t>
      </w:r>
      <w:r>
        <w:t xml:space="preserve"> builds his reading of </w:t>
      </w:r>
      <w:r>
        <w:rPr>
          <w:i/>
        </w:rPr>
        <w:t>Talmud Lomar</w:t>
      </w:r>
      <w:r>
        <w:t>.</w:t>
      </w:r>
    </w:p>
    <w:p>
      <w:r>
        <w:rPr>
          <w:b/>
          <w:color w:val="1E3A8A"/>
        </w:rPr>
        <w:t xml:space="preserve">5. </w:t>
      </w:r>
      <w:r>
        <w:rPr>
          <w:b/>
          <w:i/>
          <w:color w:val="1E3A8A"/>
        </w:rPr>
        <w:t>Hasagos HaRaavad</w:t>
      </w:r>
      <w:r>
        <w:rPr>
          <w:b/>
          <w:color w:val="1E3A8A"/>
        </w:rPr>
        <w:t xml:space="preserve"> on </w:t>
      </w:r>
      <w:r>
        <w:rPr>
          <w:b/>
          <w:i/>
          <w:color w:val="1E3A8A"/>
        </w:rPr>
        <w:t>Rambam, Hilchos Gerushin</w:t>
      </w:r>
      <w:r>
        <w:rPr>
          <w:b/>
          <w:color w:val="1E3A8A"/>
        </w:rPr>
        <w:t xml:space="preserve"> — </w:t>
      </w:r>
      <w:r>
        <w:rPr>
          <w:b/>
          <w:i/>
          <w:color w:val="1E3A8A"/>
        </w:rPr>
        <w:t>kiddushin</w:t>
      </w:r>
      <w:r>
        <w:rPr>
          <w:b/>
          <w:color w:val="1E3A8A"/>
        </w:rPr>
        <w:t xml:space="preserve"> as a </w:t>
      </w:r>
      <w:r>
        <w:rPr>
          <w:b/>
          <w:i/>
          <w:color w:val="1E3A8A"/>
        </w:rPr>
        <w:t>kinyan issur</w:t>
      </w:r>
      <w:r>
        <w:rPr>
          <w:b/>
          <w:color w:val="1E3A8A"/>
        </w:rPr>
        <w:t>.</w:t>
      </w:r>
      <w:r>
        <w:t xml:space="preserve"> </w:t>
      </w:r>
      <w:r>
        <w:t xml:space="preserve">— The </w:t>
      </w:r>
      <w:r>
        <w:rPr>
          <w:i/>
        </w:rPr>
        <w:t>Raavad</w:t>
      </w:r>
      <w:r>
        <w:t xml:space="preserve"> (</w:t>
      </w:r>
      <w:r>
        <w:rPr>
          <w:i/>
        </w:rPr>
        <w:t>Rabbi Avraham ben David</w:t>
      </w:r>
      <w:r>
        <w:t xml:space="preserve">, c. 1125–1198, Posquières), in his </w:t>
      </w:r>
      <w:r>
        <w:rPr>
          <w:i/>
        </w:rPr>
        <w:t>Hasagos</w:t>
      </w:r>
      <w:r>
        <w:t xml:space="preserve"> on the </w:t>
      </w:r>
      <w:r>
        <w:rPr>
          <w:i/>
        </w:rPr>
        <w:t>Rambam’s</w:t>
      </w:r>
      <w:r>
        <w:t xml:space="preserve"> </w:t>
      </w:r>
      <w:r>
        <w:rPr>
          <w:i/>
        </w:rPr>
        <w:t>Hilchos Gerushin</w:t>
      </w:r>
      <w:r>
        <w:t xml:space="preserve">, develops the analytical position that </w:t>
      </w:r>
      <w:r>
        <w:rPr>
          <w:i/>
        </w:rPr>
        <w:t>kiddushin</w:t>
      </w:r>
      <w:r>
        <w:t xml:space="preserve"> operates as a </w:t>
      </w:r>
      <w:r>
        <w:rPr>
          <w:i/>
        </w:rPr>
        <w:t>kinyan issur</w:t>
      </w:r>
      <w:r>
        <w:t xml:space="preserve"> — not (or not only) a property-style </w:t>
      </w:r>
      <w:r>
        <w:rPr>
          <w:i/>
        </w:rPr>
        <w:t>kinyan mamon</w:t>
      </w:r>
      <w:r>
        <w:t xml:space="preserve"> in the wife, but a </w:t>
      </w:r>
      <w:r>
        <w:rPr>
          <w:i/>
        </w:rPr>
        <w:t>chalos</w:t>
      </w:r>
      <w:r>
        <w:t xml:space="preserve"> of forbidden status excluding her from all other men. The Rebbe brings this to illustrate the lexical sense of </w:t>
      </w:r>
      <w:r>
        <w:rPr>
          <w:i/>
        </w:rPr>
        <w:t>kedushah</w:t>
      </w:r>
      <w:r>
        <w:t xml:space="preserve"> as </w:t>
      </w:r>
      <w:r>
        <w:rPr>
          <w:i/>
        </w:rPr>
        <w:t>muvdal</w:t>
      </w:r>
      <w:r>
        <w:t xml:space="preserve">: </w:t>
      </w:r>
      <w:r>
        <w:rPr>
          <w:i/>
        </w:rPr>
        <w:t>kiddushin</w:t>
      </w:r>
      <w:r>
        <w:t xml:space="preserve"> separates the </w:t>
      </w:r>
      <w:r>
        <w:rPr>
          <w:i/>
        </w:rPr>
        <w:t>ishah</w:t>
      </w:r>
      <w:r>
        <w:t xml:space="preserve"> from the rest of the world, exactly as </w:t>
      </w:r>
      <w:r>
        <w:rPr>
          <w:i/>
        </w:rPr>
        <w:t>hekdesh</w:t>
      </w:r>
      <w:r>
        <w:t xml:space="preserve"> separates a </w:t>
      </w:r>
      <w:r>
        <w:rPr>
          <w:i/>
        </w:rPr>
        <w:t>korban</w:t>
      </w:r>
      <w:r>
        <w:t xml:space="preserve"> from </w:t>
      </w:r>
      <w:r>
        <w:rPr>
          <w:i/>
        </w:rPr>
        <w:t>chullin</w:t>
      </w:r>
      <w:r>
        <w:t>.</w:t>
      </w:r>
    </w:p>
    <w:p>
      <w:r>
        <w:rPr>
          <w:b/>
          <w:color w:val="1E3A8A"/>
        </w:rPr>
        <w:t xml:space="preserve">6. </w:t>
      </w:r>
      <w:r>
        <w:rPr>
          <w:b/>
          <w:i/>
          <w:color w:val="1E3A8A"/>
        </w:rPr>
        <w:t>Kadesh Barnea</w:t>
      </w:r>
      <w:r>
        <w:rPr>
          <w:b/>
          <w:color w:val="1E3A8A"/>
        </w:rPr>
        <w:t xml:space="preserve"> (southern border of </w:t>
      </w:r>
      <w:r>
        <w:rPr>
          <w:b/>
          <w:i/>
          <w:color w:val="1E3A8A"/>
        </w:rPr>
        <w:t>Eretz Yisrael</w:t>
      </w:r>
      <w:r>
        <w:rPr>
          <w:b/>
          <w:color w:val="1E3A8A"/>
        </w:rPr>
        <w:t xml:space="preserve">) and </w:t>
      </w:r>
      <w:r>
        <w:rPr>
          <w:b/>
          <w:i/>
          <w:color w:val="1E3A8A"/>
        </w:rPr>
        <w:t>Kedesh Naftali</w:t>
      </w:r>
      <w:r>
        <w:rPr>
          <w:b/>
          <w:color w:val="1E3A8A"/>
        </w:rPr>
        <w:t xml:space="preserve"> (northern border, </w:t>
      </w:r>
      <w:r>
        <w:rPr>
          <w:b/>
          <w:i/>
          <w:color w:val="1E3A8A"/>
        </w:rPr>
        <w:t>Sefer Shoftim</w:t>
      </w:r>
      <w:r>
        <w:rPr>
          <w:b/>
          <w:color w:val="1E3A8A"/>
        </w:rPr>
        <w:t>).</w:t>
      </w:r>
      <w:r>
        <w:t xml:space="preserve"> </w:t>
      </w:r>
      <w:r>
        <w:t xml:space="preserve">— </w:t>
      </w:r>
      <w:r>
        <w:rPr>
          <w:i/>
        </w:rPr>
        <w:t>Kadesh Barnea</w:t>
      </w:r>
      <w:r>
        <w:t xml:space="preserve"> appears repeatedly in </w:t>
      </w:r>
      <w:r>
        <w:rPr>
          <w:i/>
        </w:rPr>
        <w:t>Sefer Bemidbar</w:t>
      </w:r>
      <w:r>
        <w:t xml:space="preserve"> and </w:t>
      </w:r>
      <w:r>
        <w:rPr>
          <w:i/>
        </w:rPr>
        <w:t>Sefer Devarim</w:t>
      </w:r>
      <w:r>
        <w:t xml:space="preserve"> as a station in the wilderness journey and as a marker of the southern boundary. </w:t>
      </w:r>
      <w:r>
        <w:rPr>
          <w:i/>
        </w:rPr>
        <w:t>Kedesh Naftali</w:t>
      </w:r>
      <w:r>
        <w:t xml:space="preserve"> appears in </w:t>
      </w:r>
      <w:r>
        <w:rPr>
          <w:i/>
        </w:rPr>
        <w:t>Sefer Yehoshua</w:t>
      </w:r>
      <w:r>
        <w:t xml:space="preserve"> and </w:t>
      </w:r>
      <w:r>
        <w:rPr>
          <w:i/>
        </w:rPr>
        <w:t>Sefer Shoftim</w:t>
      </w:r>
      <w:r>
        <w:t xml:space="preserve"> as a city of refuge in the northern territory of Naftali. Every place bearing the name </w:t>
      </w:r>
      <w:r>
        <w:rPr>
          <w:i/>
        </w:rPr>
        <w:t>Kadesh</w:t>
      </w:r>
      <w:r>
        <w:t xml:space="preserve"> in </w:t>
      </w:r>
      <w:r>
        <w:rPr>
          <w:i/>
        </w:rPr>
        <w:t>Tanach</w:t>
      </w:r>
      <w:r>
        <w:t xml:space="preserve"> sits at a border, confirming the lexical equation </w:t>
      </w:r>
      <w:r>
        <w:rPr>
          <w:i/>
        </w:rPr>
        <w:t>kadosh = muvdal</w:t>
      </w:r>
      <w:r>
        <w:t xml:space="preserve"> even in the geography of the Land.</w:t>
      </w:r>
    </w:p>
    <w:p>
      <w:r>
        <w:rPr>
          <w:b/>
          <w:color w:val="1E3A8A"/>
        </w:rPr>
        <w:t xml:space="preserve">7. </w:t>
      </w:r>
      <w:r>
        <w:rPr>
          <w:b/>
          <w:i/>
          <w:color w:val="1E3A8A"/>
        </w:rPr>
        <w:t>Sefer HaKuzari</w:t>
      </w:r>
      <w:r>
        <w:rPr>
          <w:b/>
          <w:color w:val="1E3A8A"/>
        </w:rPr>
        <w:t xml:space="preserve"> (</w:t>
      </w:r>
      <w:r>
        <w:rPr>
          <w:b/>
          <w:i/>
          <w:color w:val="1E3A8A"/>
        </w:rPr>
        <w:t>Rabbeinu Yehudah HaLevi</w:t>
      </w:r>
      <w:r>
        <w:rPr>
          <w:b/>
          <w:color w:val="1E3A8A"/>
        </w:rPr>
        <w:t xml:space="preserve">, c. 1075–1141) — composed in Judeo-Arabic in 1139 in Spain; Hebrew translation by </w:t>
      </w:r>
      <w:r>
        <w:rPr>
          <w:b/>
          <w:i/>
          <w:color w:val="1E3A8A"/>
        </w:rPr>
        <w:t>Yehudah ibn Tibbon</w:t>
      </w:r>
      <w:r>
        <w:rPr>
          <w:b/>
          <w:color w:val="1E3A8A"/>
        </w:rPr>
        <w:t>.</w:t>
      </w:r>
      <w:r>
        <w:t xml:space="preserve"> </w:t>
      </w:r>
      <w:r>
        <w:t xml:space="preserve">— The full Arabic title translates as </w:t>
      </w:r>
      <w:r>
        <w:rPr>
          <w:i/>
        </w:rPr>
        <w:t>The Book of Refutation and Proof on Behalf of the Despised Religion</w:t>
      </w:r>
      <w:r>
        <w:t xml:space="preserve">. Translated into Hebrew by </w:t>
      </w:r>
      <w:r>
        <w:rPr>
          <w:i/>
        </w:rPr>
        <w:t>Yehudah ibn Tibbon</w:t>
      </w:r>
      <w:r>
        <w:t xml:space="preserve"> in 1167 in Provence. The work is structured as a sustained dialogue between the king of Khazar and the </w:t>
      </w:r>
      <w:r>
        <w:rPr>
          <w:i/>
        </w:rPr>
        <w:t>chacham</w:t>
      </w:r>
      <w:r>
        <w:t xml:space="preserve"> </w:t>
      </w:r>
      <w:r>
        <w:rPr>
          <w:i/>
        </w:rPr>
        <w:t>Rav Yitzchak HaSangari</w:t>
      </w:r>
      <w:r>
        <w:t xml:space="preserve">, developing Jewish theology, the covenantal status of </w:t>
      </w:r>
      <w:r>
        <w:rPr>
          <w:i/>
        </w:rPr>
        <w:t>Klal Yisrael</w:t>
      </w:r>
      <w:r>
        <w:t xml:space="preserve">, the structure of </w:t>
      </w:r>
      <w:r>
        <w:rPr>
          <w:i/>
        </w:rPr>
        <w:t>tefillah</w:t>
      </w:r>
      <w:r>
        <w:t xml:space="preserve">, and a sustained reading of the </w:t>
      </w:r>
      <w:r>
        <w:rPr>
          <w:i/>
        </w:rPr>
        <w:t>seder</w:t>
      </w:r>
      <w:r>
        <w:t xml:space="preserve"> of the first three </w:t>
      </w:r>
      <w:r>
        <w:rPr>
          <w:i/>
        </w:rPr>
        <w:t>berachos</w:t>
      </w:r>
      <w:r>
        <w:t xml:space="preserve"> of </w:t>
      </w:r>
      <w:r>
        <w:rPr>
          <w:i/>
        </w:rPr>
        <w:t>Shemoneh Esrei</w:t>
      </w:r>
      <w:r>
        <w:t xml:space="preserve">. </w:t>
      </w:r>
      <w:r>
        <w:rPr>
          <w:i/>
        </w:rPr>
        <w:t>Rabbeinu Yehudah HaLevi</w:t>
      </w:r>
      <w:r>
        <w:t xml:space="preserve">, in a letter recovered from the </w:t>
      </w:r>
      <w:r>
        <w:rPr>
          <w:i/>
        </w:rPr>
        <w:t>Cairo Genizah</w:t>
      </w:r>
      <w:r>
        <w:t xml:space="preserve">, refers to the work modestly as </w:t>
      </w:r>
      <w:r>
        <w:rPr>
          <w:i/>
        </w:rPr>
        <w:t>davar katan</w:t>
      </w:r>
      <w:r>
        <w:t xml:space="preserve">; the world has held it as one of the foundational </w:t>
      </w:r>
      <w:r>
        <w:rPr>
          <w:i/>
        </w:rPr>
        <w:t>sifrei machashavah</w:t>
      </w:r>
      <w:r>
        <w:t xml:space="preserve"> of </w:t>
      </w:r>
      <w:r>
        <w:rPr>
          <w:i/>
        </w:rPr>
        <w:t>Klal Yisrael</w:t>
      </w:r>
      <w:r>
        <w:t>.</w:t>
      </w:r>
    </w:p>
    <w:p>
      <w:r>
        <w:rPr>
          <w:b/>
          <w:color w:val="1E3A8A"/>
        </w:rPr>
        <w:t xml:space="preserve">8. </w:t>
      </w:r>
      <w:r>
        <w:rPr>
          <w:b/>
          <w:color w:val="1E3A8A"/>
        </w:rPr>
        <w:t xml:space="preserve">The </w:t>
      </w:r>
      <w:r>
        <w:rPr>
          <w:b/>
          <w:i/>
          <w:color w:val="1E3A8A"/>
        </w:rPr>
        <w:t>Gra</w:t>
      </w:r>
      <w:r>
        <w:rPr>
          <w:b/>
          <w:color w:val="1E3A8A"/>
        </w:rPr>
        <w:t xml:space="preserve"> on the </w:t>
      </w:r>
      <w:r>
        <w:rPr>
          <w:b/>
          <w:i/>
          <w:color w:val="1E3A8A"/>
        </w:rPr>
        <w:t>Kuzari</w:t>
      </w:r>
      <w:r>
        <w:rPr>
          <w:b/>
          <w:color w:val="1E3A8A"/>
        </w:rPr>
        <w:t xml:space="preserve"> as </w:t>
      </w:r>
      <w:r>
        <w:rPr>
          <w:b/>
          <w:i/>
          <w:color w:val="1E3A8A"/>
        </w:rPr>
        <w:t>kadosh v’tahor</w:t>
      </w:r>
      <w:r>
        <w:rPr>
          <w:b/>
          <w:color w:val="1E3A8A"/>
        </w:rPr>
        <w:t xml:space="preserve">; </w:t>
      </w:r>
      <w:r>
        <w:rPr>
          <w:b/>
          <w:i/>
          <w:color w:val="1E3A8A"/>
        </w:rPr>
        <w:t>Rav Kook</w:t>
      </w:r>
      <w:r>
        <w:rPr>
          <w:b/>
          <w:color w:val="1E3A8A"/>
        </w:rPr>
        <w:t xml:space="preserve"> at </w:t>
      </w:r>
      <w:r>
        <w:rPr>
          <w:b/>
          <w:i/>
          <w:color w:val="1E3A8A"/>
        </w:rPr>
        <w:t>Yeshivas Merkaz HaRav</w:t>
      </w:r>
      <w:r>
        <w:rPr>
          <w:b/>
          <w:color w:val="1E3A8A"/>
        </w:rPr>
        <w:t>.</w:t>
      </w:r>
      <w:r>
        <w:t xml:space="preserve"> </w:t>
      </w:r>
      <w:r>
        <w:t xml:space="preserve">— </w:t>
      </w:r>
      <w:r>
        <w:rPr>
          <w:i/>
        </w:rPr>
        <w:t>Rabbi Eliyahu of Vilna</w:t>
      </w:r>
      <w:r>
        <w:t xml:space="preserve"> (the </w:t>
      </w:r>
      <w:r>
        <w:rPr>
          <w:i/>
        </w:rPr>
        <w:t>Gra</w:t>
      </w:r>
      <w:r>
        <w:t xml:space="preserve">, 1720–1797), as recorded in his students’ transmissions, called the </w:t>
      </w:r>
      <w:r>
        <w:rPr>
          <w:i/>
        </w:rPr>
        <w:t>Kuzari</w:t>
      </w:r>
      <w:r>
        <w:t xml:space="preserve"> </w:t>
      </w:r>
      <w:r>
        <w:rPr>
          <w:i/>
        </w:rPr>
        <w:t>kadosh v’tahor</w:t>
      </w:r>
      <w:r>
        <w:t xml:space="preserve"> for those equipped to learn it (</w:t>
      </w:r>
      <w:r>
        <w:rPr>
          <w:i/>
        </w:rPr>
        <w:t>yod’ei da’as</w:t>
      </w:r>
      <w:r>
        <w:t xml:space="preserve">). </w:t>
      </w:r>
      <w:r>
        <w:rPr>
          <w:i/>
        </w:rPr>
        <w:t>HaRav Avraham Yitzchak HaKohen Kook, zt”l</w:t>
      </w:r>
      <w:r>
        <w:t xml:space="preserve"> (1865–1935, first Ashkenazi Chief Rabbi of </w:t>
      </w:r>
      <w:r>
        <w:rPr>
          <w:i/>
        </w:rPr>
        <w:t>Eretz Yisrael</w:t>
      </w:r>
      <w:r>
        <w:t xml:space="preserve">, founder of </w:t>
      </w:r>
      <w:r>
        <w:rPr>
          <w:i/>
        </w:rPr>
        <w:t>Yeshivas Merkaz HaRav</w:t>
      </w:r>
      <w:r>
        <w:t xml:space="preserve"> in Jerusalem in 1924), drew on this assessment in deliberately incorporating </w:t>
      </w:r>
      <w:r>
        <w:rPr>
          <w:i/>
        </w:rPr>
        <w:t>Kuzari</w:t>
      </w:r>
      <w:r>
        <w:t xml:space="preserve"> as a core element of the yeshiva’s </w:t>
      </w:r>
      <w:r>
        <w:rPr>
          <w:i/>
        </w:rPr>
        <w:t>seder ha’limud</w:t>
      </w:r>
      <w:r>
        <w:t xml:space="preserve"> — establishing the work’s central place in the </w:t>
      </w:r>
      <w:r>
        <w:rPr>
          <w:i/>
        </w:rPr>
        <w:t>dati leumi</w:t>
      </w:r>
      <w:r>
        <w:t xml:space="preserve"> </w:t>
      </w:r>
      <w:r>
        <w:rPr>
          <w:i/>
        </w:rPr>
        <w:t>beis midrash</w:t>
      </w:r>
      <w:r>
        <w:t xml:space="preserve"> while remaining peripheral in standard Litvish yeshivos.</w:t>
      </w:r>
    </w:p>
    <w:p>
      <w:r>
        <w:rPr>
          <w:b/>
          <w:color w:val="1E3A8A"/>
        </w:rPr>
        <w:t xml:space="preserve">9. </w:t>
      </w:r>
      <w:r>
        <w:rPr>
          <w:b/>
          <w:color w:val="1E3A8A"/>
        </w:rPr>
        <w:t xml:space="preserve">The </w:t>
      </w:r>
      <w:r>
        <w:rPr>
          <w:b/>
          <w:i/>
          <w:color w:val="1E3A8A"/>
        </w:rPr>
        <w:t>Cairo Genizah</w:t>
      </w:r>
      <w:r>
        <w:rPr>
          <w:b/>
          <w:color w:val="1E3A8A"/>
        </w:rPr>
        <w:t xml:space="preserve"> — recovered 1896–97 by </w:t>
      </w:r>
      <w:r>
        <w:rPr>
          <w:b/>
          <w:i/>
          <w:color w:val="1E3A8A"/>
        </w:rPr>
        <w:t>Solomon Schechter</w:t>
      </w:r>
      <w:r>
        <w:rPr>
          <w:b/>
          <w:color w:val="1E3A8A"/>
        </w:rPr>
        <w:t xml:space="preserve">; three letters between the Khazar court and </w:t>
      </w:r>
      <w:r>
        <w:rPr>
          <w:b/>
          <w:i/>
          <w:color w:val="1E3A8A"/>
        </w:rPr>
        <w:t>Rav Chasdai ibn Shaprut</w:t>
      </w:r>
      <w:r>
        <w:rPr>
          <w:b/>
          <w:color w:val="1E3A8A"/>
        </w:rPr>
        <w:t>.</w:t>
      </w:r>
      <w:r>
        <w:t xml:space="preserve"> </w:t>
      </w:r>
      <w:r>
        <w:t xml:space="preserve">— The </w:t>
      </w:r>
      <w:r>
        <w:rPr>
          <w:i/>
        </w:rPr>
        <w:t>Cairo Genizah</w:t>
      </w:r>
      <w:r>
        <w:t xml:space="preserve"> (Ben Ezra Synagogue, Fustat, Old Cairo) was recovered to Cambridge University Library in 1896–97 by </w:t>
      </w:r>
      <w:r>
        <w:rPr>
          <w:i/>
        </w:rPr>
        <w:t>Solomon Schechter</w:t>
      </w:r>
      <w:r>
        <w:t xml:space="preserve"> with the prior reconnaissance of </w:t>
      </w:r>
      <w:r>
        <w:rPr>
          <w:i/>
        </w:rPr>
        <w:t>Margaret Gibson</w:t>
      </w:r>
      <w:r>
        <w:t xml:space="preserve"> and </w:t>
      </w:r>
      <w:r>
        <w:rPr>
          <w:i/>
        </w:rPr>
        <w:t>Agnes Smith Lewis</w:t>
      </w:r>
      <w:r>
        <w:t xml:space="preserve">. Among the recovered manuscripts: three letters between the Khazar court and </w:t>
      </w:r>
      <w:r>
        <w:rPr>
          <w:i/>
        </w:rPr>
        <w:t>Rav Chasdai ibn Shaprut</w:t>
      </w:r>
      <w:r>
        <w:t xml:space="preserve"> (c. 915–970, Cordoba; physician and diplomat to Caliph Abd al-Rahman III; patron of </w:t>
      </w:r>
      <w:r>
        <w:rPr>
          <w:i/>
        </w:rPr>
        <w:t>Rabbi Dunash ben Labrat</w:t>
      </w:r>
      <w:r>
        <w:t xml:space="preserve"> and </w:t>
      </w:r>
      <w:r>
        <w:rPr>
          <w:i/>
        </w:rPr>
        <w:t>Rabbi Menachem ben Saruk</w:t>
      </w:r>
      <w:r>
        <w:t xml:space="preserve">). The Khazar correspondence — including a letter purporting to be from King Joseph himself — provides independent corroboration of the conversion narrative that opens the </w:t>
      </w:r>
      <w:r>
        <w:rPr>
          <w:i/>
        </w:rPr>
        <w:t>Kuzari</w:t>
      </w:r>
      <w:r>
        <w:t>. Islamic chroniclers of the same period (</w:t>
      </w:r>
      <w:r>
        <w:rPr>
          <w:i/>
        </w:rPr>
        <w:t>al-Mas’udi</w:t>
      </w:r>
      <w:r>
        <w:t xml:space="preserve">, </w:t>
      </w:r>
      <w:r>
        <w:rPr>
          <w:i/>
        </w:rPr>
        <w:t>Ibn Fadlan</w:t>
      </w:r>
      <w:r>
        <w:t xml:space="preserve">, </w:t>
      </w:r>
      <w:r>
        <w:rPr>
          <w:i/>
        </w:rPr>
        <w:t>Ibn Rusta</w:t>
      </w:r>
      <w:r>
        <w:t>) describe a Caucasus tribal kingdom that had adopted Judaism. While the scope of the conversion (royal court versus full population) remains scholarly debated, the basic episode is corroborated.</w:t>
      </w:r>
    </w:p>
    <w:p>
      <w:r>
        <w:rPr>
          <w:b/>
          <w:color w:val="1E3A8A"/>
        </w:rPr>
        <w:t xml:space="preserve">10. </w:t>
      </w:r>
      <w:r>
        <w:rPr>
          <w:b/>
          <w:i/>
          <w:color w:val="1E3A8A"/>
        </w:rPr>
        <w:t>Mishnah Avos</w:t>
      </w:r>
      <w:r>
        <w:rPr>
          <w:b/>
          <w:color w:val="1E3A8A"/>
        </w:rPr>
        <w:t xml:space="preserve"> 3:14 (</w:t>
      </w:r>
      <w:r>
        <w:rPr>
          <w:b/>
          <w:i/>
          <w:color w:val="1E3A8A"/>
        </w:rPr>
        <w:t>Rabbi Akiva</w:t>
      </w:r>
      <w:r>
        <w:rPr>
          <w:b/>
          <w:color w:val="1E3A8A"/>
        </w:rPr>
        <w:t xml:space="preserve">) — </w:t>
      </w:r>
      <w:r>
        <w:rPr>
          <w:b/>
          <w:i/>
          <w:color w:val="1E3A8A"/>
        </w:rPr>
        <w:t>Chavivin Yisrael she’nikre’u banim laMakom</w:t>
      </w:r>
      <w:r>
        <w:rPr>
          <w:b/>
          <w:color w:val="1E3A8A"/>
        </w:rPr>
        <w:t>.</w:t>
      </w:r>
      <w:r>
        <w:t xml:space="preserve"> </w:t>
      </w:r>
      <w:r>
        <w:t xml:space="preserve">— The </w:t>
      </w:r>
      <w:r>
        <w:rPr>
          <w:i/>
        </w:rPr>
        <w:t>Mishnah</w:t>
      </w:r>
      <w:r>
        <w:t xml:space="preserve"> of </w:t>
      </w:r>
      <w:r>
        <w:rPr>
          <w:i/>
        </w:rPr>
        <w:t>Rabbi Akiva</w:t>
      </w:r>
      <w:r>
        <w:t xml:space="preserve"> in the third </w:t>
      </w:r>
      <w:r>
        <w:rPr>
          <w:i/>
        </w:rPr>
        <w:t>perek</w:t>
      </w:r>
      <w:r>
        <w:t xml:space="preserve"> of </w:t>
      </w:r>
      <w:r>
        <w:rPr>
          <w:i/>
        </w:rPr>
        <w:t>Pirkei Avos</w:t>
      </w:r>
      <w:r>
        <w:t xml:space="preserve"> establishes the structural </w:t>
      </w:r>
      <w:r>
        <w:rPr>
          <w:i/>
        </w:rPr>
        <w:t>chibah</w:t>
      </w:r>
      <w:r>
        <w:t xml:space="preserve"> hierarchy: every human being is beloved as </w:t>
      </w:r>
      <w:r>
        <w:rPr>
          <w:i/>
        </w:rPr>
        <w:t>tzelem Elokim</w:t>
      </w:r>
      <w:r>
        <w:t xml:space="preserve">; </w:t>
      </w:r>
      <w:r>
        <w:rPr>
          <w:i/>
        </w:rPr>
        <w:t>Klal Yisrael</w:t>
      </w:r>
      <w:r>
        <w:t xml:space="preserve"> is uniquely beloved as </w:t>
      </w:r>
      <w:r>
        <w:rPr>
          <w:i/>
        </w:rPr>
        <w:t>banim laMakom</w:t>
      </w:r>
      <w:r>
        <w:t xml:space="preserve">. The </w:t>
      </w:r>
      <w:r>
        <w:rPr>
          <w:i/>
        </w:rPr>
        <w:t>Mishnah</w:t>
      </w:r>
      <w:r>
        <w:t xml:space="preserve"> grounds the </w:t>
      </w:r>
      <w:r>
        <w:rPr>
          <w:i/>
        </w:rPr>
        <w:t>Acharonim’s</w:t>
      </w:r>
      <w:r>
        <w:t xml:space="preserve"> reading that </w:t>
      </w:r>
      <w:r>
        <w:rPr>
          <w:i/>
        </w:rPr>
        <w:t>Atah Kadosh</w:t>
      </w:r>
      <w:r>
        <w:t xml:space="preserve"> is not merely a declaration about </w:t>
      </w:r>
      <w:r>
        <w:rPr>
          <w:i/>
        </w:rPr>
        <w:t>Hashem’s</w:t>
      </w:r>
      <w:r>
        <w:t xml:space="preserve"> separation but also an assertion of </w:t>
      </w:r>
      <w:r>
        <w:rPr>
          <w:i/>
        </w:rPr>
        <w:t>Klal Yisrael’s</w:t>
      </w:r>
      <w:r>
        <w:t xml:space="preserve"> capacity to be </w:t>
      </w:r>
      <w:r>
        <w:rPr>
          <w:i/>
        </w:rPr>
        <w:t>u’kedoshim b’chol yom yehalleluchah selah</w:t>
      </w:r>
      <w:r>
        <w:t xml:space="preserve"> — the same </w:t>
      </w:r>
      <w:r>
        <w:rPr>
          <w:i/>
        </w:rPr>
        <w:t>koach kedushah</w:t>
      </w:r>
      <w:r>
        <w:t xml:space="preserve"> implanted in us by virtue of our being His </w:t>
      </w:r>
      <w:r>
        <w:rPr>
          <w:i/>
        </w:rPr>
        <w:t>banim</w:t>
      </w:r>
      <w:r>
        <w:t>.</w:t>
      </w:r>
    </w:p>
    <w:p>
      <w:r>
        <w:rPr>
          <w:b/>
          <w:color w:val="1E3A8A"/>
        </w:rPr>
        <w:t xml:space="preserve">11. </w:t>
      </w:r>
      <w:r>
        <w:rPr>
          <w:b/>
          <w:color w:val="1E3A8A"/>
        </w:rPr>
        <w:t xml:space="preserve">The </w:t>
      </w:r>
      <w:r>
        <w:rPr>
          <w:b/>
          <w:i/>
          <w:color w:val="1E3A8A"/>
        </w:rPr>
        <w:t>Rizhiner Rebbe</w:t>
      </w:r>
      <w:r>
        <w:rPr>
          <w:b/>
          <w:color w:val="1E3A8A"/>
        </w:rPr>
        <w:t xml:space="preserve"> (</w:t>
      </w:r>
      <w:r>
        <w:rPr>
          <w:b/>
          <w:i/>
          <w:color w:val="1E3A8A"/>
        </w:rPr>
        <w:t>Rabbi Yisrael of Rizhin</w:t>
      </w:r>
      <w:r>
        <w:rPr>
          <w:b/>
          <w:color w:val="1E3A8A"/>
        </w:rPr>
        <w:t xml:space="preserve">, 1796–1850) on </w:t>
      </w:r>
      <w:r>
        <w:rPr>
          <w:b/>
          <w:i/>
          <w:color w:val="1E3A8A"/>
        </w:rPr>
        <w:t>Talmud Lomar</w:t>
      </w:r>
      <w:r>
        <w:rPr>
          <w:b/>
          <w:color w:val="1E3A8A"/>
        </w:rPr>
        <w:t xml:space="preserve"> in </w:t>
      </w:r>
      <w:r>
        <w:rPr>
          <w:b/>
          <w:i/>
          <w:color w:val="1E3A8A"/>
        </w:rPr>
        <w:t>Rashi</w:t>
      </w:r>
      <w:r>
        <w:rPr>
          <w:b/>
          <w:color w:val="1E3A8A"/>
        </w:rPr>
        <w:t xml:space="preserve"> to </w:t>
      </w:r>
      <w:r>
        <w:rPr>
          <w:b/>
          <w:i/>
          <w:color w:val="1E3A8A"/>
        </w:rPr>
        <w:t>Kedoshim Tihyu</w:t>
      </w:r>
      <w:r>
        <w:rPr>
          <w:b/>
          <w:color w:val="1E3A8A"/>
        </w:rPr>
        <w:t>.</w:t>
      </w:r>
      <w:r>
        <w:t xml:space="preserve"> </w:t>
      </w:r>
      <w:r>
        <w:t xml:space="preserve">— </w:t>
      </w:r>
      <w:r>
        <w:rPr>
          <w:i/>
        </w:rPr>
        <w:t>Rabbi Yisrael of Rizhin</w:t>
      </w:r>
      <w:r>
        <w:t xml:space="preserve"> (Ukraine; great-grandson of the </w:t>
      </w:r>
      <w:r>
        <w:rPr>
          <w:i/>
        </w:rPr>
        <w:t>Maggid of Mezritch</w:t>
      </w:r>
      <w:r>
        <w:t xml:space="preserve">; founder of the Rizhin-Sadigura dynasty). The standard reading of </w:t>
      </w:r>
      <w:r>
        <w:rPr>
          <w:i/>
        </w:rPr>
        <w:t>Rashi</w:t>
      </w:r>
      <w:r>
        <w:t xml:space="preserve"> takes </w:t>
      </w:r>
      <w:r>
        <w:rPr>
          <w:i/>
        </w:rPr>
        <w:t>Talmud Lomar “Ki Kadosh Ani”</w:t>
      </w:r>
      <w:r>
        <w:t xml:space="preserve"> as the </w:t>
      </w:r>
      <w:r>
        <w:rPr>
          <w:i/>
        </w:rPr>
        <w:t>derashah’s</w:t>
      </w:r>
      <w:r>
        <w:t xml:space="preserve"> corrective to the suggested equivalence: </w:t>
      </w:r>
      <w:r>
        <w:rPr>
          <w:i/>
        </w:rPr>
        <w:t>kedushasi lema’alah mi’kedushaschem</w:t>
      </w:r>
      <w:r>
        <w:t xml:space="preserve">. The </w:t>
      </w:r>
      <w:r>
        <w:rPr>
          <w:i/>
        </w:rPr>
        <w:t>Rizhiner</w:t>
      </w:r>
      <w:r>
        <w:t xml:space="preserve"> reads </w:t>
      </w:r>
      <w:r>
        <w:rPr>
          <w:i/>
        </w:rPr>
        <w:t>Talmud Lomar</w:t>
      </w:r>
      <w:r>
        <w:t xml:space="preserve"> imperatively — </w:t>
      </w:r>
      <w:r>
        <w:rPr>
          <w:i/>
        </w:rPr>
        <w:t>teach yourself to say</w:t>
      </w:r>
      <w:r>
        <w:t xml:space="preserve"> — practice declaring </w:t>
      </w:r>
      <w:r>
        <w:rPr>
          <w:i/>
        </w:rPr>
        <w:t>ani kadosh</w:t>
      </w:r>
      <w:r>
        <w:t xml:space="preserve">; the sustained self-affirmation crystallizes into </w:t>
      </w:r>
      <w:r>
        <w:rPr>
          <w:i/>
        </w:rPr>
        <w:t>avodah</w:t>
      </w:r>
      <w:r>
        <w:t xml:space="preserve">. Preserved in the oral </w:t>
      </w:r>
      <w:r>
        <w:rPr>
          <w:i/>
        </w:rPr>
        <w:t>mesorah</w:t>
      </w:r>
      <w:r>
        <w:t xml:space="preserve"> of his descendants and in collected </w:t>
      </w:r>
      <w:r>
        <w:rPr>
          <w:i/>
        </w:rPr>
        <w:t>derashos</w:t>
      </w:r>
      <w:r>
        <w:t xml:space="preserve">; precise published source not given in the </w:t>
      </w:r>
      <w:r>
        <w:rPr>
          <w:i/>
        </w:rPr>
        <w:t>shiur</w:t>
      </w:r>
      <w:r>
        <w:t>.</w:t>
      </w:r>
    </w:p>
    <w:p>
      <w:r>
        <w:rPr>
          <w:b/>
          <w:color w:val="1E3A8A"/>
        </w:rPr>
        <w:t xml:space="preserve">12. </w:t>
      </w:r>
      <w:r>
        <w:rPr>
          <w:b/>
          <w:color w:val="1E3A8A"/>
        </w:rPr>
        <w:t xml:space="preserve">Anecdote of </w:t>
      </w:r>
      <w:r>
        <w:rPr>
          <w:b/>
          <w:i/>
          <w:color w:val="1E3A8A"/>
        </w:rPr>
        <w:t>Rav Yonah of Vizhnitz</w:t>
      </w:r>
      <w:r>
        <w:rPr>
          <w:b/>
          <w:color w:val="1E3A8A"/>
        </w:rPr>
        <w:t xml:space="preserve"> — the </w:t>
      </w:r>
      <w:r>
        <w:rPr>
          <w:b/>
          <w:i/>
          <w:color w:val="1E3A8A"/>
        </w:rPr>
        <w:t>baal habayis</w:t>
      </w:r>
      <w:r>
        <w:rPr>
          <w:b/>
          <w:color w:val="1E3A8A"/>
        </w:rPr>
        <w:t xml:space="preserve"> making a </w:t>
      </w:r>
      <w:r>
        <w:rPr>
          <w:b/>
          <w:i/>
          <w:color w:val="1E3A8A"/>
        </w:rPr>
        <w:t>shturem</w:t>
      </w:r>
      <w:r>
        <w:rPr>
          <w:b/>
          <w:color w:val="1E3A8A"/>
        </w:rPr>
        <w:t xml:space="preserve"> over an </w:t>
      </w:r>
      <w:r>
        <w:rPr>
          <w:b/>
          <w:i/>
          <w:color w:val="1E3A8A"/>
        </w:rPr>
        <w:t>aliyah</w:t>
      </w:r>
      <w:r>
        <w:rPr>
          <w:b/>
          <w:color w:val="1E3A8A"/>
        </w:rPr>
        <w:t>.</w:t>
      </w:r>
      <w:r>
        <w:t xml:space="preserve"> </w:t>
      </w:r>
      <w:r>
        <w:t xml:space="preserve">— Attributed to </w:t>
      </w:r>
      <w:r>
        <w:rPr>
          <w:i/>
        </w:rPr>
        <w:t>Rav Yonah</w:t>
      </w:r>
      <w:r>
        <w:t xml:space="preserve"> of the Vizhnitz dynasty (precise generation not specified in the </w:t>
      </w:r>
      <w:r>
        <w:rPr>
          <w:i/>
        </w:rPr>
        <w:t>shiur</w:t>
      </w:r>
      <w:r>
        <w:t xml:space="preserve">). Preserved in chassidishe oral transmission: a </w:t>
      </w:r>
      <w:r>
        <w:rPr>
          <w:i/>
        </w:rPr>
        <w:t>baal habayis</w:t>
      </w:r>
      <w:r>
        <w:t xml:space="preserve"> in Prague who had not received the desired </w:t>
      </w:r>
      <w:r>
        <w:rPr>
          <w:i/>
        </w:rPr>
        <w:t>aliyah</w:t>
      </w:r>
      <w:r>
        <w:t xml:space="preserve"> made a public </w:t>
      </w:r>
      <w:r>
        <w:rPr>
          <w:i/>
        </w:rPr>
        <w:t>shturem</w:t>
      </w:r>
      <w:r>
        <w:t xml:space="preserve"> in shul on </w:t>
      </w:r>
      <w:r>
        <w:rPr>
          <w:i/>
        </w:rPr>
        <w:t>Shabbos</w:t>
      </w:r>
      <w:r>
        <w:t xml:space="preserve">; the Rebbe approached him and pointed out that he had just recited </w:t>
      </w:r>
      <w:r>
        <w:rPr>
          <w:i/>
        </w:rPr>
        <w:t>V’nafshi k’afar la’kol tih’yeh</w:t>
      </w:r>
      <w:r>
        <w:t xml:space="preserve"> (in </w:t>
      </w:r>
      <w:r>
        <w:rPr>
          <w:i/>
        </w:rPr>
        <w:t>Elokai Netzor</w:t>
      </w:r>
      <w:r>
        <w:t xml:space="preserve"> at the close of </w:t>
      </w:r>
      <w:r>
        <w:rPr>
          <w:i/>
        </w:rPr>
        <w:t>Shemoneh Esrei</w:t>
      </w:r>
      <w:r>
        <w:t xml:space="preserve">) — a prayer for radical self-effacement — entirely incompatible with making a </w:t>
      </w:r>
      <w:r>
        <w:rPr>
          <w:i/>
        </w:rPr>
        <w:t>shturem</w:t>
      </w:r>
      <w:r>
        <w:t xml:space="preserve"> over an </w:t>
      </w:r>
      <w:r>
        <w:rPr>
          <w:i/>
        </w:rPr>
        <w:t>aliyah</w:t>
      </w:r>
      <w:r>
        <w:t xml:space="preserve">. The story illustrates the central </w:t>
      </w:r>
      <w:r>
        <w:rPr>
          <w:i/>
        </w:rPr>
        <w:t>avodah</w:t>
      </w:r>
      <w:r>
        <w:t xml:space="preserve"> of </w:t>
      </w:r>
      <w:r>
        <w:rPr>
          <w:i/>
        </w:rPr>
        <w:t>Atah Kadosh</w:t>
      </w:r>
      <w:r>
        <w:t xml:space="preserve"> the Rebbe develops: closing the gap between the words on the lips and the actual </w:t>
      </w:r>
      <w:r>
        <w:rPr>
          <w:i/>
        </w:rPr>
        <w:t>matzav</w:t>
      </w:r>
      <w:r>
        <w:t xml:space="preserve"> of the </w:t>
      </w:r>
      <w:r>
        <w:rPr>
          <w:i/>
        </w:rPr>
        <w:t>neshamah</w:t>
      </w:r>
      <w:r>
        <w:t>.</w:t>
      </w:r>
    </w:p>
    <w:p>
      <w:r>
        <w:rPr>
          <w:b/>
          <w:color w:val="1E3A8A"/>
        </w:rPr>
        <w:t xml:space="preserve">13. </w:t>
      </w:r>
      <w:r>
        <w:rPr>
          <w:b/>
          <w:i/>
          <w:color w:val="1E3A8A"/>
        </w:rPr>
        <w:t>Rema, Shulchan Aruch Orach Chaim</w:t>
      </w:r>
      <w:r>
        <w:rPr>
          <w:b/>
          <w:color w:val="1E3A8A"/>
        </w:rPr>
        <w:t xml:space="preserve"> 109:1 — waiting for the </w:t>
      </w:r>
      <w:r>
        <w:rPr>
          <w:b/>
          <w:i/>
          <w:color w:val="1E3A8A"/>
        </w:rPr>
        <w:t>Amen</w:t>
      </w:r>
      <w:r>
        <w:rPr>
          <w:b/>
          <w:color w:val="1E3A8A"/>
        </w:rPr>
        <w:t xml:space="preserve"> after </w:t>
      </w:r>
      <w:r>
        <w:rPr>
          <w:b/>
          <w:i/>
          <w:color w:val="1E3A8A"/>
        </w:rPr>
        <w:t>HaKel HaKadosh</w:t>
      </w:r>
      <w:r>
        <w:rPr>
          <w:b/>
          <w:color w:val="1E3A8A"/>
        </w:rPr>
        <w:t>.</w:t>
      </w:r>
      <w:r>
        <w:t xml:space="preserve"> </w:t>
      </w:r>
      <w:r>
        <w:t xml:space="preserve">— The </w:t>
      </w:r>
      <w:r>
        <w:rPr>
          <w:i/>
        </w:rPr>
        <w:t>Rema</w:t>
      </w:r>
      <w:r>
        <w:t xml:space="preserve"> in his glosses on the </w:t>
      </w:r>
      <w:r>
        <w:rPr>
          <w:i/>
        </w:rPr>
        <w:t>Shulchan Aruch</w:t>
      </w:r>
      <w:r>
        <w:t xml:space="preserve"> rules that a </w:t>
      </w:r>
      <w:r>
        <w:rPr>
          <w:i/>
        </w:rPr>
        <w:t>yachid</w:t>
      </w:r>
      <w:r>
        <w:t xml:space="preserve"> arriving while </w:t>
      </w:r>
      <w:r>
        <w:rPr>
          <w:i/>
        </w:rPr>
        <w:t>chazaras ha’shatz</w:t>
      </w:r>
      <w:r>
        <w:t xml:space="preserve"> is in progress should delay starting his own </w:t>
      </w:r>
      <w:r>
        <w:rPr>
          <w:i/>
        </w:rPr>
        <w:t>Shemoneh Esrei</w:t>
      </w:r>
      <w:r>
        <w:t xml:space="preserve"> through both the </w:t>
      </w:r>
      <w:r>
        <w:rPr>
          <w:i/>
        </w:rPr>
        <w:t>Kedushah</w:t>
      </w:r>
      <w:r>
        <w:t xml:space="preserve"> and the close of </w:t>
      </w:r>
      <w:r>
        <w:rPr>
          <w:i/>
        </w:rPr>
        <w:t>HaKel HaKadosh</w:t>
      </w:r>
      <w:r>
        <w:t xml:space="preserve"> — answering </w:t>
      </w:r>
      <w:r>
        <w:rPr>
          <w:i/>
        </w:rPr>
        <w:t>Amen</w:t>
      </w:r>
      <w:r>
        <w:t xml:space="preserve"> to that </w:t>
      </w:r>
      <w:r>
        <w:rPr>
          <w:i/>
        </w:rPr>
        <w:t>berachah</w:t>
      </w:r>
      <w:r>
        <w:t xml:space="preserve"> specifically — before beginning. The </w:t>
      </w:r>
      <w:r>
        <w:rPr>
          <w:i/>
        </w:rPr>
        <w:t>Beis Yosef</w:t>
      </w:r>
      <w:r>
        <w:t xml:space="preserve"> records hesitation about extending the wait this far; the </w:t>
      </w:r>
      <w:r>
        <w:rPr>
          <w:i/>
        </w:rPr>
        <w:t>Rema</w:t>
      </w:r>
      <w:r>
        <w:t xml:space="preserve"> insists on the principle that the third </w:t>
      </w:r>
      <w:r>
        <w:rPr>
          <w:i/>
        </w:rPr>
        <w:t>berachah</w:t>
      </w:r>
      <w:r>
        <w:t xml:space="preserve"> closes the unit of </w:t>
      </w:r>
      <w:r>
        <w:rPr>
          <w:i/>
        </w:rPr>
        <w:t>shevach</w:t>
      </w:r>
      <w:r>
        <w:t xml:space="preserve"> and the </w:t>
      </w:r>
      <w:r>
        <w:rPr>
          <w:i/>
        </w:rPr>
        <w:t>Amen</w:t>
      </w:r>
      <w:r>
        <w:t xml:space="preserve"> on its </w:t>
      </w:r>
      <w:r>
        <w:rPr>
          <w:i/>
        </w:rPr>
        <w:t>chasimah</w:t>
      </w:r>
      <w:r>
        <w:t xml:space="preserve"> is structurally weighty. The </w:t>
      </w:r>
      <w:r>
        <w:rPr>
          <w:i/>
        </w:rPr>
        <w:t>Mishnah Berurah</w:t>
      </w:r>
      <w:r>
        <w:t xml:space="preserve"> there elaborates the practical applications, including the parallel </w:t>
      </w:r>
      <w:r>
        <w:rPr>
          <w:i/>
        </w:rPr>
        <w:t>pesak</w:t>
      </w:r>
      <w:r>
        <w:t xml:space="preserve"> that this </w:t>
      </w:r>
      <w:r>
        <w:rPr>
          <w:i/>
        </w:rPr>
        <w:t>Amen</w:t>
      </w:r>
      <w:r>
        <w:t xml:space="preserve"> may be answered mid-</w:t>
      </w:r>
      <w:r>
        <w:rPr>
          <w:i/>
        </w:rPr>
        <w:t>Krias Shema</w:t>
      </w:r>
      <w:r>
        <w:t>.</w:t>
      </w:r>
    </w:p>
    <w:p>
      <w:r>
        <w:rPr>
          <w:b/>
          <w:color w:val="1E3A8A"/>
        </w:rPr>
        <w:t xml:space="preserve">14. </w:t>
      </w:r>
      <w:r>
        <w:rPr>
          <w:b/>
          <w:i/>
          <w:color w:val="1E3A8A"/>
        </w:rPr>
        <w:t>Rambam, Sefer Ahavah</w:t>
      </w:r>
      <w:r>
        <w:rPr>
          <w:b/>
          <w:color w:val="1E3A8A"/>
        </w:rPr>
        <w:t xml:space="preserve">, </w:t>
      </w:r>
      <w:r>
        <w:rPr>
          <w:b/>
          <w:i/>
          <w:color w:val="1E3A8A"/>
        </w:rPr>
        <w:t>Seder Tefillah</w:t>
      </w:r>
      <w:r>
        <w:rPr>
          <w:b/>
          <w:color w:val="1E3A8A"/>
        </w:rPr>
        <w:t xml:space="preserve"> — the original </w:t>
      </w:r>
      <w:r>
        <w:rPr>
          <w:b/>
          <w:i/>
          <w:color w:val="1E3A8A"/>
        </w:rPr>
        <w:t>nusach</w:t>
      </w:r>
      <w:r>
        <w:rPr>
          <w:b/>
          <w:color w:val="1E3A8A"/>
        </w:rPr>
        <w:t xml:space="preserve"> of the third </w:t>
      </w:r>
      <w:r>
        <w:rPr>
          <w:b/>
          <w:i/>
          <w:color w:val="1E3A8A"/>
        </w:rPr>
        <w:t>berachah</w:t>
      </w:r>
      <w:r>
        <w:rPr>
          <w:b/>
          <w:color w:val="1E3A8A"/>
        </w:rPr>
        <w:t xml:space="preserve"> with </w:t>
      </w:r>
      <w:r>
        <w:rPr>
          <w:b/>
          <w:i/>
          <w:color w:val="1E3A8A"/>
        </w:rPr>
        <w:t>L’dor VaDor</w:t>
      </w:r>
      <w:r>
        <w:rPr>
          <w:b/>
          <w:color w:val="1E3A8A"/>
        </w:rPr>
        <w:t>.</w:t>
      </w:r>
      <w:r>
        <w:t xml:space="preserve"> </w:t>
      </w:r>
      <w:r>
        <w:t xml:space="preserve">— The </w:t>
      </w:r>
      <w:r>
        <w:rPr>
          <w:i/>
        </w:rPr>
        <w:t>Rambam</w:t>
      </w:r>
      <w:r>
        <w:t xml:space="preserve"> in </w:t>
      </w:r>
      <w:r>
        <w:rPr>
          <w:i/>
        </w:rPr>
        <w:t>Mishneh Torah</w:t>
      </w:r>
      <w:r>
        <w:t xml:space="preserve">, at the close of </w:t>
      </w:r>
      <w:r>
        <w:rPr>
          <w:i/>
        </w:rPr>
        <w:t>Sefer Ahavah</w:t>
      </w:r>
      <w:r>
        <w:t xml:space="preserve">, prints his </w:t>
      </w:r>
      <w:r>
        <w:rPr>
          <w:i/>
        </w:rPr>
        <w:t>nusach ha’tefillah</w:t>
      </w:r>
      <w:r>
        <w:t xml:space="preserve"> in full. The third </w:t>
      </w:r>
      <w:r>
        <w:rPr>
          <w:i/>
        </w:rPr>
        <w:t>berachah</w:t>
      </w:r>
      <w:r>
        <w:t xml:space="preserve"> in his </w:t>
      </w:r>
      <w:r>
        <w:rPr>
          <w:i/>
        </w:rPr>
        <w:t>nusach</w:t>
      </w:r>
      <w:r>
        <w:t xml:space="preserve"> reads </w:t>
      </w:r>
      <w:r>
        <w:rPr>
          <w:i/>
        </w:rPr>
        <w:t>L’dor VaDor Nagid Godlecha</w:t>
      </w:r>
      <w:r>
        <w:t xml:space="preserve"> — what is today identified as </w:t>
      </w:r>
      <w:r>
        <w:rPr>
          <w:i/>
        </w:rPr>
        <w:t>Nusach Ashkenaz</w:t>
      </w:r>
      <w:r>
        <w:t xml:space="preserve">. The fact that the Sephardic </w:t>
      </w:r>
      <w:r>
        <w:rPr>
          <w:i/>
        </w:rPr>
        <w:t>Rambam</w:t>
      </w:r>
      <w:r>
        <w:t xml:space="preserve"> preserved this formulation is the strongest evidence for the claim that </w:t>
      </w:r>
      <w:r>
        <w:rPr>
          <w:i/>
        </w:rPr>
        <w:t>L’dor VaDor</w:t>
      </w:r>
      <w:r>
        <w:t xml:space="preserve"> is the original </w:t>
      </w:r>
      <w:r>
        <w:rPr>
          <w:i/>
        </w:rPr>
        <w:t>nusach ha’masorah</w:t>
      </w:r>
      <w:r>
        <w:t xml:space="preserve"> of the silent </w:t>
      </w:r>
      <w:r>
        <w:rPr>
          <w:i/>
        </w:rPr>
        <w:t>Amidah</w:t>
      </w:r>
      <w:r>
        <w:t xml:space="preserve">; the </w:t>
      </w:r>
      <w:r>
        <w:rPr>
          <w:i/>
        </w:rPr>
        <w:t>Atah Kadosh V’Shimcha Kadosh</w:t>
      </w:r>
      <w:r>
        <w:t xml:space="preserve"> formulation now standard in </w:t>
      </w:r>
      <w:r>
        <w:rPr>
          <w:i/>
        </w:rPr>
        <w:t>Nusach Sefard</w:t>
      </w:r>
      <w:r>
        <w:t xml:space="preserve"> represents a later structural </w:t>
      </w:r>
      <w:r>
        <w:rPr>
          <w:i/>
        </w:rPr>
        <w:t>takanah</w:t>
      </w:r>
      <w:r>
        <w:t xml:space="preserve"> to supply three </w:t>
      </w:r>
      <w:r>
        <w:rPr>
          <w:i/>
        </w:rPr>
        <w:t>Kadosh</w:t>
      </w:r>
      <w:r>
        <w:t xml:space="preserve"> mentions where the </w:t>
      </w:r>
      <w:r>
        <w:rPr>
          <w:i/>
        </w:rPr>
        <w:t>yachid</w:t>
      </w:r>
      <w:r>
        <w:t xml:space="preserve"> has no </w:t>
      </w:r>
      <w:r>
        <w:rPr>
          <w:i/>
        </w:rPr>
        <w:t>Kedushah</w:t>
      </w:r>
      <w:r>
        <w:t>.</w:t>
      </w:r>
    </w:p>
    <w:p>
      <w:r>
        <w:rPr>
          <w:b/>
          <w:color w:val="1E3A8A"/>
        </w:rPr>
        <w:t xml:space="preserve">15. </w:t>
      </w:r>
      <w:r>
        <w:rPr>
          <w:b/>
          <w:i/>
          <w:color w:val="1E3A8A"/>
        </w:rPr>
        <w:t>Orchos Chaim</w:t>
      </w:r>
      <w:r>
        <w:rPr>
          <w:b/>
          <w:color w:val="1E3A8A"/>
        </w:rPr>
        <w:t xml:space="preserve"> (</w:t>
      </w:r>
      <w:r>
        <w:rPr>
          <w:b/>
          <w:i/>
          <w:color w:val="1E3A8A"/>
        </w:rPr>
        <w:t>Rabbi Aharon HaKohen of Lunel</w:t>
      </w:r>
      <w:r>
        <w:rPr>
          <w:b/>
          <w:color w:val="1E3A8A"/>
        </w:rPr>
        <w:t xml:space="preserve">) and </w:t>
      </w:r>
      <w:r>
        <w:rPr>
          <w:b/>
          <w:i/>
          <w:color w:val="1E3A8A"/>
        </w:rPr>
        <w:t>Kol Bo</w:t>
      </w:r>
      <w:r>
        <w:rPr>
          <w:b/>
          <w:color w:val="1E3A8A"/>
        </w:rPr>
        <w:t xml:space="preserve"> — confirm </w:t>
      </w:r>
      <w:r>
        <w:rPr>
          <w:b/>
          <w:i/>
          <w:color w:val="1E3A8A"/>
        </w:rPr>
        <w:t>L’dor VaDor</w:t>
      </w:r>
      <w:r>
        <w:rPr>
          <w:b/>
          <w:color w:val="1E3A8A"/>
        </w:rPr>
        <w:t xml:space="preserve"> as the original </w:t>
      </w:r>
      <w:r>
        <w:rPr>
          <w:b/>
          <w:i/>
          <w:color w:val="1E3A8A"/>
        </w:rPr>
        <w:t>nusach</w:t>
      </w:r>
      <w:r>
        <w:rPr>
          <w:b/>
          <w:color w:val="1E3A8A"/>
        </w:rPr>
        <w:t>.</w:t>
      </w:r>
      <w:r>
        <w:t xml:space="preserve"> </w:t>
      </w:r>
      <w:r>
        <w:t xml:space="preserve">— </w:t>
      </w:r>
      <w:r>
        <w:rPr>
          <w:i/>
        </w:rPr>
        <w:t>Rabbi Aharon HaKohen of Lunel</w:t>
      </w:r>
      <w:r>
        <w:t xml:space="preserve"> (late thirteenth–early fourteenth century, Provence and Mallorca), in his halachic compendium </w:t>
      </w:r>
      <w:r>
        <w:rPr>
          <w:i/>
        </w:rPr>
        <w:t>Orchos Chaim</w:t>
      </w:r>
      <w:r>
        <w:t xml:space="preserve">, and the closely-related anonymous </w:t>
      </w:r>
      <w:r>
        <w:rPr>
          <w:i/>
        </w:rPr>
        <w:t>Kol Bo</w:t>
      </w:r>
      <w:r>
        <w:t xml:space="preserve"> (likely an abridgment of the same work or by a closely related author), preserve the early Provencal-Sephardic </w:t>
      </w:r>
      <w:r>
        <w:rPr>
          <w:i/>
        </w:rPr>
        <w:t>nusach</w:t>
      </w:r>
      <w:r>
        <w:t xml:space="preserve"> and confirm </w:t>
      </w:r>
      <w:r>
        <w:rPr>
          <w:i/>
        </w:rPr>
        <w:t>L’dor VaDor</w:t>
      </w:r>
      <w:r>
        <w:t xml:space="preserve"> as the original silent-</w:t>
      </w:r>
      <w:r>
        <w:rPr>
          <w:i/>
        </w:rPr>
        <w:t>Shemoneh Esrei</w:t>
      </w:r>
      <w:r>
        <w:t xml:space="preserve"> formulation. </w:t>
      </w:r>
      <w:r>
        <w:rPr>
          <w:i/>
        </w:rPr>
        <w:t>Beis Yosef</w:t>
      </w:r>
      <w:r>
        <w:t xml:space="preserve"> on </w:t>
      </w:r>
      <w:r>
        <w:rPr>
          <w:i/>
        </w:rPr>
        <w:t>Siman</w:t>
      </w:r>
      <w:r>
        <w:t xml:space="preserve"> 112 (and parallel discussions) cites both works heavily; their joint testimony alongside the </w:t>
      </w:r>
      <w:r>
        <w:rPr>
          <w:i/>
        </w:rPr>
        <w:t>Rambam</w:t>
      </w:r>
      <w:r>
        <w:t xml:space="preserve"> establishes the historical priority of the </w:t>
      </w:r>
      <w:r>
        <w:rPr>
          <w:i/>
        </w:rPr>
        <w:t>L’dor VaDor</w:t>
      </w:r>
      <w:r>
        <w:t xml:space="preserve"> </w:t>
      </w:r>
      <w:r>
        <w:rPr>
          <w:i/>
        </w:rPr>
        <w:t>nusach</w:t>
      </w:r>
      <w:r>
        <w:t>.</w:t>
      </w:r>
    </w:p>
    <w:p>
      <w:r>
        <w:rPr>
          <w:b/>
          <w:color w:val="1E3A8A"/>
        </w:rPr>
        <w:t xml:space="preserve">16. </w:t>
      </w:r>
      <w:r>
        <w:rPr>
          <w:b/>
          <w:i/>
          <w:color w:val="1E3A8A"/>
        </w:rPr>
        <w:t>Gemara Berachos</w:t>
      </w:r>
      <w:r>
        <w:rPr>
          <w:b/>
          <w:color w:val="1E3A8A"/>
        </w:rPr>
        <w:t xml:space="preserve"> 12b — </w:t>
      </w:r>
      <w:r>
        <w:rPr>
          <w:b/>
          <w:i/>
          <w:color w:val="1E3A8A"/>
        </w:rPr>
        <w:t>HaMelech HaKadosh</w:t>
      </w:r>
      <w:r>
        <w:rPr>
          <w:b/>
          <w:color w:val="1E3A8A"/>
        </w:rPr>
        <w:t xml:space="preserve"> as </w:t>
      </w:r>
      <w:r>
        <w:rPr>
          <w:b/>
          <w:i/>
          <w:color w:val="1E3A8A"/>
        </w:rPr>
        <w:t>me’akev</w:t>
      </w:r>
      <w:r>
        <w:rPr>
          <w:b/>
          <w:color w:val="1E3A8A"/>
        </w:rPr>
        <w:t xml:space="preserve"> on </w:t>
      </w:r>
      <w:r>
        <w:rPr>
          <w:b/>
          <w:i/>
          <w:color w:val="1E3A8A"/>
        </w:rPr>
        <w:t>Aseres Yemei Teshuvah</w:t>
      </w:r>
      <w:r>
        <w:rPr>
          <w:b/>
          <w:color w:val="1E3A8A"/>
        </w:rPr>
        <w:t>.</w:t>
      </w:r>
      <w:r>
        <w:t xml:space="preserve"> </w:t>
      </w:r>
      <w:r>
        <w:t xml:space="preserve">— The </w:t>
      </w:r>
      <w:r>
        <w:rPr>
          <w:i/>
        </w:rPr>
        <w:t>sugya</w:t>
      </w:r>
      <w:r>
        <w:t xml:space="preserve"> in </w:t>
      </w:r>
      <w:r>
        <w:rPr>
          <w:i/>
        </w:rPr>
        <w:t>Berachos</w:t>
      </w:r>
      <w:r>
        <w:t xml:space="preserve"> establishes that the substitution of </w:t>
      </w:r>
      <w:r>
        <w:rPr>
          <w:i/>
        </w:rPr>
        <w:t>HaMelech HaKadosh</w:t>
      </w:r>
      <w:r>
        <w:t xml:space="preserve"> for </w:t>
      </w:r>
      <w:r>
        <w:rPr>
          <w:i/>
        </w:rPr>
        <w:t>HaKel HaKadosh</w:t>
      </w:r>
      <w:r>
        <w:t xml:space="preserve"> during </w:t>
      </w:r>
      <w:r>
        <w:rPr>
          <w:i/>
        </w:rPr>
        <w:t>Aseres Yemei Teshuvah</w:t>
      </w:r>
      <w:r>
        <w:t xml:space="preserve"> is not merely </w:t>
      </w:r>
      <w:r>
        <w:rPr>
          <w:i/>
        </w:rPr>
        <w:t>minhag</w:t>
      </w:r>
      <w:r>
        <w:t xml:space="preserve"> but </w:t>
      </w:r>
      <w:r>
        <w:rPr>
          <w:i/>
        </w:rPr>
        <w:t>me’akev</w:t>
      </w:r>
      <w:r>
        <w:t xml:space="preserve"> — one who said </w:t>
      </w:r>
      <w:r>
        <w:rPr>
          <w:i/>
        </w:rPr>
        <w:t>HaKel HaKadosh</w:t>
      </w:r>
      <w:r>
        <w:t xml:space="preserve"> in error must return to the beginning of </w:t>
      </w:r>
      <w:r>
        <w:rPr>
          <w:i/>
        </w:rPr>
        <w:t>Shemoneh Esrei</w:t>
      </w:r>
      <w:r>
        <w:t xml:space="preserve">. The same </w:t>
      </w:r>
      <w:r>
        <w:rPr>
          <w:i/>
        </w:rPr>
        <w:t>din</w:t>
      </w:r>
      <w:r>
        <w:t xml:space="preserve"> applies (at </w:t>
      </w:r>
      <w:r>
        <w:rPr>
          <w:i/>
        </w:rPr>
        <w:t>Minchah</w:t>
      </w:r>
      <w:r>
        <w:t xml:space="preserve">) to </w:t>
      </w:r>
      <w:r>
        <w:rPr>
          <w:i/>
        </w:rPr>
        <w:t>HaMelech HaMishpat</w:t>
      </w:r>
      <w:r>
        <w:t xml:space="preserve"> in the eleventh </w:t>
      </w:r>
      <w:r>
        <w:rPr>
          <w:i/>
        </w:rPr>
        <w:t>berachah</w:t>
      </w:r>
      <w:r>
        <w:t xml:space="preserve">. The severity stems from the </w:t>
      </w:r>
      <w:r>
        <w:rPr>
          <w:i/>
        </w:rPr>
        <w:t>Zohar’s</w:t>
      </w:r>
      <w:r>
        <w:t xml:space="preserve"> reading: </w:t>
      </w:r>
      <w:r>
        <w:rPr>
          <w:i/>
        </w:rPr>
        <w:t>HaMelech</w:t>
      </w:r>
      <w:r>
        <w:t xml:space="preserve"> is the proper formulation of </w:t>
      </w:r>
      <w:r>
        <w:rPr>
          <w:i/>
        </w:rPr>
        <w:t>kedushah</w:t>
      </w:r>
      <w:r>
        <w:t xml:space="preserve"> when the King sits in judgment, and the substitution structurally cannot be elided.</w:t>
      </w:r>
    </w:p>
    <w:p>
      <w:r>
        <w:rPr>
          <w:b/>
          <w:color w:val="1E3A8A"/>
        </w:rPr>
        <w:t xml:space="preserve">17. </w:t>
      </w:r>
      <w:r>
        <w:rPr>
          <w:b/>
          <w:i/>
          <w:color w:val="1E3A8A"/>
        </w:rPr>
        <w:t>Rav Avli (Aybele) Posweller</w:t>
      </w:r>
      <w:r>
        <w:rPr>
          <w:b/>
          <w:color w:val="1E3A8A"/>
        </w:rPr>
        <w:t xml:space="preserve"> (c. 1764–1836, Vilna) — </w:t>
      </w:r>
      <w:r>
        <w:rPr>
          <w:b/>
          <w:i/>
          <w:color w:val="1E3A8A"/>
        </w:rPr>
        <w:t>chiddush</w:t>
      </w:r>
      <w:r>
        <w:rPr>
          <w:b/>
          <w:color w:val="1E3A8A"/>
        </w:rPr>
        <w:t xml:space="preserve"> on </w:t>
      </w:r>
      <w:r>
        <w:rPr>
          <w:b/>
          <w:i/>
          <w:color w:val="1E3A8A"/>
        </w:rPr>
        <w:t>HaMelech HaKadosh</w:t>
      </w:r>
      <w:r>
        <w:rPr>
          <w:b/>
          <w:color w:val="1E3A8A"/>
        </w:rPr>
        <w:t xml:space="preserve"> at night, brought by the </w:t>
      </w:r>
      <w:r>
        <w:rPr>
          <w:b/>
          <w:i/>
          <w:color w:val="1E3A8A"/>
        </w:rPr>
        <w:t>Chayei Adam</w:t>
      </w:r>
      <w:r>
        <w:rPr>
          <w:b/>
          <w:color w:val="1E3A8A"/>
        </w:rPr>
        <w:t xml:space="preserve">; rejected by the </w:t>
      </w:r>
      <w:r>
        <w:rPr>
          <w:b/>
          <w:i/>
          <w:color w:val="1E3A8A"/>
        </w:rPr>
        <w:t>Mishnah Berurah</w:t>
      </w:r>
      <w:r>
        <w:rPr>
          <w:b/>
          <w:color w:val="1E3A8A"/>
        </w:rPr>
        <w:t>.</w:t>
      </w:r>
      <w:r>
        <w:t xml:space="preserve"> </w:t>
      </w:r>
      <w:r>
        <w:t xml:space="preserve">— Lithuanian </w:t>
      </w:r>
      <w:r>
        <w:rPr>
          <w:i/>
        </w:rPr>
        <w:t>posek</w:t>
      </w:r>
      <w:r>
        <w:t xml:space="preserve"> known principally for the </w:t>
      </w:r>
      <w:r>
        <w:rPr>
          <w:i/>
        </w:rPr>
        <w:t>chiddush</w:t>
      </w:r>
      <w:r>
        <w:t xml:space="preserve"> brought in his name by the </w:t>
      </w:r>
      <w:r>
        <w:rPr>
          <w:i/>
        </w:rPr>
        <w:t>Chayei Adam</w:t>
      </w:r>
      <w:r>
        <w:t xml:space="preserve"> (</w:t>
      </w:r>
      <w:r>
        <w:rPr>
          <w:i/>
        </w:rPr>
        <w:t>Rabbi Avraham Danzig</w:t>
      </w:r>
      <w:r>
        <w:t xml:space="preserve">, 1748–1820, Vilna; author of the </w:t>
      </w:r>
      <w:r>
        <w:rPr>
          <w:i/>
        </w:rPr>
        <w:t>Chayei Adam</w:t>
      </w:r>
      <w:r>
        <w:t xml:space="preserve"> compendium on </w:t>
      </w:r>
      <w:r>
        <w:rPr>
          <w:i/>
        </w:rPr>
        <w:t>Orach Chaim</w:t>
      </w:r>
      <w:r>
        <w:t xml:space="preserve">): the </w:t>
      </w:r>
      <w:r>
        <w:rPr>
          <w:i/>
        </w:rPr>
        <w:t>chakirah</w:t>
      </w:r>
      <w:r>
        <w:t xml:space="preserve"> whether forgetting </w:t>
      </w:r>
      <w:r>
        <w:rPr>
          <w:i/>
        </w:rPr>
        <w:t>HaMelech HaKadosh</w:t>
      </w:r>
      <w:r>
        <w:t xml:space="preserve"> on the night of </w:t>
      </w:r>
      <w:r>
        <w:rPr>
          <w:i/>
        </w:rPr>
        <w:t>Rosh HaShanah</w:t>
      </w:r>
      <w:r>
        <w:t xml:space="preserve"> is </w:t>
      </w:r>
      <w:r>
        <w:rPr>
          <w:i/>
        </w:rPr>
        <w:t>me’akev</w:t>
      </w:r>
      <w:r>
        <w:t xml:space="preserve"> like the day, given the parallel </w:t>
      </w:r>
      <w:r>
        <w:rPr>
          <w:i/>
        </w:rPr>
        <w:t>din</w:t>
      </w:r>
      <w:r>
        <w:t xml:space="preserve"> with </w:t>
      </w:r>
      <w:r>
        <w:rPr>
          <w:i/>
        </w:rPr>
        <w:t>Yaaleh V’Yavo</w:t>
      </w:r>
      <w:r>
        <w:t xml:space="preserve"> on </w:t>
      </w:r>
      <w:r>
        <w:rPr>
          <w:i/>
        </w:rPr>
        <w:t>leil Rosh Chodesh</w:t>
      </w:r>
      <w:r>
        <w:t xml:space="preserve"> (where forgetting is </w:t>
      </w:r>
      <w:r>
        <w:rPr>
          <w:i/>
        </w:rPr>
        <w:t>not</w:t>
      </w:r>
      <w:r>
        <w:t xml:space="preserve"> </w:t>
      </w:r>
      <w:r>
        <w:rPr>
          <w:i/>
        </w:rPr>
        <w:t>me’akev</w:t>
      </w:r>
      <w:r>
        <w:t xml:space="preserve"> because </w:t>
      </w:r>
      <w:r>
        <w:rPr>
          <w:i/>
        </w:rPr>
        <w:t>ein mekadshin es ha’chodesh ba’laylah</w:t>
      </w:r>
      <w:r>
        <w:t xml:space="preserve">). The </w:t>
      </w:r>
      <w:r>
        <w:rPr>
          <w:i/>
        </w:rPr>
        <w:t>Mishnah Berurah</w:t>
      </w:r>
      <w:r>
        <w:t xml:space="preserve"> and most </w:t>
      </w:r>
      <w:r>
        <w:rPr>
          <w:i/>
        </w:rPr>
        <w:t>Acharonim</w:t>
      </w:r>
      <w:r>
        <w:t xml:space="preserve"> reject the </w:t>
      </w:r>
      <w:r>
        <w:rPr>
          <w:i/>
        </w:rPr>
        <w:t>chiddush</w:t>
      </w:r>
      <w:r>
        <w:t xml:space="preserve">: on a regular weekday </w:t>
      </w:r>
      <w:r>
        <w:rPr>
          <w:i/>
        </w:rPr>
        <w:t>Maariv</w:t>
      </w:r>
      <w:r>
        <w:t xml:space="preserve"> after </w:t>
      </w:r>
      <w:r>
        <w:rPr>
          <w:i/>
        </w:rPr>
        <w:t>Rosh Chodesh</w:t>
      </w:r>
      <w:r>
        <w:t xml:space="preserve">, the rest of the </w:t>
      </w:r>
      <w:r>
        <w:rPr>
          <w:i/>
        </w:rPr>
        <w:t>tefillah</w:t>
      </w:r>
      <w:r>
        <w:t xml:space="preserve"> is a standard weekday davening, so a missing </w:t>
      </w:r>
      <w:r>
        <w:rPr>
          <w:i/>
        </w:rPr>
        <w:t>Yaaleh V’Yavo</w:t>
      </w:r>
      <w:r>
        <w:t xml:space="preserve"> creates no internal contradiction; on </w:t>
      </w:r>
      <w:r>
        <w:rPr>
          <w:i/>
        </w:rPr>
        <w:t>leil Rosh HaShanah</w:t>
      </w:r>
      <w:r>
        <w:t xml:space="preserve">, the entire </w:t>
      </w:r>
      <w:r>
        <w:rPr>
          <w:i/>
        </w:rPr>
        <w:t>nusach</w:t>
      </w:r>
      <w:r>
        <w:t xml:space="preserve"> is the full </w:t>
      </w:r>
      <w:r>
        <w:rPr>
          <w:i/>
        </w:rPr>
        <w:t>Yom Tov</w:t>
      </w:r>
      <w:r>
        <w:t xml:space="preserve"> davening, and a missing </w:t>
      </w:r>
      <w:r>
        <w:rPr>
          <w:i/>
        </w:rPr>
        <w:t>HaMelech HaKadosh</w:t>
      </w:r>
      <w:r>
        <w:t xml:space="preserve"> creates </w:t>
      </w:r>
      <w:r>
        <w:rPr>
          <w:i/>
        </w:rPr>
        <w:t>tarti d’sasri</w:t>
      </w:r>
      <w:r>
        <w:t xml:space="preserve">. The </w:t>
      </w:r>
      <w:r>
        <w:rPr>
          <w:i/>
        </w:rPr>
        <w:t>chiddush</w:t>
      </w:r>
      <w:r>
        <w:t xml:space="preserve"> circulates as a classic </w:t>
      </w:r>
      <w:r>
        <w:rPr>
          <w:i/>
        </w:rPr>
        <w:t>lomdishe devar Torah</w:t>
      </w:r>
      <w:r>
        <w:t xml:space="preserve"> before </w:t>
      </w:r>
      <w:r>
        <w:rPr>
          <w:i/>
        </w:rPr>
        <w:t>Rosh HaShanah</w:t>
      </w:r>
      <w:r>
        <w:t>.</w:t>
      </w:r>
    </w:p>
    <w:p>
      <w:r>
        <w:rPr>
          <w:b/>
          <w:color w:val="1E3A8A"/>
        </w:rPr>
        <w:t xml:space="preserve">18. </w:t>
      </w:r>
      <w:r>
        <w:rPr>
          <w:b/>
          <w:i/>
          <w:color w:val="1E3A8A"/>
        </w:rPr>
        <w:t>Gemara Nedarim</w:t>
      </w:r>
      <w:r>
        <w:rPr>
          <w:b/>
          <w:color w:val="1E3A8A"/>
        </w:rPr>
        <w:t xml:space="preserve"> 41a — </w:t>
      </w:r>
      <w:r>
        <w:rPr>
          <w:b/>
          <w:i/>
          <w:color w:val="1E3A8A"/>
        </w:rPr>
        <w:t>i da’as kanisa, mah chasarta? i da’as chasarta, mah kanisa?</w:t>
      </w:r>
      <w:r>
        <w:rPr>
          <w:b/>
          <w:color w:val="1E3A8A"/>
        </w:rPr>
        <w:t xml:space="preserve">; </w:t>
      </w:r>
      <w:r>
        <w:rPr>
          <w:b/>
          <w:i/>
          <w:color w:val="1E3A8A"/>
        </w:rPr>
        <w:t>ein ani ela b’da’as</w:t>
      </w:r>
      <w:r>
        <w:rPr>
          <w:b/>
          <w:color w:val="1E3A8A"/>
        </w:rPr>
        <w:t>.</w:t>
      </w:r>
      <w:r>
        <w:t xml:space="preserve"> </w:t>
      </w:r>
      <w:r>
        <w:t xml:space="preserve">— The </w:t>
      </w:r>
      <w:r>
        <w:rPr>
          <w:i/>
        </w:rPr>
        <w:t>sugya</w:t>
      </w:r>
      <w:r>
        <w:t xml:space="preserve"> in </w:t>
      </w:r>
      <w:r>
        <w:rPr>
          <w:i/>
        </w:rPr>
        <w:t>Nedarim</w:t>
      </w:r>
      <w:r>
        <w:t xml:space="preserve"> on the comprehensive value of </w:t>
      </w:r>
      <w:r>
        <w:rPr>
          <w:i/>
        </w:rPr>
        <w:t>da’as</w:t>
      </w:r>
      <w:r>
        <w:t xml:space="preserve">: if a person possesses </w:t>
      </w:r>
      <w:r>
        <w:rPr>
          <w:i/>
        </w:rPr>
        <w:t>da’as</w:t>
      </w:r>
      <w:r>
        <w:t xml:space="preserve">, what could he be lacking? If he lacks </w:t>
      </w:r>
      <w:r>
        <w:rPr>
          <w:i/>
        </w:rPr>
        <w:t>da’as</w:t>
      </w:r>
      <w:r>
        <w:t xml:space="preserve">, what could he meaningfully possess? The </w:t>
      </w:r>
      <w:r>
        <w:rPr>
          <w:i/>
        </w:rPr>
        <w:t>sugya</w:t>
      </w:r>
      <w:r>
        <w:t xml:space="preserve"> further establishes the </w:t>
      </w:r>
      <w:r>
        <w:rPr>
          <w:i/>
        </w:rPr>
        <w:t>kelal</w:t>
      </w:r>
      <w:r>
        <w:t xml:space="preserve"> </w:t>
      </w:r>
      <w:r>
        <w:rPr>
          <w:i/>
        </w:rPr>
        <w:t>ein ani ela b’da’as</w:t>
      </w:r>
      <w:r>
        <w:t xml:space="preserve"> — true poverty is the absence of intellectual capacity, not the absence of material wealth. Verified on Sefaria: </w:t>
      </w:r>
      <w:r>
        <w:rPr>
          <w:i/>
        </w:rPr>
        <w:t>Nedarim</w:t>
      </w:r>
      <w:r>
        <w:t xml:space="preserve"> 41a records both statements — </w:t>
      </w:r>
      <w:r>
        <w:rPr>
          <w:i/>
        </w:rPr>
        <w:t>Abaye said</w:t>
      </w:r>
      <w:r>
        <w:t xml:space="preserve">: </w:t>
      </w:r>
      <w:r>
        <w:rPr>
          <w:i/>
        </w:rPr>
        <w:t>we have a tradition, a poor person is only one lacking in intelligence</w:t>
      </w:r>
      <w:r>
        <w:t>; and the teaching of the West (</w:t>
      </w:r>
      <w:r>
        <w:rPr>
          <w:i/>
        </w:rPr>
        <w:t>Eretz Yisrael</w:t>
      </w:r>
      <w:r>
        <w:t xml:space="preserve">): </w:t>
      </w:r>
      <w:r>
        <w:rPr>
          <w:i/>
        </w:rPr>
        <w:t>if he acquired this, what else is lacking? If he has not acquired this, what has he acquired?</w:t>
      </w:r>
      <w:r>
        <w:t xml:space="preserve"> The </w:t>
      </w:r>
      <w:r>
        <w:rPr>
          <w:i/>
        </w:rPr>
        <w:t>sugya</w:t>
      </w:r>
      <w:r>
        <w:t xml:space="preserve"> grounds the placement of </w:t>
      </w:r>
      <w:r>
        <w:rPr>
          <w:i/>
        </w:rPr>
        <w:t>Atah Chonen</w:t>
      </w:r>
      <w:r>
        <w:t xml:space="preserve"> as the first </w:t>
      </w:r>
      <w:r>
        <w:rPr>
          <w:i/>
        </w:rPr>
        <w:t>bakashah</w:t>
      </w:r>
      <w:r>
        <w:t xml:space="preserve">: every other request — </w:t>
      </w:r>
      <w:r>
        <w:rPr>
          <w:i/>
        </w:rPr>
        <w:t>parnassah</w:t>
      </w:r>
      <w:r>
        <w:t xml:space="preserve">, </w:t>
      </w:r>
      <w:r>
        <w:rPr>
          <w:i/>
        </w:rPr>
        <w:t>refuah</w:t>
      </w:r>
      <w:r>
        <w:t xml:space="preserve">, </w:t>
      </w:r>
      <w:r>
        <w:rPr>
          <w:i/>
        </w:rPr>
        <w:t>selichah</w:t>
      </w:r>
      <w:r>
        <w:t xml:space="preserve">, </w:t>
      </w:r>
      <w:r>
        <w:rPr>
          <w:i/>
        </w:rPr>
        <w:t>geulah</w:t>
      </w:r>
      <w:r>
        <w:t xml:space="preserve"> — matters and functions only if </w:t>
      </w:r>
      <w:r>
        <w:rPr>
          <w:i/>
        </w:rPr>
        <w:t>da’as</w:t>
      </w:r>
      <w:r>
        <w:t xml:space="preserve"> is in place.</w:t>
      </w:r>
    </w:p>
    <w:p>
      <w:r>
        <w:rPr>
          <w:b/>
          <w:color w:val="1E3A8A"/>
        </w:rPr>
        <w:t xml:space="preserve">19. </w:t>
      </w:r>
      <w:r>
        <w:rPr>
          <w:b/>
          <w:color w:val="1E3A8A"/>
        </w:rPr>
        <w:t xml:space="preserve">Modern adaptations of the </w:t>
      </w:r>
      <w:r>
        <w:rPr>
          <w:b/>
          <w:i/>
          <w:color w:val="1E3A8A"/>
        </w:rPr>
        <w:t>Kuzari</w:t>
      </w:r>
      <w:r>
        <w:rPr>
          <w:b/>
          <w:color w:val="1E3A8A"/>
        </w:rPr>
        <w:t xml:space="preserve"> — </w:t>
      </w:r>
      <w:r>
        <w:rPr>
          <w:b/>
          <w:i/>
          <w:color w:val="1E3A8A"/>
        </w:rPr>
        <w:t>Rabbi David Nieto</w:t>
      </w:r>
      <w:r>
        <w:rPr>
          <w:b/>
          <w:color w:val="1E3A8A"/>
        </w:rPr>
        <w:t xml:space="preserve">, </w:t>
      </w:r>
      <w:r>
        <w:rPr>
          <w:b/>
          <w:i/>
          <w:color w:val="1E3A8A"/>
        </w:rPr>
        <w:t>Kuzari HaSheini</w:t>
      </w:r>
      <w:r>
        <w:rPr>
          <w:b/>
          <w:color w:val="1E3A8A"/>
        </w:rPr>
        <w:t xml:space="preserve">; </w:t>
      </w:r>
      <w:r>
        <w:rPr>
          <w:b/>
          <w:i/>
          <w:color w:val="1E3A8A"/>
        </w:rPr>
        <w:t>Rabbi Dr. Isaac Breuer</w:t>
      </w:r>
      <w:r>
        <w:rPr>
          <w:b/>
          <w:color w:val="1E3A8A"/>
        </w:rPr>
        <w:t xml:space="preserve">, </w:t>
      </w:r>
      <w:r>
        <w:rPr>
          <w:b/>
          <w:i/>
          <w:color w:val="1E3A8A"/>
        </w:rPr>
        <w:t>Kuzari Chadash</w:t>
      </w:r>
      <w:r>
        <w:rPr>
          <w:b/>
          <w:color w:val="1E3A8A"/>
        </w:rPr>
        <w:t>.</w:t>
      </w:r>
      <w:r>
        <w:t xml:space="preserve"> </w:t>
      </w:r>
      <w:r>
        <w:t xml:space="preserve">— </w:t>
      </w:r>
      <w:r>
        <w:rPr>
          <w:i/>
        </w:rPr>
        <w:t>Rabbi David Nieto</w:t>
      </w:r>
      <w:r>
        <w:t xml:space="preserve"> (1654–1728, Italian-born </w:t>
      </w:r>
      <w:r>
        <w:rPr>
          <w:i/>
        </w:rPr>
        <w:t>chacham</w:t>
      </w:r>
      <w:r>
        <w:t xml:space="preserve"> of the Spanish and Portuguese congregation in London, Bevis Marks Synagogue), </w:t>
      </w:r>
      <w:r>
        <w:rPr>
          <w:i/>
        </w:rPr>
        <w:t>Mateh Dan</w:t>
      </w:r>
      <w:r>
        <w:t xml:space="preserve"> / </w:t>
      </w:r>
      <w:r>
        <w:rPr>
          <w:i/>
        </w:rPr>
        <w:t>Kuzari HaSheini</w:t>
      </w:r>
      <w:r>
        <w:t xml:space="preserve"> — published 1714 in London, structured as a series of dialogues updating the </w:t>
      </w:r>
      <w:r>
        <w:rPr>
          <w:i/>
        </w:rPr>
        <w:t>Kuzari’s</w:t>
      </w:r>
      <w:r>
        <w:t xml:space="preserve"> questions for early-modern challenges including the rise of </w:t>
      </w:r>
      <w:r>
        <w:rPr>
          <w:i/>
        </w:rPr>
        <w:t>Haskalah</w:t>
      </w:r>
      <w:r>
        <w:t xml:space="preserve">, the scientific revolution, and Karaism. </w:t>
      </w:r>
      <w:r>
        <w:rPr>
          <w:i/>
        </w:rPr>
        <w:t>Rabbi Dr. Isaac Breuer</w:t>
      </w:r>
      <w:r>
        <w:t xml:space="preserve"> (1883–1946, Frankfurt and later Jerusalem; grandson of </w:t>
      </w:r>
      <w:r>
        <w:rPr>
          <w:i/>
        </w:rPr>
        <w:t>Rav Shimshon Refael Hirsch</w:t>
      </w:r>
      <w:r>
        <w:t xml:space="preserve">; jurist and major </w:t>
      </w:r>
      <w:r>
        <w:rPr>
          <w:i/>
        </w:rPr>
        <w:t>hashkafah</w:t>
      </w:r>
      <w:r>
        <w:t xml:space="preserve"> writer in </w:t>
      </w:r>
      <w:r>
        <w:rPr>
          <w:i/>
        </w:rPr>
        <w:t>Agudas Yisrael</w:t>
      </w:r>
      <w:r>
        <w:t xml:space="preserve">; lived briefly in Washington Heights), </w:t>
      </w:r>
      <w:r>
        <w:rPr>
          <w:i/>
        </w:rPr>
        <w:t>Sefer Kuzari Chadash</w:t>
      </w:r>
      <w:r>
        <w:t xml:space="preserve"> / </w:t>
      </w:r>
      <w:r>
        <w:rPr>
          <w:i/>
        </w:rPr>
        <w:t>Der neue Kusari</w:t>
      </w:r>
      <w:r>
        <w:t xml:space="preserve"> — a twentieth-century philosophical-political-theological treatise structured as a dialogue, addressing the rise of nationalism, Zionism, and modern </w:t>
      </w:r>
      <w:r>
        <w:rPr>
          <w:i/>
        </w:rPr>
        <w:t>hashkafah</w:t>
      </w:r>
      <w:r>
        <w:t xml:space="preserve"> challenges. Both works are read primarily within their respective scholarly worlds today.</w:t>
      </w:r>
    </w:p>
    <w:p>
      <w:pPr>
        <w:pBdr>
          <w:bottom w:val="single" w:sz="6" w:space="1" w:color="B8860B"/>
        </w:pBdr>
      </w:pPr>
    </w:p>
    <w:p>
      <w:pPr>
        <w:jc w:val="center"/>
      </w:pPr>
      <w:r>
        <w:rPr>
          <w:i/>
          <w:color w:val="5A4B1A"/>
          <w:sz w:val="18"/>
        </w:rPr>
        <w:br/>
        <w:t xml:space="preserve">Sefer Edition rework of Rabbi Ephrati’s shiur of 4 May 2025 — the </w:t>
      </w:r>
      <w:r>
        <w:rPr>
          <w:i/>
          <w:color w:val="5A4B1A"/>
          <w:sz w:val="18"/>
        </w:rPr>
        <w:t>seder</w:t>
      </w:r>
      <w:r>
        <w:rPr>
          <w:i/>
          <w:color w:val="5A4B1A"/>
          <w:sz w:val="18"/>
        </w:rPr>
        <w:t xml:space="preserve"> of the first three </w:t>
      </w:r>
      <w:r>
        <w:rPr>
          <w:i/>
          <w:color w:val="5A4B1A"/>
          <w:sz w:val="18"/>
        </w:rPr>
        <w:t>berachos</w:t>
      </w:r>
      <w:r>
        <w:rPr>
          <w:i/>
          <w:color w:val="5A4B1A"/>
          <w:sz w:val="18"/>
        </w:rPr>
        <w:t xml:space="preserve"> from </w:t>
      </w:r>
      <w:r>
        <w:rPr>
          <w:i/>
          <w:color w:val="5A4B1A"/>
          <w:sz w:val="18"/>
        </w:rPr>
        <w:t>Havu LaShem Bnei Elim</w:t>
      </w:r>
      <w:r>
        <w:rPr>
          <w:i/>
          <w:color w:val="5A4B1A"/>
          <w:sz w:val="18"/>
        </w:rPr>
        <w:t xml:space="preserve">; the doubled </w:t>
      </w:r>
      <w:r>
        <w:rPr>
          <w:i/>
          <w:color w:val="5A4B1A"/>
          <w:sz w:val="18"/>
        </w:rPr>
        <w:t>Atah Kadosh V’Shimcha Kadosh</w:t>
      </w:r>
      <w:r>
        <w:rPr>
          <w:i/>
          <w:color w:val="5A4B1A"/>
          <w:sz w:val="18"/>
        </w:rPr>
        <w:t xml:space="preserve">; </w:t>
      </w:r>
      <w:r>
        <w:rPr>
          <w:i/>
          <w:color w:val="5A4B1A"/>
          <w:sz w:val="18"/>
        </w:rPr>
        <w:t>kadosh</w:t>
      </w:r>
      <w:r>
        <w:rPr>
          <w:i/>
          <w:color w:val="5A4B1A"/>
          <w:sz w:val="18"/>
        </w:rPr>
        <w:t xml:space="preserve"> as </w:t>
      </w:r>
      <w:r>
        <w:rPr>
          <w:i/>
          <w:color w:val="5A4B1A"/>
          <w:sz w:val="18"/>
        </w:rPr>
        <w:t>muvdal</w:t>
      </w:r>
      <w:r>
        <w:rPr>
          <w:i/>
          <w:color w:val="5A4B1A"/>
          <w:sz w:val="18"/>
        </w:rPr>
        <w:t xml:space="preserve">; the </w:t>
      </w:r>
      <w:r>
        <w:rPr>
          <w:i/>
          <w:color w:val="5A4B1A"/>
          <w:sz w:val="18"/>
        </w:rPr>
        <w:t>Kuzari</w:t>
      </w:r>
      <w:r>
        <w:rPr>
          <w:i/>
          <w:color w:val="5A4B1A"/>
          <w:sz w:val="18"/>
        </w:rPr>
        <w:t xml:space="preserve"> and the historical Khazar narrative corroborated by the Cairo Genizah; the </w:t>
      </w:r>
      <w:r>
        <w:rPr>
          <w:i/>
          <w:color w:val="5A4B1A"/>
          <w:sz w:val="18"/>
        </w:rPr>
        <w:t>Kuzari’s</w:t>
      </w:r>
      <w:r>
        <w:rPr>
          <w:i/>
          <w:color w:val="5A4B1A"/>
          <w:sz w:val="18"/>
        </w:rPr>
        <w:t xml:space="preserve"> reading of the opening triad; the </w:t>
      </w:r>
      <w:r>
        <w:rPr>
          <w:i/>
          <w:color w:val="5A4B1A"/>
          <w:sz w:val="18"/>
        </w:rPr>
        <w:t>L’dor VaDor</w:t>
      </w:r>
      <w:r>
        <w:rPr>
          <w:i/>
          <w:color w:val="5A4B1A"/>
          <w:sz w:val="18"/>
        </w:rPr>
        <w:t xml:space="preserve"> / </w:t>
      </w:r>
      <w:r>
        <w:rPr>
          <w:i/>
          <w:color w:val="5A4B1A"/>
          <w:sz w:val="18"/>
        </w:rPr>
        <w:t>Atah Kadosh</w:t>
      </w:r>
      <w:r>
        <w:rPr>
          <w:i/>
          <w:color w:val="5A4B1A"/>
          <w:sz w:val="18"/>
        </w:rPr>
        <w:t xml:space="preserve"> </w:t>
      </w:r>
      <w:r>
        <w:rPr>
          <w:i/>
          <w:color w:val="5A4B1A"/>
          <w:sz w:val="18"/>
        </w:rPr>
        <w:t>nusach</w:t>
      </w:r>
      <w:r>
        <w:rPr>
          <w:i/>
          <w:color w:val="5A4B1A"/>
          <w:sz w:val="18"/>
        </w:rPr>
        <w:t xml:space="preserve"> question; </w:t>
      </w:r>
      <w:r>
        <w:rPr>
          <w:i/>
          <w:color w:val="5A4B1A"/>
          <w:sz w:val="18"/>
        </w:rPr>
        <w:t>Rav Avli Posweller’s</w:t>
      </w:r>
      <w:r>
        <w:rPr>
          <w:i/>
          <w:color w:val="5A4B1A"/>
          <w:sz w:val="18"/>
        </w:rPr>
        <w:t xml:space="preserve"> rejected </w:t>
      </w:r>
      <w:r>
        <w:rPr>
          <w:i/>
          <w:color w:val="5A4B1A"/>
          <w:sz w:val="18"/>
        </w:rPr>
        <w:t>chiddush</w:t>
      </w:r>
      <w:r>
        <w:rPr>
          <w:i/>
          <w:color w:val="5A4B1A"/>
          <w:sz w:val="18"/>
        </w:rPr>
        <w:t xml:space="preserve"> on </w:t>
      </w:r>
      <w:r>
        <w:rPr>
          <w:i/>
          <w:color w:val="5A4B1A"/>
          <w:sz w:val="18"/>
        </w:rPr>
        <w:t>HaMelech HaKadosh</w:t>
      </w:r>
      <w:r>
        <w:rPr>
          <w:i/>
          <w:color w:val="5A4B1A"/>
          <w:sz w:val="18"/>
        </w:rPr>
        <w:t xml:space="preserve">; and the opening of </w:t>
      </w:r>
      <w:r>
        <w:rPr>
          <w:i/>
          <w:color w:val="5A4B1A"/>
          <w:sz w:val="18"/>
        </w:rPr>
        <w:t>Atah Chonen</w:t>
      </w:r>
      <w:r>
        <w:rPr>
          <w:i/>
          <w:color w:val="5A4B1A"/>
          <w:sz w:val="18"/>
        </w:rPr>
        <w:t xml:space="preserve"> with </w:t>
      </w:r>
      <w:r>
        <w:rPr>
          <w:i/>
          <w:color w:val="5A4B1A"/>
          <w:sz w:val="18"/>
        </w:rPr>
        <w:t>da’as</w:t>
      </w:r>
      <w:r>
        <w:rPr>
          <w:i/>
          <w:color w:val="5A4B1A"/>
          <w:sz w:val="18"/>
        </w:rPr>
        <w:t xml:space="preserve"> as the foundational </w:t>
      </w:r>
      <w:r>
        <w:rPr>
          <w:i/>
          <w:color w:val="5A4B1A"/>
          <w:sz w:val="18"/>
        </w:rPr>
        <w:t>bakashah</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