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rFonts w:ascii="David" w:hAnsi="David"/>
          <w:b/>
          <w:color w:val="1E3A8A"/>
          <w:sz w:val="36"/>
        </w:rPr>
        <w:t>שְׁמַע קוֹלֵנוּ</w:t>
      </w:r>
    </w:p>
    <w:p>
      <w:pPr>
        <w:pBdr>
          <w:bottom w:val="single" w:sz="6" w:space="1" w:color="B8860B"/>
        </w:pBdr>
      </w:pPr>
    </w:p>
    <w:p>
      <w:r>
        <w:rPr>
          <w:i/>
        </w:rPr>
        <w:t xml:space="preserve">Sponsored </w:t>
      </w:r>
      <w:r>
        <w:rPr>
          <w:rFonts w:ascii="David" w:hAnsi="David"/>
          <w:i/>
        </w:rPr>
        <w:t>לעילוי נשמת מורינו ורבינו</w:t>
      </w:r>
      <w:r>
        <w:rPr>
          <w:i/>
        </w:rPr>
        <w:t xml:space="preserve">. The discourse was first delivered on the </w:t>
      </w:r>
      <w:r>
        <w:rPr>
          <w:i/>
        </w:rPr>
        <w:t>yahrzeit</w:t>
      </w:r>
      <w:r>
        <w:rPr>
          <w:i/>
        </w:rPr>
        <w:t xml:space="preserve"> (</w:t>
      </w:r>
      <w:r>
        <w:rPr>
          <w:rFonts w:ascii="David" w:hAnsi="David"/>
          <w:i/>
        </w:rPr>
        <w:t>יארצייט</w:t>
      </w:r>
      <w:r>
        <w:rPr>
          <w:i/>
        </w:rPr>
        <w:t xml:space="preserve">) of </w:t>
      </w:r>
      <w:r>
        <w:rPr>
          <w:b/>
          <w:i/>
        </w:rPr>
        <w:t>Rabbi Yaakov Yosef</w:t>
      </w:r>
      <w:r>
        <w:rPr>
          <w:i/>
        </w:rPr>
        <w:t>,</w:t>
      </w:r>
      <w:r>
        <w:rPr>
          <w:color w:val="B8860B"/>
          <w:sz w:val="16"/>
          <w:vertAlign w:val="superscript"/>
        </w:rPr>
        <w:t>[1]</w:t>
      </w:r>
      <w:r>
        <w:rPr>
          <w:i/>
        </w:rPr>
        <w:t xml:space="preserve"> first and last Chief Rabbi of New York.</w:t>
      </w:r>
    </w:p>
    <w:p>
      <w:r>
        <w:rPr>
          <w:i/>
          <w:color w:val="3B3B3B"/>
        </w:rPr>
        <w:t xml:space="preserve">A treatise on </w:t>
      </w:r>
      <w:r>
        <w:rPr>
          <w:i/>
          <w:color w:val="3B3B3B"/>
        </w:rPr>
        <w:t>Shema Koleinu</w:t>
      </w:r>
      <w:r>
        <w:rPr>
          <w:i/>
          <w:color w:val="3B3B3B"/>
        </w:rPr>
        <w:t xml:space="preserve"> (</w:t>
      </w:r>
      <w:r>
        <w:rPr>
          <w:rFonts w:ascii="David" w:hAnsi="David"/>
          <w:i/>
          <w:color w:val="3B3B3B"/>
        </w:rPr>
        <w:t>שמע קולנו</w:t>
      </w:r>
      <w:r>
        <w:rPr>
          <w:i/>
          <w:color w:val="3B3B3B"/>
        </w:rPr>
        <w:t xml:space="preserve">), the </w:t>
      </w:r>
      <w:r>
        <w:rPr>
          <w:i/>
          <w:color w:val="3B3B3B"/>
        </w:rPr>
        <w:t>berachah</w:t>
      </w:r>
      <w:r>
        <w:rPr>
          <w:i/>
          <w:color w:val="3B3B3B"/>
        </w:rPr>
        <w:t xml:space="preserve"> (</w:t>
      </w:r>
      <w:r>
        <w:rPr>
          <w:rFonts w:ascii="David" w:hAnsi="David"/>
          <w:i/>
          <w:color w:val="3B3B3B"/>
        </w:rPr>
        <w:t>ברכה</w:t>
      </w:r>
      <w:r>
        <w:rPr>
          <w:i/>
          <w:color w:val="3B3B3B"/>
        </w:rPr>
        <w:t xml:space="preserve">) that closes the twelve </w:t>
      </w:r>
      <w:r>
        <w:rPr>
          <w:i/>
          <w:color w:val="3B3B3B"/>
        </w:rPr>
        <w:t>bakashos</w:t>
      </w:r>
      <w:r>
        <w:rPr>
          <w:i/>
          <w:color w:val="3B3B3B"/>
        </w:rPr>
        <w:t xml:space="preserve"> (</w:t>
      </w:r>
      <w:r>
        <w:rPr>
          <w:rFonts w:ascii="David" w:hAnsi="David"/>
          <w:i/>
          <w:color w:val="3B3B3B"/>
        </w:rPr>
        <w:t>בקשות</w:t>
      </w:r>
      <w:r>
        <w:rPr>
          <w:i/>
          <w:color w:val="3B3B3B"/>
        </w:rPr>
        <w:t xml:space="preserve">) of </w:t>
      </w:r>
      <w:r>
        <w:rPr>
          <w:i/>
          <w:color w:val="3B3B3B"/>
        </w:rPr>
        <w:t>Shemoneh Esrei</w:t>
      </w:r>
      <w:r>
        <w:rPr>
          <w:i/>
          <w:color w:val="3B3B3B"/>
        </w:rPr>
        <w:t xml:space="preserve"> (</w:t>
      </w:r>
      <w:r>
        <w:rPr>
          <w:rFonts w:ascii="David" w:hAnsi="David"/>
          <w:i/>
          <w:color w:val="3B3B3B"/>
        </w:rPr>
        <w:t>שמונה עשרה</w:t>
      </w:r>
      <w:r>
        <w:rPr>
          <w:i/>
          <w:color w:val="3B3B3B"/>
        </w:rPr>
        <w:t xml:space="preserve">), and on the different kinds of </w:t>
      </w:r>
      <w:r>
        <w:rPr>
          <w:i/>
          <w:color w:val="3B3B3B"/>
        </w:rPr>
        <w:t>shema</w:t>
      </w:r>
      <w:r>
        <w:rPr>
          <w:i/>
          <w:color w:val="3B3B3B"/>
        </w:rPr>
        <w:t xml:space="preserve"> (</w:t>
      </w:r>
      <w:r>
        <w:rPr>
          <w:rFonts w:ascii="David" w:hAnsi="David"/>
          <w:i/>
          <w:color w:val="3B3B3B"/>
        </w:rPr>
        <w:t>שמע</w:t>
      </w:r>
      <w:r>
        <w:rPr>
          <w:i/>
          <w:color w:val="3B3B3B"/>
        </w:rPr>
        <w:t xml:space="preserve">) for which it asks: the warm hearing and the cold, the latter set out in the </w:t>
      </w:r>
      <w:r>
        <w:rPr>
          <w:i/>
          <w:color w:val="3B3B3B"/>
        </w:rPr>
        <w:t>Gemara</w:t>
      </w:r>
      <w:r>
        <w:rPr>
          <w:i/>
          <w:color w:val="3B3B3B"/>
        </w:rPr>
        <w:t xml:space="preserve"> (</w:t>
      </w:r>
      <w:r>
        <w:rPr>
          <w:rFonts w:ascii="David" w:hAnsi="David"/>
          <w:i/>
          <w:color w:val="3B3B3B"/>
        </w:rPr>
        <w:t>גמרא</w:t>
      </w:r>
      <w:r>
        <w:rPr>
          <w:i/>
          <w:color w:val="3B3B3B"/>
        </w:rPr>
        <w:t xml:space="preserve">) of </w:t>
      </w:r>
      <w:r>
        <w:rPr>
          <w:i/>
          <w:color w:val="3B3B3B"/>
        </w:rPr>
        <w:t>Taanis</w:t>
      </w:r>
      <w:r>
        <w:rPr>
          <w:i/>
          <w:color w:val="3B3B3B"/>
        </w:rPr>
        <w:t xml:space="preserve"> (</w:t>
      </w:r>
      <w:r>
        <w:rPr>
          <w:rFonts w:ascii="David" w:hAnsi="David"/>
          <w:i/>
          <w:color w:val="3B3B3B"/>
        </w:rPr>
        <w:t>תענית</w:t>
      </w:r>
      <w:r>
        <w:rPr>
          <w:i/>
          <w:color w:val="3B3B3B"/>
        </w:rPr>
        <w:t xml:space="preserve">) on </w:t>
      </w:r>
      <w:r>
        <w:rPr>
          <w:i/>
          <w:color w:val="3B3B3B"/>
        </w:rPr>
        <w:t>Shmuel HaKatan</w:t>
      </w:r>
      <w:r>
        <w:rPr>
          <w:i/>
          <w:color w:val="3B3B3B"/>
        </w:rPr>
        <w:t xml:space="preserve"> (</w:t>
      </w:r>
      <w:r>
        <w:rPr>
          <w:rFonts w:ascii="David" w:hAnsi="David"/>
          <w:i/>
          <w:color w:val="3B3B3B"/>
        </w:rPr>
        <w:t>שמואל הקטן</w:t>
      </w:r>
      <w:r>
        <w:rPr>
          <w:i/>
          <w:color w:val="3B3B3B"/>
        </w:rPr>
        <w:t xml:space="preserve">) and the rain that came too soon. It treats the question of personal additions to the </w:t>
      </w:r>
      <w:r>
        <w:rPr>
          <w:i/>
          <w:color w:val="3B3B3B"/>
        </w:rPr>
        <w:t>berachah</w:t>
      </w:r>
      <w:r>
        <w:rPr>
          <w:i/>
          <w:color w:val="3B3B3B"/>
        </w:rPr>
        <w:t xml:space="preserve">: the </w:t>
      </w:r>
      <w:r>
        <w:rPr>
          <w:i/>
          <w:color w:val="3B3B3B"/>
        </w:rPr>
        <w:t>Taz</w:t>
      </w:r>
      <w:r>
        <w:rPr>
          <w:i/>
          <w:color w:val="3B3B3B"/>
        </w:rPr>
        <w:t xml:space="preserve"> (</w:t>
      </w:r>
      <w:r>
        <w:rPr>
          <w:rFonts w:ascii="David" w:hAnsi="David"/>
          <w:i/>
          <w:color w:val="3B3B3B"/>
        </w:rPr>
        <w:t>ט״ז</w:t>
      </w:r>
      <w:r>
        <w:rPr>
          <w:i/>
          <w:color w:val="3B3B3B"/>
        </w:rPr>
        <w:t xml:space="preserve">), the sharp protest of the </w:t>
      </w:r>
      <w:r>
        <w:rPr>
          <w:i/>
          <w:color w:val="3B3B3B"/>
        </w:rPr>
        <w:t>Aruch HaShulchan</w:t>
      </w:r>
      <w:r>
        <w:rPr>
          <w:i/>
          <w:color w:val="3B3B3B"/>
        </w:rPr>
        <w:t xml:space="preserve"> (</w:t>
      </w:r>
      <w:r>
        <w:rPr>
          <w:rFonts w:ascii="David" w:hAnsi="David"/>
          <w:i/>
          <w:color w:val="3B3B3B"/>
        </w:rPr>
        <w:t>ערוך השלחן</w:t>
      </w:r>
      <w:r>
        <w:rPr>
          <w:i/>
          <w:color w:val="3B3B3B"/>
        </w:rPr>
        <w:t xml:space="preserve">) against the printers, and the counsel of the </w:t>
      </w:r>
      <w:r>
        <w:rPr>
          <w:i/>
          <w:color w:val="3B3B3B"/>
        </w:rPr>
        <w:t>Yaavetz</w:t>
      </w:r>
      <w:r>
        <w:rPr>
          <w:i/>
          <w:color w:val="3B3B3B"/>
        </w:rPr>
        <w:t xml:space="preserve"> (</w:t>
      </w:r>
      <w:r>
        <w:rPr>
          <w:rFonts w:ascii="David" w:hAnsi="David"/>
          <w:i/>
          <w:color w:val="3B3B3B"/>
        </w:rPr>
        <w:t>יעב״ץ</w:t>
      </w:r>
      <w:r>
        <w:rPr>
          <w:i/>
          <w:color w:val="3B3B3B"/>
        </w:rPr>
        <w:t xml:space="preserve">) to add in one’s own words. It closes with </w:t>
      </w:r>
      <w:r>
        <w:rPr>
          <w:i/>
          <w:color w:val="3B3B3B"/>
        </w:rPr>
        <w:t>“reikam al teshiveinu”</w:t>
      </w:r>
      <w:r>
        <w:rPr>
          <w:i/>
          <w:color w:val="3B3B3B"/>
        </w:rPr>
        <w:t xml:space="preserve"> (</w:t>
      </w:r>
      <w:r>
        <w:rPr>
          <w:rFonts w:ascii="David" w:hAnsi="David"/>
          <w:i/>
          <w:color w:val="3B3B3B"/>
        </w:rPr>
        <w:t>ריקם אל תשיבנו</w:t>
      </w:r>
      <w:r>
        <w:rPr>
          <w:i/>
          <w:color w:val="3B3B3B"/>
        </w:rPr>
        <w:t xml:space="preserve">) and </w:t>
      </w:r>
      <w:r>
        <w:rPr>
          <w:i/>
          <w:color w:val="3B3B3B"/>
        </w:rPr>
        <w:t>Rav Schwab</w:t>
      </w:r>
      <w:r>
        <w:rPr>
          <w:i/>
          <w:color w:val="3B3B3B"/>
        </w:rPr>
        <w:t>’s memory of his mother and a loaf of black bread in the Germany of the First World War.</w:t>
      </w:r>
    </w:p>
    <w:p>
      <w:r>
        <w:rPr>
          <w:b/>
          <w:color w:val="1E3A8A"/>
          <w:sz w:val="26"/>
        </w:rPr>
        <w:t>I. THE PLACE OFSHEMA KOLEINU</w:t>
      </w:r>
    </w:p>
    <w:p>
      <w:pPr>
        <w:pBdr>
          <w:bottom w:val="single" w:sz="6" w:space="1" w:color="B8860B"/>
        </w:pBdr>
      </w:pPr>
    </w:p>
    <w:p>
      <w:r>
        <w:rPr>
          <w:i/>
        </w:rPr>
        <w:t>Shema Koleinu</w:t>
      </w:r>
      <w:r>
        <w:t xml:space="preserve"> (</w:t>
      </w:r>
      <w:r>
        <w:rPr>
          <w:rFonts w:ascii="David" w:hAnsi="David"/>
        </w:rPr>
        <w:t>שמע קולנו</w:t>
      </w:r>
      <w:r>
        <w:t xml:space="preserve">) is a </w:t>
      </w:r>
      <w:r>
        <w:rPr>
          <w:i/>
        </w:rPr>
        <w:t>berachah</w:t>
      </w:r>
      <w:r>
        <w:t xml:space="preserve"> (</w:t>
      </w:r>
      <w:r>
        <w:rPr>
          <w:rFonts w:ascii="David" w:hAnsi="David"/>
        </w:rPr>
        <w:t>ברכה</w:t>
      </w:r>
      <w:r>
        <w:t xml:space="preserve">) of critical importance: it is the culmination of the middle section of </w:t>
      </w:r>
      <w:r>
        <w:rPr>
          <w:i/>
        </w:rPr>
        <w:t>Shemoneh Esrei</w:t>
      </w:r>
      <w:r>
        <w:t xml:space="preserve"> (</w:t>
      </w:r>
      <w:r>
        <w:rPr>
          <w:rFonts w:ascii="David" w:hAnsi="David"/>
        </w:rPr>
        <w:t>שמונה עשרה</w:t>
      </w:r>
      <w:r>
        <w:t xml:space="preserve">). The first three </w:t>
      </w:r>
      <w:r>
        <w:rPr>
          <w:i/>
        </w:rPr>
        <w:t>berachos</w:t>
      </w:r>
      <w:r>
        <w:t xml:space="preserve"> (</w:t>
      </w:r>
      <w:r>
        <w:rPr>
          <w:rFonts w:ascii="David" w:hAnsi="David"/>
        </w:rPr>
        <w:t>ברכות</w:t>
      </w:r>
      <w:r>
        <w:t xml:space="preserve">) are </w:t>
      </w:r>
      <w:r>
        <w:rPr>
          <w:i/>
        </w:rPr>
        <w:t>shevach</w:t>
      </w:r>
      <w:r>
        <w:t xml:space="preserve"> (</w:t>
      </w:r>
      <w:r>
        <w:rPr>
          <w:rFonts w:ascii="David" w:hAnsi="David"/>
        </w:rPr>
        <w:t>שבח</w:t>
      </w:r>
      <w:r>
        <w:t xml:space="preserve">), praise; the middle twelve are </w:t>
      </w:r>
      <w:r>
        <w:rPr>
          <w:i/>
        </w:rPr>
        <w:t>bakashah</w:t>
      </w:r>
      <w:r>
        <w:t xml:space="preserve"> (</w:t>
      </w:r>
      <w:r>
        <w:rPr>
          <w:rFonts w:ascii="David" w:hAnsi="David"/>
        </w:rPr>
        <w:t>בקשה</w:t>
      </w:r>
      <w:r>
        <w:t xml:space="preserve">), petition; the last three are </w:t>
      </w:r>
      <w:r>
        <w:rPr>
          <w:i/>
        </w:rPr>
        <w:t>hoda’ah</w:t>
      </w:r>
      <w:r>
        <w:t xml:space="preserve"> (</w:t>
      </w:r>
      <w:r>
        <w:rPr>
          <w:rFonts w:ascii="David" w:hAnsi="David"/>
        </w:rPr>
        <w:t>הודאה</w:t>
      </w:r>
      <w:r>
        <w:t xml:space="preserve">), thanksgiving. The twelve themselves divide into the personal six and the communal six, and </w:t>
      </w:r>
      <w:r>
        <w:rPr>
          <w:i/>
        </w:rPr>
        <w:t>Shema Koleinu</w:t>
      </w:r>
      <w:r>
        <w:t xml:space="preserve"> closes the entire arc.</w:t>
      </w:r>
    </w:p>
    <w:p>
      <w:r>
        <w:t xml:space="preserve">It is often overlooked that the </w:t>
      </w:r>
      <w:r>
        <w:rPr>
          <w:i/>
        </w:rPr>
        <w:t>amen</w:t>
      </w:r>
      <w:r>
        <w:t xml:space="preserve"> (</w:t>
      </w:r>
      <w:r>
        <w:rPr>
          <w:rFonts w:ascii="David" w:hAnsi="David"/>
        </w:rPr>
        <w:t>אמן</w:t>
      </w:r>
      <w:r>
        <w:t xml:space="preserve">) that follows </w:t>
      </w:r>
      <w:r>
        <w:rPr>
          <w:i/>
        </w:rPr>
        <w:t>Shema Koleinu</w:t>
      </w:r>
      <w:r>
        <w:t xml:space="preserve"> requires special </w:t>
      </w:r>
      <w:r>
        <w:rPr>
          <w:i/>
        </w:rPr>
        <w:t>kavanah</w:t>
      </w:r>
      <w:r>
        <w:t xml:space="preserve"> (</w:t>
      </w:r>
      <w:r>
        <w:rPr>
          <w:rFonts w:ascii="David" w:hAnsi="David"/>
        </w:rPr>
        <w:t>כוונה</w:t>
      </w:r>
      <w:r>
        <w:t xml:space="preserve">). Just as the </w:t>
      </w:r>
      <w:r>
        <w:rPr>
          <w:i/>
        </w:rPr>
        <w:t>amen</w:t>
      </w:r>
      <w:r>
        <w:t xml:space="preserve"> after </w:t>
      </w:r>
      <w:r>
        <w:rPr>
          <w:i/>
        </w:rPr>
        <w:t>Kedushas Hashem</w:t>
      </w:r>
      <w:r>
        <w:t xml:space="preserve"> (</w:t>
      </w:r>
      <w:r>
        <w:rPr>
          <w:rFonts w:ascii="David" w:hAnsi="David"/>
        </w:rPr>
        <w:t>קדושת השם</w:t>
      </w:r>
      <w:r>
        <w:t xml:space="preserve">) seals the opening unit, so the </w:t>
      </w:r>
      <w:r>
        <w:rPr>
          <w:i/>
        </w:rPr>
        <w:t>amen</w:t>
      </w:r>
      <w:r>
        <w:t xml:space="preserve"> after </w:t>
      </w:r>
      <w:r>
        <w:rPr>
          <w:i/>
        </w:rPr>
        <w:t>Shema Koleinu</w:t>
      </w:r>
      <w:r>
        <w:t xml:space="preserve"> seals the twelve: it lifts up the </w:t>
      </w:r>
      <w:r>
        <w:rPr>
          <w:i/>
        </w:rPr>
        <w:t>amens</w:t>
      </w:r>
      <w:r>
        <w:t xml:space="preserve"> (</w:t>
      </w:r>
      <w:r>
        <w:rPr>
          <w:rFonts w:ascii="David" w:hAnsi="David"/>
        </w:rPr>
        <w:t>אמנים</w:t>
      </w:r>
      <w:r>
        <w:t xml:space="preserve">) and the </w:t>
      </w:r>
      <w:r>
        <w:rPr>
          <w:i/>
        </w:rPr>
        <w:t>bakashos</w:t>
      </w:r>
      <w:r>
        <w:t xml:space="preserve"> (</w:t>
      </w:r>
      <w:r>
        <w:rPr>
          <w:rFonts w:ascii="David" w:hAnsi="David"/>
        </w:rPr>
        <w:t>בקשות</w:t>
      </w:r>
      <w:r>
        <w:t>) of the entire central section.</w:t>
      </w:r>
    </w:p>
    <w:p>
      <w:r>
        <w:rPr>
          <w:i/>
          <w:color w:val="B8860B"/>
          <w:sz w:val="24"/>
        </w:rPr>
        <w:t>Why It FollowsTzemach David</w:t>
      </w:r>
    </w:p>
    <w:p>
      <w:r>
        <w:t xml:space="preserve">The </w:t>
      </w:r>
      <w:r>
        <w:rPr>
          <w:i/>
        </w:rPr>
        <w:t>Gemara</w:t>
      </w:r>
      <w:r>
        <w:t xml:space="preserve"> (</w:t>
      </w:r>
      <w:r>
        <w:rPr>
          <w:rFonts w:ascii="David" w:hAnsi="David"/>
        </w:rPr>
        <w:t>גמרא</w:t>
      </w:r>
      <w:r>
        <w:t xml:space="preserve">) in </w:t>
      </w:r>
      <w:r>
        <w:rPr>
          <w:i/>
        </w:rPr>
        <w:t>Megillah</w:t>
      </w:r>
      <w:r>
        <w:t xml:space="preserve"> (</w:t>
      </w:r>
      <w:r>
        <w:rPr>
          <w:rFonts w:ascii="David" w:hAnsi="David"/>
        </w:rPr>
        <w:t>מגילה</w:t>
      </w:r>
      <w:r>
        <w:t>)</w:t>
      </w:r>
      <w:r>
        <w:rPr>
          <w:color w:val="B8860B"/>
          <w:sz w:val="16"/>
          <w:vertAlign w:val="superscript"/>
        </w:rPr>
        <w:t>[2]</w:t>
      </w:r>
      <w:r>
        <w:t xml:space="preserve"> derives the order of the </w:t>
      </w:r>
      <w:r>
        <w:rPr>
          <w:i/>
        </w:rPr>
        <w:t>berachos</w:t>
      </w:r>
      <w:r>
        <w:t xml:space="preserve"> verse by verse. Once </w:t>
      </w:r>
      <w:r>
        <w:rPr>
          <w:i/>
        </w:rPr>
        <w:t>Yerushalayim</w:t>
      </w:r>
      <w:r>
        <w:t xml:space="preserve"> (</w:t>
      </w:r>
      <w:r>
        <w:rPr>
          <w:rFonts w:ascii="David" w:hAnsi="David"/>
        </w:rPr>
        <w:t>ירושלים</w:t>
      </w:r>
      <w:r>
        <w:t xml:space="preserve">) is rebuilt, </w:t>
      </w:r>
      <w:r>
        <w:rPr>
          <w:i/>
        </w:rPr>
        <w:t>David</w:t>
      </w:r>
      <w:r>
        <w:t xml:space="preserve"> (</w:t>
      </w:r>
      <w:r>
        <w:rPr>
          <w:rFonts w:ascii="David" w:hAnsi="David"/>
        </w:rPr>
        <w:t>דוד</w:t>
      </w:r>
      <w:r>
        <w:t xml:space="preserve">) comes: </w:t>
      </w:r>
      <w:r>
        <w:rPr>
          <w:i/>
        </w:rPr>
        <w:t>“Afterward the children of Israel shall return, and seek the Lord their God and David their king.”</w:t>
      </w:r>
      <w:r>
        <w:t xml:space="preserve"> And once </w:t>
      </w:r>
      <w:r>
        <w:rPr>
          <w:i/>
        </w:rPr>
        <w:t>David</w:t>
      </w:r>
      <w:r>
        <w:t xml:space="preserve"> has come, </w:t>
      </w:r>
      <w:r>
        <w:rPr>
          <w:i/>
        </w:rPr>
        <w:t>tefillah</w:t>
      </w:r>
      <w:r>
        <w:t xml:space="preserve"> (</w:t>
      </w:r>
      <w:r>
        <w:rPr>
          <w:rFonts w:ascii="David" w:hAnsi="David"/>
        </w:rPr>
        <w:t>תפילה</w:t>
      </w:r>
      <w:r>
        <w:t xml:space="preserve">) has come: </w:t>
      </w:r>
      <w:r>
        <w:rPr>
          <w:i/>
        </w:rPr>
        <w:t>“</w:t>
      </w:r>
      <w:r>
        <w:rPr>
          <w:rFonts w:ascii="David" w:hAnsi="David"/>
          <w:i/>
        </w:rPr>
        <w:t>והביאותים אל הר קדשי ושמחתים בבית תפילתי</w:t>
      </w:r>
      <w:r>
        <w:rPr>
          <w:i/>
        </w:rPr>
        <w:t>”</w:t>
      </w:r>
      <w:r>
        <w:t xml:space="preserve">, the </w:t>
      </w:r>
      <w:r>
        <w:rPr>
          <w:i/>
        </w:rPr>
        <w:t>Beis HaMikdash</w:t>
      </w:r>
      <w:r>
        <w:t xml:space="preserve"> (</w:t>
      </w:r>
      <w:r>
        <w:rPr>
          <w:rFonts w:ascii="David" w:hAnsi="David"/>
        </w:rPr>
        <w:t>בית המקדש</w:t>
      </w:r>
      <w:r>
        <w:t xml:space="preserve">) as the house of prayer. The completeness of </w:t>
      </w:r>
      <w:r>
        <w:rPr>
          <w:i/>
        </w:rPr>
        <w:t>Yerushalayim</w:t>
      </w:r>
      <w:r>
        <w:t xml:space="preserve"> under the kingship of the house of David opens directly into the </w:t>
      </w:r>
      <w:r>
        <w:rPr>
          <w:i/>
        </w:rPr>
        <w:t>berachah</w:t>
      </w:r>
      <w:r>
        <w:t xml:space="preserve"> in which Hashem is asked to listen to our prayers.</w:t>
      </w:r>
    </w:p>
    <w:p>
      <w:r>
        <w:rPr>
          <w:b/>
          <w:color w:val="1E3A8A"/>
          <w:sz w:val="26"/>
        </w:rPr>
        <w:t>II. THE ORIGINAL MOMENT</w:t>
      </w:r>
    </w:p>
    <w:p>
      <w:pPr>
        <w:pBdr>
          <w:bottom w:val="single" w:sz="6" w:space="1" w:color="B8860B"/>
        </w:pBdr>
      </w:pPr>
    </w:p>
    <w:p>
      <w:r>
        <w:t xml:space="preserve">The </w:t>
      </w:r>
      <w:r>
        <w:rPr>
          <w:i/>
        </w:rPr>
        <w:t>Midrash</w:t>
      </w:r>
      <w:r>
        <w:t xml:space="preserve"> (</w:t>
      </w:r>
      <w:r>
        <w:rPr>
          <w:rFonts w:ascii="David" w:hAnsi="David"/>
        </w:rPr>
        <w:t>מדרש</w:t>
      </w:r>
      <w:r>
        <w:t>) teaches</w:t>
      </w:r>
      <w:r>
        <w:rPr>
          <w:color w:val="B8860B"/>
          <w:sz w:val="16"/>
          <w:vertAlign w:val="superscript"/>
        </w:rPr>
        <w:t>[3]</w:t>
      </w:r>
      <w:r>
        <w:t xml:space="preserve"> that when </w:t>
      </w:r>
      <w:r>
        <w:rPr>
          <w:i/>
        </w:rPr>
        <w:t>Klal Yisrael</w:t>
      </w:r>
      <w:r>
        <w:t xml:space="preserve"> (</w:t>
      </w:r>
      <w:r>
        <w:rPr>
          <w:rFonts w:ascii="David" w:hAnsi="David"/>
        </w:rPr>
        <w:t>כלל ישראל</w:t>
      </w:r>
      <w:r>
        <w:t xml:space="preserve">) cried out in the servitude of </w:t>
      </w:r>
      <w:r>
        <w:rPr>
          <w:i/>
        </w:rPr>
        <w:t>Mitzrayim</w:t>
      </w:r>
      <w:r>
        <w:t xml:space="preserve"> (</w:t>
      </w:r>
      <w:r>
        <w:rPr>
          <w:rFonts w:ascii="David" w:hAnsi="David"/>
        </w:rPr>
        <w:t>שעבוד מצרים</w:t>
      </w:r>
      <w:r>
        <w:t xml:space="preserve">) — </w:t>
      </w:r>
      <w:r>
        <w:rPr>
          <w:i/>
        </w:rPr>
        <w:t>“</w:t>
      </w:r>
      <w:r>
        <w:rPr>
          <w:rFonts w:ascii="David" w:hAnsi="David"/>
          <w:i/>
        </w:rPr>
        <w:t>ויאנחו ויזעקו ותעל שועתם אל האלקים</w:t>
      </w:r>
      <w:r>
        <w:rPr>
          <w:i/>
        </w:rPr>
        <w:t>”</w:t>
      </w:r>
      <w:r>
        <w:t xml:space="preserve"> — and </w:t>
      </w:r>
      <w:r>
        <w:rPr>
          <w:i/>
        </w:rPr>
        <w:t>HaKadosh Baruch Hu</w:t>
      </w:r>
      <w:r>
        <w:t xml:space="preserve"> (</w:t>
      </w:r>
      <w:r>
        <w:rPr>
          <w:rFonts w:ascii="David" w:hAnsi="David"/>
        </w:rPr>
        <w:t>הקדוש ברוך הוא</w:t>
      </w:r>
      <w:r>
        <w:t xml:space="preserve">) heard them, the </w:t>
      </w:r>
      <w:r>
        <w:rPr>
          <w:i/>
        </w:rPr>
        <w:t>malachei hashares</w:t>
      </w:r>
      <w:r>
        <w:t xml:space="preserve"> (</w:t>
      </w:r>
      <w:r>
        <w:rPr>
          <w:rFonts w:ascii="David" w:hAnsi="David"/>
        </w:rPr>
        <w:t>מלאכי השרת</w:t>
      </w:r>
      <w:r>
        <w:t xml:space="preserve">) proclaimed: </w:t>
      </w:r>
      <w:r>
        <w:rPr>
          <w:i/>
        </w:rPr>
        <w:t>“</w:t>
      </w:r>
      <w:r>
        <w:rPr>
          <w:rFonts w:ascii="David" w:hAnsi="David"/>
          <w:i/>
        </w:rPr>
        <w:t>ברוך אתה ה׳ שומע תפילה</w:t>
      </w:r>
      <w:r>
        <w:rPr>
          <w:i/>
        </w:rPr>
        <w:t>”</w:t>
      </w:r>
      <w:r>
        <w:t>. Each day the worshipper asks that Hashem hear him as He heard Israel then.</w:t>
      </w:r>
    </w:p>
    <w:p>
      <w:r>
        <w:rPr>
          <w:b/>
          <w:color w:val="1E3A8A"/>
          <w:sz w:val="26"/>
        </w:rPr>
        <w:t>III.“AV HARACHAMAN”OR NOT?</w:t>
      </w:r>
    </w:p>
    <w:p>
      <w:pPr>
        <w:pBdr>
          <w:bottom w:val="single" w:sz="6" w:space="1" w:color="B8860B"/>
        </w:pBdr>
      </w:pPr>
    </w:p>
    <w:p>
      <w:r>
        <w:t xml:space="preserve">A question of </w:t>
      </w:r>
      <w:r>
        <w:rPr>
          <w:i/>
        </w:rPr>
        <w:t>nusach</w:t>
      </w:r>
      <w:r>
        <w:t xml:space="preserve"> (</w:t>
      </w:r>
      <w:r>
        <w:rPr>
          <w:rFonts w:ascii="David" w:hAnsi="David"/>
        </w:rPr>
        <w:t>נוסח</w:t>
      </w:r>
      <w:r>
        <w:t xml:space="preserve">) presents itself. In </w:t>
      </w:r>
      <w:r>
        <w:rPr>
          <w:i/>
        </w:rPr>
        <w:t>Nusach Sefard</w:t>
      </w:r>
      <w:r>
        <w:t xml:space="preserve"> (</w:t>
      </w:r>
      <w:r>
        <w:rPr>
          <w:rFonts w:ascii="David" w:hAnsi="David"/>
        </w:rPr>
        <w:t>נוסח ספרד</w:t>
      </w:r>
      <w:r>
        <w:t xml:space="preserve">) the </w:t>
      </w:r>
      <w:r>
        <w:rPr>
          <w:i/>
        </w:rPr>
        <w:t>berachah</w:t>
      </w:r>
      <w:r>
        <w:t xml:space="preserve"> opens </w:t>
      </w:r>
      <w:r>
        <w:rPr>
          <w:i/>
        </w:rPr>
        <w:t>“</w:t>
      </w:r>
      <w:r>
        <w:rPr>
          <w:rFonts w:ascii="David" w:hAnsi="David"/>
          <w:i/>
        </w:rPr>
        <w:t>אב הרחמן שמע קולנו</w:t>
      </w:r>
      <w:r>
        <w:rPr>
          <w:i/>
        </w:rPr>
        <w:t>”</w:t>
      </w:r>
      <w:r>
        <w:t xml:space="preserve">; most </w:t>
      </w:r>
      <w:r>
        <w:rPr>
          <w:i/>
        </w:rPr>
        <w:t>Nusach Ashkenaz</w:t>
      </w:r>
      <w:r>
        <w:t xml:space="preserve"> (</w:t>
      </w:r>
      <w:r>
        <w:rPr>
          <w:rFonts w:ascii="David" w:hAnsi="David"/>
        </w:rPr>
        <w:t>נוסח אשכנז</w:t>
      </w:r>
      <w:r>
        <w:t xml:space="preserve">) </w:t>
      </w:r>
      <w:r>
        <w:rPr>
          <w:i/>
        </w:rPr>
        <w:t>siddurim</w:t>
      </w:r>
      <w:r>
        <w:t xml:space="preserve"> (</w:t>
      </w:r>
      <w:r>
        <w:rPr>
          <w:rFonts w:ascii="David" w:hAnsi="David"/>
        </w:rPr>
        <w:t>סידורים</w:t>
      </w:r>
      <w:r>
        <w:t xml:space="preserve">) omit </w:t>
      </w:r>
      <w:r>
        <w:rPr>
          <w:i/>
        </w:rPr>
        <w:t>“</w:t>
      </w:r>
      <w:r>
        <w:rPr>
          <w:rFonts w:ascii="David" w:hAnsi="David"/>
          <w:i/>
        </w:rPr>
        <w:t>אב הרחמן</w:t>
      </w:r>
      <w:r>
        <w:rPr>
          <w:i/>
        </w:rPr>
        <w:t>”</w:t>
      </w:r>
      <w:r>
        <w:t xml:space="preserve"> and open with </w:t>
      </w:r>
      <w:r>
        <w:rPr>
          <w:i/>
        </w:rPr>
        <w:t>“</w:t>
      </w:r>
      <w:r>
        <w:rPr>
          <w:rFonts w:ascii="David" w:hAnsi="David"/>
          <w:i/>
        </w:rPr>
        <w:t>שמע קולנו</w:t>
      </w:r>
      <w:r>
        <w:rPr>
          <w:i/>
        </w:rPr>
        <w:t>”</w:t>
      </w:r>
      <w:r>
        <w:t>.</w:t>
      </w:r>
    </w:p>
    <w:p>
      <w:r>
        <w:t xml:space="preserve">The </w:t>
      </w:r>
      <w:r>
        <w:rPr>
          <w:i/>
        </w:rPr>
        <w:t>Tur</w:t>
      </w:r>
      <w:r>
        <w:t xml:space="preserve"> (</w:t>
      </w:r>
      <w:r>
        <w:rPr>
          <w:rFonts w:ascii="David" w:hAnsi="David"/>
        </w:rPr>
        <w:t>טור</w:t>
      </w:r>
      <w:r>
        <w:t>)</w:t>
      </w:r>
      <w:r>
        <w:rPr>
          <w:color w:val="B8860B"/>
          <w:sz w:val="16"/>
          <w:vertAlign w:val="superscript"/>
        </w:rPr>
        <w:t>[4]</w:t>
      </w:r>
      <w:r>
        <w:t xml:space="preserve"> enters into uncharacteristic detail on </w:t>
      </w:r>
      <w:r>
        <w:rPr>
          <w:i/>
        </w:rPr>
        <w:t>gematria</w:t>
      </w:r>
      <w:r>
        <w:t xml:space="preserve"> (</w:t>
      </w:r>
      <w:r>
        <w:rPr>
          <w:rFonts w:ascii="David" w:hAnsi="David"/>
        </w:rPr>
        <w:t>גימטריא</w:t>
      </w:r>
      <w:r>
        <w:t xml:space="preserve">) and the counting of letters in </w:t>
      </w:r>
      <w:r>
        <w:rPr>
          <w:i/>
        </w:rPr>
        <w:t>Shemoneh Esrei</w:t>
      </w:r>
      <w:r>
        <w:t xml:space="preserve">. The opening letters of the </w:t>
      </w:r>
      <w:r>
        <w:rPr>
          <w:i/>
        </w:rPr>
        <w:t>berachos</w:t>
      </w:r>
      <w:r>
        <w:t xml:space="preserve"> sum to </w:t>
      </w:r>
      <w:r>
        <w:rPr>
          <w:b/>
        </w:rPr>
        <w:t>1,800</w:t>
      </w:r>
      <w:r>
        <w:t xml:space="preserve">, corresponding to the 1,800 </w:t>
      </w:r>
      <w:r>
        <w:rPr>
          <w:i/>
        </w:rPr>
        <w:t>malachim</w:t>
      </w:r>
      <w:r>
        <w:t xml:space="preserve"> (</w:t>
      </w:r>
      <w:r>
        <w:rPr>
          <w:rFonts w:ascii="David" w:hAnsi="David"/>
        </w:rPr>
        <w:t>מלאכים</w:t>
      </w:r>
      <w:r>
        <w:t xml:space="preserve">) appointed to receive the </w:t>
      </w:r>
      <w:r>
        <w:rPr>
          <w:i/>
        </w:rPr>
        <w:t>tefillos</w:t>
      </w:r>
      <w:r>
        <w:t xml:space="preserve"> (</w:t>
      </w:r>
      <w:r>
        <w:rPr>
          <w:rFonts w:ascii="David" w:hAnsi="David"/>
        </w:rPr>
        <w:t>תפילות</w:t>
      </w:r>
      <w:r>
        <w:t xml:space="preserve">) of Israel; the </w:t>
      </w:r>
      <w:r>
        <w:rPr>
          <w:i/>
        </w:rPr>
        <w:t>Tur</w:t>
      </w:r>
      <w:r>
        <w:t xml:space="preserve"> cites the </w:t>
      </w:r>
      <w:r>
        <w:rPr>
          <w:i/>
        </w:rPr>
        <w:t>Midrash Dorshei Reshumos</w:t>
      </w:r>
      <w:r>
        <w:t xml:space="preserve"> (</w:t>
      </w:r>
      <w:r>
        <w:rPr>
          <w:rFonts w:ascii="David" w:hAnsi="David"/>
        </w:rPr>
        <w:t>מדרש דורשי רשומות</w:t>
      </w:r>
      <w:r>
        <w:t xml:space="preserve">) for this, and the Rav connects it with the </w:t>
      </w:r>
      <w:r>
        <w:rPr>
          <w:i/>
        </w:rPr>
        <w:t>Zohar HaKadosh</w:t>
      </w:r>
      <w:r>
        <w:t xml:space="preserve"> (</w:t>
      </w:r>
      <w:r>
        <w:rPr>
          <w:rFonts w:ascii="David" w:hAnsi="David"/>
        </w:rPr>
        <w:t>זוהר הקדוש</w:t>
      </w:r>
      <w:r>
        <w:t xml:space="preserve">). From the count the conclusion is drawn that the </w:t>
      </w:r>
      <w:r>
        <w:rPr>
          <w:i/>
        </w:rPr>
        <w:t>berachah</w:t>
      </w:r>
      <w:r>
        <w:t xml:space="preserve"> must open with </w:t>
      </w:r>
      <w:r>
        <w:rPr>
          <w:i/>
        </w:rPr>
        <w:t>“</w:t>
      </w:r>
      <w:r>
        <w:rPr>
          <w:rFonts w:ascii="David" w:hAnsi="David"/>
          <w:i/>
        </w:rPr>
        <w:t>שמע</w:t>
      </w:r>
      <w:r>
        <w:rPr>
          <w:i/>
        </w:rPr>
        <w:t>”</w:t>
      </w:r>
      <w:r>
        <w:t xml:space="preserve"> and not with </w:t>
      </w:r>
      <w:r>
        <w:rPr>
          <w:i/>
        </w:rPr>
        <w:t>“</w:t>
      </w:r>
      <w:r>
        <w:rPr>
          <w:rFonts w:ascii="David" w:hAnsi="David"/>
          <w:i/>
        </w:rPr>
        <w:t>אב הרחמן</w:t>
      </w:r>
      <w:r>
        <w:rPr>
          <w:i/>
        </w:rPr>
        <w:t>”</w:t>
      </w:r>
      <w:r>
        <w:t xml:space="preserve">: the </w:t>
      </w:r>
      <w:r>
        <w:rPr>
          <w:i/>
        </w:rPr>
        <w:t>shin</w:t>
      </w:r>
      <w:r>
        <w:t xml:space="preserve"> (</w:t>
      </w:r>
      <w:r>
        <w:rPr>
          <w:rFonts w:ascii="David" w:hAnsi="David"/>
        </w:rPr>
        <w:t>ש׳</w:t>
      </w:r>
      <w:r>
        <w:t xml:space="preserve">), worth 300, is needed, not the </w:t>
      </w:r>
      <w:r>
        <w:rPr>
          <w:i/>
        </w:rPr>
        <w:t>aleph</w:t>
      </w:r>
      <w:r>
        <w:t xml:space="preserve"> (</w:t>
      </w:r>
      <w:r>
        <w:rPr>
          <w:rFonts w:ascii="David" w:hAnsi="David"/>
        </w:rPr>
        <w:t>א׳</w:t>
      </w:r>
      <w:r>
        <w:t>), worth 1, to reach the sum.</w:t>
      </w:r>
    </w:p>
    <w:p>
      <w:r>
        <w:t xml:space="preserve">The </w:t>
      </w:r>
      <w:r>
        <w:rPr>
          <w:i/>
        </w:rPr>
        <w:t>Arizal</w:t>
      </w:r>
      <w:r>
        <w:t xml:space="preserve"> (</w:t>
      </w:r>
      <w:r>
        <w:rPr>
          <w:rFonts w:ascii="David" w:hAnsi="David"/>
        </w:rPr>
        <w:t>אריז״ל</w:t>
      </w:r>
      <w:r>
        <w:t>)</w:t>
      </w:r>
      <w:r>
        <w:rPr>
          <w:color w:val="B8860B"/>
          <w:sz w:val="16"/>
          <w:vertAlign w:val="superscript"/>
        </w:rPr>
        <w:t>[5]</w:t>
      </w:r>
      <w:r>
        <w:t xml:space="preserve"> nevertheless has </w:t>
      </w:r>
      <w:r>
        <w:rPr>
          <w:i/>
        </w:rPr>
        <w:t>“</w:t>
      </w:r>
      <w:r>
        <w:rPr>
          <w:rFonts w:ascii="David" w:hAnsi="David"/>
          <w:i/>
        </w:rPr>
        <w:t>אב הרחמן שמע קולנו</w:t>
      </w:r>
      <w:r>
        <w:rPr>
          <w:i/>
        </w:rPr>
        <w:t>”</w:t>
      </w:r>
      <w:r>
        <w:t xml:space="preserve"> in his </w:t>
      </w:r>
      <w:r>
        <w:rPr>
          <w:i/>
        </w:rPr>
        <w:t>nusach</w:t>
      </w:r>
      <w:r>
        <w:t xml:space="preserve">, for he was not </w:t>
      </w:r>
      <w:r>
        <w:rPr>
          <w:i/>
        </w:rPr>
        <w:t>makpid</w:t>
      </w:r>
      <w:r>
        <w:t xml:space="preserve"> (</w:t>
      </w:r>
      <w:r>
        <w:rPr>
          <w:rFonts w:ascii="David" w:hAnsi="David"/>
        </w:rPr>
        <w:t>מקפיד</w:t>
      </w:r>
      <w:r>
        <w:t xml:space="preserve">) on the </w:t>
      </w:r>
      <w:r>
        <w:rPr>
          <w:i/>
        </w:rPr>
        <w:t>roshei teivos</w:t>
      </w:r>
      <w:r>
        <w:t xml:space="preserve"> (</w:t>
      </w:r>
      <w:r>
        <w:rPr>
          <w:rFonts w:ascii="David" w:hAnsi="David"/>
        </w:rPr>
        <w:t>ראשי תיבות</w:t>
      </w:r>
      <w:r>
        <w:t xml:space="preserve">). Certain </w:t>
      </w:r>
      <w:r>
        <w:rPr>
          <w:i/>
        </w:rPr>
        <w:t>nuschaos</w:t>
      </w:r>
      <w:r>
        <w:t xml:space="preserve"> (</w:t>
      </w:r>
      <w:r>
        <w:rPr>
          <w:rFonts w:ascii="David" w:hAnsi="David"/>
        </w:rPr>
        <w:t>נוסחאות</w:t>
      </w:r>
      <w:r>
        <w:t xml:space="preserve">) from various </w:t>
      </w:r>
      <w:r>
        <w:rPr>
          <w:i/>
        </w:rPr>
        <w:t>chassidic</w:t>
      </w:r>
      <w:r>
        <w:t xml:space="preserve"> (</w:t>
      </w:r>
      <w:r>
        <w:rPr>
          <w:rFonts w:ascii="David" w:hAnsi="David"/>
        </w:rPr>
        <w:t>חסידות</w:t>
      </w:r>
      <w:r>
        <w:t xml:space="preserve">) circles compromise by placing </w:t>
      </w:r>
      <w:r>
        <w:rPr>
          <w:i/>
        </w:rPr>
        <w:t>“</w:t>
      </w:r>
      <w:r>
        <w:rPr>
          <w:rFonts w:ascii="David" w:hAnsi="David"/>
          <w:i/>
        </w:rPr>
        <w:t>אב הרחמן</w:t>
      </w:r>
      <w:r>
        <w:rPr>
          <w:i/>
        </w:rPr>
        <w:t>”</w:t>
      </w:r>
      <w:r>
        <w:t xml:space="preserve"> in the middle of the </w:t>
      </w:r>
      <w:r>
        <w:rPr>
          <w:i/>
        </w:rPr>
        <w:t>berachah</w:t>
      </w:r>
      <w:r>
        <w:t xml:space="preserve">, preserving the opening </w:t>
      </w:r>
      <w:r>
        <w:rPr>
          <w:i/>
        </w:rPr>
        <w:t>shin</w:t>
      </w:r>
      <w:r>
        <w:t xml:space="preserve"> (</w:t>
      </w:r>
      <w:r>
        <w:rPr>
          <w:rFonts w:ascii="David" w:hAnsi="David"/>
        </w:rPr>
        <w:t>ש׳</w:t>
      </w:r>
      <w:r>
        <w:t>).</w:t>
      </w:r>
    </w:p>
    <w:p>
      <w:r>
        <w:rPr>
          <w:b/>
          <w:color w:val="1E3A8A"/>
          <w:sz w:val="26"/>
        </w:rPr>
        <w:t>IV. THE TWO KINDS OF HEARING — AGEMARAINTAANIS</w:t>
      </w:r>
    </w:p>
    <w:p>
      <w:pPr>
        <w:pBdr>
          <w:bottom w:val="single" w:sz="6" w:space="1" w:color="B8860B"/>
        </w:pBdr>
      </w:pPr>
    </w:p>
    <w:p>
      <w:r>
        <w:t xml:space="preserve">The whole of </w:t>
      </w:r>
      <w:r>
        <w:rPr>
          <w:i/>
        </w:rPr>
        <w:t>Maseches Taanis</w:t>
      </w:r>
      <w:r>
        <w:t xml:space="preserve"> (</w:t>
      </w:r>
      <w:r>
        <w:rPr>
          <w:rFonts w:ascii="David" w:hAnsi="David"/>
        </w:rPr>
        <w:t>מסכת תענית</w:t>
      </w:r>
      <w:r>
        <w:t xml:space="preserve">) turns on the fasts that were decreed when rain was needed. In it the </w:t>
      </w:r>
      <w:r>
        <w:rPr>
          <w:i/>
        </w:rPr>
        <w:t>Gemara</w:t>
      </w:r>
      <w:r>
        <w:t xml:space="preserve"> (</w:t>
      </w:r>
      <w:r>
        <w:rPr>
          <w:rFonts w:ascii="David" w:hAnsi="David"/>
        </w:rPr>
        <w:t>גמרא</w:t>
      </w:r>
      <w:r>
        <w:t>) (</w:t>
      </w:r>
      <w:r>
        <w:rPr>
          <w:i/>
        </w:rPr>
        <w:t>Taanis</w:t>
      </w:r>
      <w:r>
        <w:t xml:space="preserve"> 25b)</w:t>
      </w:r>
      <w:r>
        <w:rPr>
          <w:color w:val="B8860B"/>
          <w:sz w:val="16"/>
          <w:vertAlign w:val="superscript"/>
        </w:rPr>
        <w:t>[6]</w:t>
      </w:r>
      <w:r>
        <w:t xml:space="preserve"> tells two accounts of </w:t>
      </w:r>
      <w:r>
        <w:rPr>
          <w:b/>
          <w:i/>
        </w:rPr>
        <w:t>Shmuel HaKatan</w:t>
      </w:r>
      <w:r>
        <w:rPr>
          <w:b/>
        </w:rPr>
        <w:t xml:space="preserve"> (</w:t>
      </w:r>
      <w:r>
        <w:rPr>
          <w:rFonts w:ascii="David" w:hAnsi="David"/>
          <w:b/>
        </w:rPr>
        <w:t>שמואל הקטן</w:t>
      </w:r>
      <w:r>
        <w:rPr>
          <w:b/>
        </w:rPr>
        <w:t>)</w:t>
      </w:r>
      <w:r>
        <w:t xml:space="preserve"> — the same </w:t>
      </w:r>
      <w:r>
        <w:rPr>
          <w:i/>
        </w:rPr>
        <w:t>tanna</w:t>
      </w:r>
      <w:r>
        <w:t xml:space="preserve"> (</w:t>
      </w:r>
      <w:r>
        <w:rPr>
          <w:rFonts w:ascii="David" w:hAnsi="David"/>
        </w:rPr>
        <w:t>תנא</w:t>
      </w:r>
      <w:r>
        <w:t xml:space="preserve">) who composed </w:t>
      </w:r>
      <w:r>
        <w:rPr>
          <w:i/>
        </w:rPr>
        <w:t>Birkas HaMinim</w:t>
      </w:r>
      <w:r>
        <w:t xml:space="preserve"> (</w:t>
      </w:r>
      <w:r>
        <w:rPr>
          <w:rFonts w:ascii="David" w:hAnsi="David"/>
        </w:rPr>
        <w:t>ברכת המינים</w:t>
      </w:r>
      <w:r>
        <w:t xml:space="preserve">) — that complicate the plain reading of </w:t>
      </w:r>
      <w:r>
        <w:rPr>
          <w:i/>
        </w:rPr>
        <w:t>“</w:t>
      </w:r>
      <w:r>
        <w:rPr>
          <w:rFonts w:ascii="David" w:hAnsi="David"/>
          <w:i/>
        </w:rPr>
        <w:t>שמע</w:t>
      </w:r>
      <w:r>
        <w:rPr>
          <w:i/>
        </w:rPr>
        <w:t>”</w:t>
      </w:r>
      <w:r>
        <w:t>.</w:t>
      </w:r>
    </w:p>
    <w:p>
      <w:r>
        <w:rPr>
          <w:i/>
          <w:color w:val="B8860B"/>
          <w:sz w:val="24"/>
        </w:rPr>
        <w:t>The First Year</w:t>
      </w:r>
    </w:p>
    <w:p>
      <w:r>
        <w:t xml:space="preserve">There was a drought, and </w:t>
      </w:r>
      <w:r>
        <w:rPr>
          <w:i/>
        </w:rPr>
        <w:t>Shmuel HaKatan</w:t>
      </w:r>
      <w:r>
        <w:t xml:space="preserve"> decreed a </w:t>
      </w:r>
      <w:r>
        <w:rPr>
          <w:i/>
        </w:rPr>
        <w:t>taanis tzibbur</w:t>
      </w:r>
      <w:r>
        <w:t xml:space="preserve"> (</w:t>
      </w:r>
      <w:r>
        <w:rPr>
          <w:rFonts w:ascii="David" w:hAnsi="David"/>
        </w:rPr>
        <w:t>תענית ציבור</w:t>
      </w:r>
      <w:r>
        <w:t xml:space="preserve">). On the very morning the fast was to begin — before the people had prayed, before the fast had started — the rain began to pour. The community rejoiced and came to him: </w:t>
      </w:r>
      <w:r>
        <w:rPr>
          <w:i/>
        </w:rPr>
        <w:t>“Even before we fasted, even before we prayed, Hashem has sent us so much rain. He loves us. It is to the praise of the congregation.”</w:t>
      </w:r>
    </w:p>
    <w:p>
      <w:r>
        <w:rPr>
          <w:i/>
        </w:rPr>
        <w:t>Shmuel HaKatan</w:t>
      </w:r>
      <w:r>
        <w:t xml:space="preserve"> replied: </w:t>
      </w:r>
      <w:r>
        <w:rPr>
          <w:i/>
        </w:rPr>
        <w:t xml:space="preserve">“No. </w:t>
      </w:r>
      <w:r>
        <w:rPr>
          <w:rFonts w:ascii="David" w:hAnsi="David"/>
          <w:i/>
        </w:rPr>
        <w:t>משל למה הדבר דומה</w:t>
      </w:r>
      <w:r>
        <w:rPr>
          <w:i/>
        </w:rPr>
        <w:t xml:space="preserve"> — to a servant who keeps coming to his master’s door, asking and asking. The master cannot bear the sight of him, and says to a friend: Give him whatever he wants; I do not wish him knocking at my door any longer.”</w:t>
      </w:r>
    </w:p>
    <w:p>
      <w:r>
        <w:t xml:space="preserve">There are times when Hashem gives and gives — </w:t>
      </w:r>
      <w:r>
        <w:rPr>
          <w:i/>
        </w:rPr>
        <w:t>“only do not trouble Me.”</w:t>
      </w:r>
      <w:r>
        <w:t xml:space="preserve"> It is a frightening thought.</w:t>
      </w:r>
    </w:p>
    <w:p>
      <w:r>
        <w:rPr>
          <w:i/>
          <w:color w:val="B8860B"/>
          <w:sz w:val="24"/>
        </w:rPr>
        <w:t>The Second Year</w:t>
      </w:r>
    </w:p>
    <w:p>
      <w:r>
        <w:t xml:space="preserve">Another drought; another fast. They prayed the entire day. Just after </w:t>
      </w:r>
      <w:r>
        <w:rPr>
          <w:i/>
        </w:rPr>
        <w:t>shkiah</w:t>
      </w:r>
      <w:r>
        <w:t xml:space="preserve"> (</w:t>
      </w:r>
      <w:r>
        <w:rPr>
          <w:rFonts w:ascii="David" w:hAnsi="David"/>
        </w:rPr>
        <w:t>שקיעת החמה</w:t>
      </w:r>
      <w:r>
        <w:t xml:space="preserve">), as the congregation was leaving the </w:t>
      </w:r>
      <w:r>
        <w:rPr>
          <w:i/>
        </w:rPr>
        <w:t>beis knesses</w:t>
      </w:r>
      <w:r>
        <w:t xml:space="preserve"> (</w:t>
      </w:r>
      <w:r>
        <w:rPr>
          <w:rFonts w:ascii="David" w:hAnsi="David"/>
        </w:rPr>
        <w:t>בית כנסת</w:t>
      </w:r>
      <w:r>
        <w:t xml:space="preserve">) to break the fast, the rain began to fall. They came to </w:t>
      </w:r>
      <w:r>
        <w:rPr>
          <w:i/>
        </w:rPr>
        <w:t>Shmuel HaKatan</w:t>
      </w:r>
      <w:r>
        <w:t xml:space="preserve">: </w:t>
      </w:r>
      <w:r>
        <w:rPr>
          <w:i/>
        </w:rPr>
        <w:t>“This year you cannot say anything negative. We prayed, He listened, and we have rain.”</w:t>
      </w:r>
    </w:p>
    <w:p>
      <w:r>
        <w:t xml:space="preserve">He answered: </w:t>
      </w:r>
      <w:r>
        <w:rPr>
          <w:i/>
        </w:rPr>
        <w:t xml:space="preserve">“Not necessarily. </w:t>
      </w:r>
      <w:r>
        <w:rPr>
          <w:rFonts w:ascii="David" w:hAnsi="David"/>
          <w:i/>
        </w:rPr>
        <w:t>משל למה הדבר דומה</w:t>
      </w:r>
      <w:r>
        <w:rPr>
          <w:i/>
        </w:rPr>
        <w:t xml:space="preserve"> — to a servant who comes to his master begging. The master, displeased with him, says to a friend: Let him beg until he is exhausted; then I will give him what he wants.”</w:t>
      </w:r>
    </w:p>
    <w:p>
      <w:r>
        <w:t xml:space="preserve">The </w:t>
      </w:r>
      <w:r>
        <w:rPr>
          <w:i/>
        </w:rPr>
        <w:t>mashal</w:t>
      </w:r>
      <w:r>
        <w:t xml:space="preserve"> (</w:t>
      </w:r>
      <w:r>
        <w:rPr>
          <w:rFonts w:ascii="David" w:hAnsi="David"/>
        </w:rPr>
        <w:t>משל</w:t>
      </w:r>
      <w:r>
        <w:t xml:space="preserve">) teaches that Hashem sometimes wishes the petitioner to plead until he is spent, and only then to grant. Both accounts — the rain before the fast and the rain at sundown — are forms of hearing, but neither is the </w:t>
      </w:r>
      <w:r>
        <w:rPr>
          <w:i/>
        </w:rPr>
        <w:t>shema</w:t>
      </w:r>
      <w:r>
        <w:t xml:space="preserve"> (</w:t>
      </w:r>
      <w:r>
        <w:rPr>
          <w:rFonts w:ascii="David" w:hAnsi="David"/>
        </w:rPr>
        <w:t>שמע</w:t>
      </w:r>
      <w:r>
        <w:t>) that is sought.</w:t>
      </w:r>
    </w:p>
    <w:p>
      <w:r>
        <w:rPr>
          <w:i/>
          <w:color w:val="B8860B"/>
          <w:sz w:val="24"/>
        </w:rPr>
        <w:t>What Would Have Been the Praise of the Congregation</w:t>
      </w:r>
    </w:p>
    <w:p>
      <w:r>
        <w:t xml:space="preserve">The </w:t>
      </w:r>
      <w:r>
        <w:rPr>
          <w:i/>
        </w:rPr>
        <w:t>Gemara</w:t>
      </w:r>
      <w:r>
        <w:t xml:space="preserve"> itself raises the obvious question: if neither was the praise of the congregation, what is? It answers: when the </w:t>
      </w:r>
      <w:r>
        <w:rPr>
          <w:i/>
        </w:rPr>
        <w:t>shaliach tzibbur</w:t>
      </w:r>
      <w:r>
        <w:t xml:space="preserve"> (</w:t>
      </w:r>
      <w:r>
        <w:rPr>
          <w:rFonts w:ascii="David" w:hAnsi="David"/>
        </w:rPr>
        <w:t>שליח ציבור</w:t>
      </w:r>
      <w:r>
        <w:t xml:space="preserve">) says </w:t>
      </w:r>
      <w:r>
        <w:rPr>
          <w:i/>
        </w:rPr>
        <w:t>“</w:t>
      </w:r>
      <w:r>
        <w:rPr>
          <w:rFonts w:ascii="David" w:hAnsi="David"/>
          <w:i/>
        </w:rPr>
        <w:t>משיב הרוח</w:t>
      </w:r>
      <w:r>
        <w:rPr>
          <w:i/>
        </w:rPr>
        <w:t>”</w:t>
      </w:r>
      <w:r>
        <w:t xml:space="preserve"> and the wind blows, and says </w:t>
      </w:r>
      <w:r>
        <w:rPr>
          <w:i/>
        </w:rPr>
        <w:t>“</w:t>
      </w:r>
      <w:r>
        <w:rPr>
          <w:rFonts w:ascii="David" w:hAnsi="David"/>
          <w:i/>
        </w:rPr>
        <w:t>מוריד הגשם</w:t>
      </w:r>
      <w:r>
        <w:rPr>
          <w:i/>
        </w:rPr>
        <w:t>”</w:t>
      </w:r>
      <w:r>
        <w:t xml:space="preserve"> and the rain falls — that is, rain that answers the prayer as it is being said. The distinction thus lies not in the rain but in the manner in which it is given.</w:t>
      </w:r>
    </w:p>
    <w:p>
      <w:r>
        <w:rPr>
          <w:b/>
          <w:color w:val="1E3A8A"/>
          <w:sz w:val="26"/>
        </w:rPr>
        <w:t>V. THE LESSON — A PLEASANTTEFILLAH</w:t>
      </w:r>
    </w:p>
    <w:p>
      <w:pPr>
        <w:pBdr>
          <w:bottom w:val="single" w:sz="6" w:space="1" w:color="B8860B"/>
        </w:pBdr>
      </w:pPr>
    </w:p>
    <w:p>
      <w:r>
        <w:t xml:space="preserve">This is what is requested in </w:t>
      </w:r>
      <w:r>
        <w:rPr>
          <w:i/>
        </w:rPr>
        <w:t>Shema Koleinu</w:t>
      </w:r>
      <w:r>
        <w:t xml:space="preserve">: not the cold </w:t>
      </w:r>
      <w:r>
        <w:rPr>
          <w:i/>
        </w:rPr>
        <w:t>“</w:t>
      </w:r>
      <w:r>
        <w:rPr>
          <w:rFonts w:ascii="David" w:hAnsi="David"/>
          <w:i/>
        </w:rPr>
        <w:t>שמע</w:t>
      </w:r>
      <w:r>
        <w:rPr>
          <w:i/>
        </w:rPr>
        <w:t>”</w:t>
      </w:r>
      <w:r>
        <w:t xml:space="preserve"> of the master who cannot bear the servant, nor the wearying </w:t>
      </w:r>
      <w:r>
        <w:rPr>
          <w:i/>
        </w:rPr>
        <w:t>“</w:t>
      </w:r>
      <w:r>
        <w:rPr>
          <w:rFonts w:ascii="David" w:hAnsi="David"/>
          <w:i/>
        </w:rPr>
        <w:t>שמע</w:t>
      </w:r>
      <w:r>
        <w:rPr>
          <w:i/>
        </w:rPr>
        <w:t>”</w:t>
      </w:r>
      <w:r>
        <w:t xml:space="preserve"> of the master who waits for exhaustion, but the warm </w:t>
      </w:r>
      <w:r>
        <w:rPr>
          <w:i/>
        </w:rPr>
        <w:t>“</w:t>
      </w:r>
      <w:r>
        <w:rPr>
          <w:rFonts w:ascii="David" w:hAnsi="David"/>
          <w:i/>
        </w:rPr>
        <w:t>שמע</w:t>
      </w:r>
      <w:r>
        <w:rPr>
          <w:i/>
        </w:rPr>
        <w:t>”</w:t>
      </w:r>
      <w:r>
        <w:t xml:space="preserve"> — that the </w:t>
      </w:r>
      <w:r>
        <w:rPr>
          <w:i/>
        </w:rPr>
        <w:t>tefillah</w:t>
      </w:r>
      <w:r>
        <w:t xml:space="preserve"> (</w:t>
      </w:r>
      <w:r>
        <w:rPr>
          <w:rFonts w:ascii="David" w:hAnsi="David"/>
        </w:rPr>
        <w:t>תפילה</w:t>
      </w:r>
      <w:r>
        <w:t xml:space="preserve">) be pleasant in the ears of </w:t>
      </w:r>
      <w:r>
        <w:rPr>
          <w:i/>
        </w:rPr>
        <w:t>HaKadosh Baruch Hu</w:t>
      </w:r>
      <w:r>
        <w:t>, and not a burden.</w:t>
      </w:r>
    </w:p>
    <w:p>
      <w:r>
        <w:t xml:space="preserve">When a person carries </w:t>
      </w:r>
      <w:r>
        <w:rPr>
          <w:i/>
        </w:rPr>
        <w:t>chataim</w:t>
      </w:r>
      <w:r>
        <w:t xml:space="preserve"> (</w:t>
      </w:r>
      <w:r>
        <w:rPr>
          <w:rFonts w:ascii="David" w:hAnsi="David"/>
        </w:rPr>
        <w:t>חטאים</w:t>
      </w:r>
      <w:r>
        <w:t xml:space="preserve">) and </w:t>
      </w:r>
      <w:r>
        <w:rPr>
          <w:i/>
        </w:rPr>
        <w:t>aveiros</w:t>
      </w:r>
      <w:r>
        <w:t xml:space="preserve"> (</w:t>
      </w:r>
      <w:r>
        <w:rPr>
          <w:rFonts w:ascii="David" w:hAnsi="David"/>
        </w:rPr>
        <w:t>עברות</w:t>
      </w:r>
      <w:r>
        <w:t xml:space="preserve">), his words have difficulty rising. The </w:t>
      </w:r>
      <w:r>
        <w:rPr>
          <w:i/>
        </w:rPr>
        <w:t>Baal Shem Tov</w:t>
      </w:r>
      <w:r>
        <w:t xml:space="preserve"> (</w:t>
      </w:r>
      <w:r>
        <w:rPr>
          <w:rFonts w:ascii="David" w:hAnsi="David"/>
        </w:rPr>
        <w:t>בעל שם טוב</w:t>
      </w:r>
      <w:r>
        <w:t>)</w:t>
      </w:r>
      <w:r>
        <w:rPr>
          <w:color w:val="B8860B"/>
          <w:sz w:val="16"/>
          <w:vertAlign w:val="superscript"/>
        </w:rPr>
        <w:t>[7]</w:t>
      </w:r>
      <w:r>
        <w:t xml:space="preserve"> is said to have entered a </w:t>
      </w:r>
      <w:r>
        <w:rPr>
          <w:i/>
        </w:rPr>
        <w:t>beis medrash</w:t>
      </w:r>
      <w:r>
        <w:t xml:space="preserve"> (</w:t>
      </w:r>
      <w:r>
        <w:rPr>
          <w:rFonts w:ascii="David" w:hAnsi="David"/>
        </w:rPr>
        <w:t>בית מדרש</w:t>
      </w:r>
      <w:r>
        <w:t xml:space="preserve">) and declared: </w:t>
      </w:r>
      <w:r>
        <w:rPr>
          <w:i/>
        </w:rPr>
        <w:t>“This shul is full of Torah and prayer.”</w:t>
      </w:r>
      <w:r>
        <w:t xml:space="preserve"> The </w:t>
      </w:r>
      <w:r>
        <w:rPr>
          <w:i/>
        </w:rPr>
        <w:t>chazanim</w:t>
      </w:r>
      <w:r>
        <w:t xml:space="preserve"> (</w:t>
      </w:r>
      <w:r>
        <w:rPr>
          <w:rFonts w:ascii="David" w:hAnsi="David"/>
        </w:rPr>
        <w:t>חזנים</w:t>
      </w:r>
      <w:r>
        <w:t xml:space="preserve">), the </w:t>
      </w:r>
      <w:r>
        <w:rPr>
          <w:i/>
        </w:rPr>
        <w:t>rav</w:t>
      </w:r>
      <w:r>
        <w:t xml:space="preserve"> (</w:t>
      </w:r>
      <w:r>
        <w:rPr>
          <w:rFonts w:ascii="David" w:hAnsi="David"/>
        </w:rPr>
        <w:t>רב</w:t>
      </w:r>
      <w:r>
        <w:t xml:space="preserve">) and the </w:t>
      </w:r>
      <w:r>
        <w:rPr>
          <w:i/>
        </w:rPr>
        <w:t>roshei hakahal</w:t>
      </w:r>
      <w:r>
        <w:t xml:space="preserve"> (</w:t>
      </w:r>
      <w:r>
        <w:rPr>
          <w:rFonts w:ascii="David" w:hAnsi="David"/>
        </w:rPr>
        <w:t>ראשי קהל</w:t>
      </w:r>
      <w:r>
        <w:t xml:space="preserve">) swelled with pride. The </w:t>
      </w:r>
      <w:r>
        <w:rPr>
          <w:i/>
        </w:rPr>
        <w:t>Baal Shem Tov</w:t>
      </w:r>
      <w:r>
        <w:t xml:space="preserve"> clarified: </w:t>
      </w:r>
      <w:r>
        <w:rPr>
          <w:i/>
        </w:rPr>
        <w:t xml:space="preserve">“That is not what I meant. Prayers and Torah are meant to ascend. If they are weighted with </w:t>
      </w:r>
      <w:r>
        <w:rPr>
          <w:i/>
        </w:rPr>
        <w:t>aveiros</w:t>
      </w:r>
      <w:r>
        <w:rPr>
          <w:i/>
        </w:rPr>
        <w:t xml:space="preserve"> and lack </w:t>
      </w:r>
      <w:r>
        <w:rPr>
          <w:i/>
        </w:rPr>
        <w:t>yiras shamayim</w:t>
      </w:r>
      <w:r>
        <w:rPr>
          <w:i/>
        </w:rPr>
        <w:t xml:space="preserve"> (</w:t>
      </w:r>
      <w:r>
        <w:rPr>
          <w:rFonts w:ascii="David" w:hAnsi="David"/>
          <w:i/>
        </w:rPr>
        <w:t>יראת שמים</w:t>
      </w:r>
      <w:r>
        <w:rPr>
          <w:i/>
        </w:rPr>
        <w:t xml:space="preserve">), they remain in the room. Perhaps one day someone will break through the ceiling and lift them all up. Your </w:t>
      </w:r>
      <w:r>
        <w:rPr>
          <w:i/>
        </w:rPr>
        <w:t>beis medrash</w:t>
      </w:r>
      <w:r>
        <w:rPr>
          <w:i/>
        </w:rPr>
        <w:t xml:space="preserve"> is full of Torah and prayer because the Torah and prayer never left.”</w:t>
      </w:r>
    </w:p>
    <w:p>
      <w:r>
        <w:t xml:space="preserve">The desired state is the opposite: a shul empty of </w:t>
      </w:r>
      <w:r>
        <w:rPr>
          <w:i/>
        </w:rPr>
        <w:t>tefillah</w:t>
      </w:r>
      <w:r>
        <w:t xml:space="preserve"> because the </w:t>
      </w:r>
      <w:r>
        <w:rPr>
          <w:i/>
        </w:rPr>
        <w:t>tefillah</w:t>
      </w:r>
      <w:r>
        <w:t xml:space="preserve"> has risen. </w:t>
      </w:r>
      <w:r>
        <w:rPr>
          <w:i/>
        </w:rPr>
        <w:t>“</w:t>
      </w:r>
      <w:r>
        <w:rPr>
          <w:rFonts w:ascii="David" w:hAnsi="David"/>
          <w:i/>
        </w:rPr>
        <w:t>שמע קולנו</w:t>
      </w:r>
      <w:r>
        <w:rPr>
          <w:i/>
        </w:rPr>
        <w:t>”</w:t>
      </w:r>
      <w:r>
        <w:t xml:space="preserve"> is the prayer for that very ascent.</w:t>
      </w:r>
    </w:p>
    <w:p>
      <w:r>
        <w:rPr>
          <w:b/>
          <w:color w:val="1E3A8A"/>
          <w:sz w:val="26"/>
        </w:rPr>
        <w:t>VI. PERSONAL REQUESTS INSHEMA KOLEINU</w:t>
      </w:r>
    </w:p>
    <w:p>
      <w:pPr>
        <w:pBdr>
          <w:bottom w:val="single" w:sz="6" w:space="1" w:color="B8860B"/>
        </w:pBdr>
      </w:pPr>
    </w:p>
    <w:p>
      <w:r>
        <w:rPr>
          <w:i/>
        </w:rPr>
        <w:t>Shema Koleinu</w:t>
      </w:r>
      <w:r>
        <w:t xml:space="preserve"> is the place in </w:t>
      </w:r>
      <w:r>
        <w:rPr>
          <w:i/>
        </w:rPr>
        <w:t>Shemoneh Esrei</w:t>
      </w:r>
      <w:r>
        <w:t xml:space="preserve"> for the broadest range of personal </w:t>
      </w:r>
      <w:r>
        <w:rPr>
          <w:i/>
        </w:rPr>
        <w:t>bakashos</w:t>
      </w:r>
      <w:r>
        <w:t xml:space="preserve"> (</w:t>
      </w:r>
      <w:r>
        <w:rPr>
          <w:rFonts w:ascii="David" w:hAnsi="David"/>
        </w:rPr>
        <w:t>בקשות</w:t>
      </w:r>
      <w:r>
        <w:t xml:space="preserve">). The </w:t>
      </w:r>
      <w:r>
        <w:rPr>
          <w:i/>
        </w:rPr>
        <w:t>Gemara</w:t>
      </w:r>
      <w:r>
        <w:t xml:space="preserve"> in </w:t>
      </w:r>
      <w:r>
        <w:rPr>
          <w:i/>
        </w:rPr>
        <w:t>Avodah Zarah</w:t>
      </w:r>
      <w:r>
        <w:t xml:space="preserve"> (</w:t>
      </w:r>
      <w:r>
        <w:rPr>
          <w:rFonts w:ascii="David" w:hAnsi="David"/>
        </w:rPr>
        <w:t>עבודה זרה</w:t>
      </w:r>
      <w:r>
        <w:t>) 8a</w:t>
      </w:r>
      <w:r>
        <w:rPr>
          <w:color w:val="B8860B"/>
          <w:sz w:val="16"/>
          <w:vertAlign w:val="superscript"/>
        </w:rPr>
        <w:t>[8]</w:t>
      </w:r>
      <w:r>
        <w:t xml:space="preserve"> permits a person to add specific needs in the </w:t>
      </w:r>
      <w:r>
        <w:rPr>
          <w:i/>
        </w:rPr>
        <w:t>berachah</w:t>
      </w:r>
      <w:r>
        <w:t xml:space="preserve"> whose theme they fit — </w:t>
      </w:r>
      <w:r>
        <w:rPr>
          <w:i/>
        </w:rPr>
        <w:t>refuah</w:t>
      </w:r>
      <w:r>
        <w:t xml:space="preserve"> (</w:t>
      </w:r>
      <w:r>
        <w:rPr>
          <w:rFonts w:ascii="David" w:hAnsi="David"/>
        </w:rPr>
        <w:t>רפואה</w:t>
      </w:r>
      <w:r>
        <w:t xml:space="preserve">) in </w:t>
      </w:r>
      <w:r>
        <w:rPr>
          <w:i/>
        </w:rPr>
        <w:t>Refaeinu</w:t>
      </w:r>
      <w:r>
        <w:t xml:space="preserve"> (</w:t>
      </w:r>
      <w:r>
        <w:rPr>
          <w:rFonts w:ascii="David" w:hAnsi="David"/>
        </w:rPr>
        <w:t>רפאנו</w:t>
      </w:r>
      <w:r>
        <w:t xml:space="preserve">), </w:t>
      </w:r>
      <w:r>
        <w:rPr>
          <w:i/>
        </w:rPr>
        <w:t>parnasah</w:t>
      </w:r>
      <w:r>
        <w:t xml:space="preserve"> (</w:t>
      </w:r>
      <w:r>
        <w:rPr>
          <w:rFonts w:ascii="David" w:hAnsi="David"/>
        </w:rPr>
        <w:t>פרנסה</w:t>
      </w:r>
      <w:r>
        <w:t xml:space="preserve">) in </w:t>
      </w:r>
      <w:r>
        <w:rPr>
          <w:i/>
        </w:rPr>
        <w:t>Birkas HaShanim</w:t>
      </w:r>
      <w:r>
        <w:t xml:space="preserve"> (</w:t>
      </w:r>
      <w:r>
        <w:rPr>
          <w:rFonts w:ascii="David" w:hAnsi="David"/>
        </w:rPr>
        <w:t>ברכת השנים</w:t>
      </w:r>
      <w:r>
        <w:t xml:space="preserve">) — a principle called </w:t>
      </w:r>
      <w:r>
        <w:rPr>
          <w:i/>
        </w:rPr>
        <w:t>me’ein haberachah</w:t>
      </w:r>
      <w:r>
        <w:t xml:space="preserve"> (</w:t>
      </w:r>
      <w:r>
        <w:rPr>
          <w:rFonts w:ascii="David" w:hAnsi="David"/>
        </w:rPr>
        <w:t>מעין הברכה</w:t>
      </w:r>
      <w:r>
        <w:t xml:space="preserve">). </w:t>
      </w:r>
      <w:r>
        <w:rPr>
          <w:i/>
        </w:rPr>
        <w:t>Shema Koleinu</w:t>
      </w:r>
      <w:r>
        <w:t xml:space="preserve"> is general: here anything may be asked.</w:t>
      </w:r>
    </w:p>
    <w:p>
      <w:r>
        <w:rPr>
          <w:i/>
          <w:color w:val="B8860B"/>
          <w:sz w:val="24"/>
        </w:rPr>
        <w:t>TheArizalonViduy</w:t>
      </w:r>
    </w:p>
    <w:p>
      <w:r>
        <w:t xml:space="preserve">The first addition that many </w:t>
      </w:r>
      <w:r>
        <w:rPr>
          <w:i/>
        </w:rPr>
        <w:t>siddurim</w:t>
      </w:r>
      <w:r>
        <w:t xml:space="preserve"> (</w:t>
      </w:r>
      <w:r>
        <w:rPr>
          <w:rFonts w:ascii="David" w:hAnsi="David"/>
        </w:rPr>
        <w:t>סידורים</w:t>
      </w:r>
      <w:r>
        <w:t xml:space="preserve">) place at </w:t>
      </w:r>
      <w:r>
        <w:rPr>
          <w:i/>
        </w:rPr>
        <w:t>Shema Koleinu</w:t>
      </w:r>
      <w:r>
        <w:t xml:space="preserve"> is a </w:t>
      </w:r>
      <w:r>
        <w:rPr>
          <w:i/>
        </w:rPr>
        <w:t>viduy</w:t>
      </w:r>
      <w:r>
        <w:t xml:space="preserve"> (</w:t>
      </w:r>
      <w:r>
        <w:rPr>
          <w:rFonts w:ascii="David" w:hAnsi="David"/>
        </w:rPr>
        <w:t>וידוי</w:t>
      </w:r>
      <w:r>
        <w:t xml:space="preserve">). The </w:t>
      </w:r>
      <w:r>
        <w:rPr>
          <w:i/>
        </w:rPr>
        <w:t>Arizal</w:t>
      </w:r>
      <w:r>
        <w:t xml:space="preserve"> (</w:t>
      </w:r>
      <w:r>
        <w:rPr>
          <w:rFonts w:ascii="David" w:hAnsi="David"/>
        </w:rPr>
        <w:t>אריז״ל</w:t>
      </w:r>
      <w:r>
        <w:t xml:space="preserve">) taught that one should add a </w:t>
      </w:r>
      <w:r>
        <w:rPr>
          <w:i/>
        </w:rPr>
        <w:t>viduy</w:t>
      </w:r>
      <w:r>
        <w:t xml:space="preserve"> over one’s sins; some say at every </w:t>
      </w:r>
      <w:r>
        <w:rPr>
          <w:i/>
        </w:rPr>
        <w:t>tefillah</w:t>
      </w:r>
      <w:r>
        <w:t xml:space="preserve">. His instruction is to specify the </w:t>
      </w:r>
      <w:r>
        <w:rPr>
          <w:i/>
        </w:rPr>
        <w:t>cheit</w:t>
      </w:r>
      <w:r>
        <w:t xml:space="preserve"> (</w:t>
      </w:r>
      <w:r>
        <w:rPr>
          <w:rFonts w:ascii="David" w:hAnsi="David"/>
        </w:rPr>
        <w:t>חטא</w:t>
      </w:r>
      <w:r>
        <w:t xml:space="preserve">) — not a generic confession but a particular one. The </w:t>
      </w:r>
      <w:r>
        <w:rPr>
          <w:i/>
        </w:rPr>
        <w:t>Arizal</w:t>
      </w:r>
      <w:r>
        <w:t xml:space="preserve"> draws this from the </w:t>
      </w:r>
      <w:r>
        <w:rPr>
          <w:i/>
        </w:rPr>
        <w:t>Zohar HaKadosh</w:t>
      </w:r>
      <w:r>
        <w:t xml:space="preserve"> (</w:t>
      </w:r>
      <w:r>
        <w:rPr>
          <w:rFonts w:ascii="David" w:hAnsi="David"/>
        </w:rPr>
        <w:t>זוהר הקדוש</w:t>
      </w:r>
      <w:r>
        <w:t>).</w:t>
      </w:r>
      <w:r>
        <w:rPr>
          <w:color w:val="B8860B"/>
          <w:sz w:val="16"/>
          <w:vertAlign w:val="superscript"/>
        </w:rPr>
        <w:t>[9]</w:t>
      </w:r>
    </w:p>
    <w:p>
      <w:r>
        <w:rPr>
          <w:i/>
          <w:color w:val="B8860B"/>
          <w:sz w:val="24"/>
        </w:rPr>
        <w:t>The Prayer forParnasah</w:t>
      </w:r>
    </w:p>
    <w:p>
      <w:r>
        <w:t xml:space="preserve">The next standard insertion is a prayer for </w:t>
      </w:r>
      <w:r>
        <w:rPr>
          <w:i/>
        </w:rPr>
        <w:t>parnasah</w:t>
      </w:r>
      <w:r>
        <w:t xml:space="preserve"> (</w:t>
      </w:r>
      <w:r>
        <w:rPr>
          <w:rFonts w:ascii="David" w:hAnsi="David"/>
        </w:rPr>
        <w:t>פרנסה</w:t>
      </w:r>
      <w:r>
        <w:t xml:space="preserve">). The </w:t>
      </w:r>
      <w:r>
        <w:rPr>
          <w:i/>
        </w:rPr>
        <w:t>Shulchan Aruch</w:t>
      </w:r>
      <w:r>
        <w:t xml:space="preserve"> (</w:t>
      </w:r>
      <w:r>
        <w:rPr>
          <w:rFonts w:ascii="David" w:hAnsi="David"/>
        </w:rPr>
        <w:t>שולחן ערוך</w:t>
      </w:r>
      <w:r>
        <w:t>)</w:t>
      </w:r>
      <w:r>
        <w:rPr>
          <w:color w:val="B8860B"/>
          <w:sz w:val="16"/>
          <w:vertAlign w:val="superscript"/>
        </w:rPr>
        <w:t>[10]</w:t>
      </w:r>
      <w:r>
        <w:t xml:space="preserve"> permits it, and many </w:t>
      </w:r>
      <w:r>
        <w:rPr>
          <w:i/>
        </w:rPr>
        <w:t>acharonim</w:t>
      </w:r>
      <w:r>
        <w:t xml:space="preserve"> (</w:t>
      </w:r>
      <w:r>
        <w:rPr>
          <w:rFonts w:ascii="David" w:hAnsi="David"/>
        </w:rPr>
        <w:t>אחרונים</w:t>
      </w:r>
      <w:r>
        <w:t>) say that it may be added daily.</w:t>
      </w:r>
    </w:p>
    <w:p>
      <w:r>
        <w:rPr>
          <w:i/>
          <w:color w:val="B8860B"/>
          <w:sz w:val="24"/>
        </w:rPr>
        <w:t>Two Terms:Be’araiandBekviyus</w:t>
      </w:r>
    </w:p>
    <w:p>
      <w:r>
        <w:t xml:space="preserve">The discussion that follows turns on a distinction. To add </w:t>
      </w:r>
      <w:r>
        <w:rPr>
          <w:i/>
        </w:rPr>
        <w:t>be’arai</w:t>
      </w:r>
      <w:r>
        <w:t xml:space="preserve"> (</w:t>
      </w:r>
      <w:r>
        <w:rPr>
          <w:rFonts w:ascii="David" w:hAnsi="David"/>
        </w:rPr>
        <w:t>בעראי</w:t>
      </w:r>
      <w:r>
        <w:t xml:space="preserve">) is to add occasionally, when the need arises — that day, that week, that month. To add </w:t>
      </w:r>
      <w:r>
        <w:rPr>
          <w:i/>
        </w:rPr>
        <w:t>bekviyus</w:t>
      </w:r>
      <w:r>
        <w:t xml:space="preserve"> (</w:t>
      </w:r>
      <w:r>
        <w:rPr>
          <w:rFonts w:ascii="David" w:hAnsi="David"/>
        </w:rPr>
        <w:t>בקביעות</w:t>
      </w:r>
      <w:r>
        <w:t xml:space="preserve">) is to make the addition a fixed part of the daily </w:t>
      </w:r>
      <w:r>
        <w:rPr>
          <w:i/>
        </w:rPr>
        <w:t>Shemoneh Esrei</w:t>
      </w:r>
      <w:r>
        <w:t>.</w:t>
      </w:r>
    </w:p>
    <w:p>
      <w:r>
        <w:rPr>
          <w:b/>
          <w:color w:val="1E3A8A"/>
          <w:sz w:val="26"/>
        </w:rPr>
        <w:t>VII. THETAZAND THEARUCH HASHULCHAN</w:t>
      </w:r>
    </w:p>
    <w:p>
      <w:pPr>
        <w:pBdr>
          <w:bottom w:val="single" w:sz="6" w:space="1" w:color="B8860B"/>
        </w:pBdr>
      </w:pPr>
    </w:p>
    <w:p>
      <w:r>
        <w:rPr>
          <w:i/>
          <w:color w:val="B8860B"/>
          <w:sz w:val="24"/>
        </w:rPr>
        <w:t>TheTaz’s Caution</w:t>
      </w:r>
    </w:p>
    <w:p>
      <w:r>
        <w:t xml:space="preserve">The </w:t>
      </w:r>
      <w:r>
        <w:rPr>
          <w:i/>
        </w:rPr>
        <w:t>Taz</w:t>
      </w:r>
      <w:r>
        <w:t xml:space="preserve"> (</w:t>
      </w:r>
      <w:r>
        <w:rPr>
          <w:rFonts w:ascii="David" w:hAnsi="David"/>
        </w:rPr>
        <w:t>ט״ז</w:t>
      </w:r>
      <w:r>
        <w:t>)</w:t>
      </w:r>
      <w:r>
        <w:rPr>
          <w:color w:val="B8860B"/>
          <w:sz w:val="16"/>
          <w:vertAlign w:val="superscript"/>
        </w:rPr>
        <w:t>[11]</w:t>
      </w:r>
      <w:r>
        <w:t xml:space="preserve"> is presented as protesting: </w:t>
      </w:r>
      <w:r>
        <w:rPr>
          <w:i/>
        </w:rPr>
        <w:t xml:space="preserve">“You are going to add something </w:t>
      </w:r>
      <w:r>
        <w:rPr>
          <w:i/>
        </w:rPr>
        <w:t>bekviyus</w:t>
      </w:r>
      <w:r>
        <w:rPr>
          <w:i/>
        </w:rPr>
        <w:t xml:space="preserve"> — to make it a permanent fixture of your daily </w:t>
      </w:r>
      <w:r>
        <w:rPr>
          <w:i/>
        </w:rPr>
        <w:t>Shemoneh Esrei</w:t>
      </w:r>
      <w:r>
        <w:rPr>
          <w:i/>
        </w:rPr>
        <w:t xml:space="preserve">? You are adding to what the </w:t>
      </w:r>
      <w:r>
        <w:rPr>
          <w:i/>
        </w:rPr>
        <w:t>Anshei Knesses HaGedolah</w:t>
      </w:r>
      <w:r>
        <w:rPr>
          <w:i/>
        </w:rPr>
        <w:t xml:space="preserve"> (</w:t>
      </w:r>
      <w:r>
        <w:rPr>
          <w:rFonts w:ascii="David" w:hAnsi="David"/>
          <w:i/>
        </w:rPr>
        <w:t>אנשי כנסת הגדולה</w:t>
      </w:r>
      <w:r>
        <w:rPr>
          <w:i/>
        </w:rPr>
        <w:t>) instituted? Who are you?”</w:t>
      </w:r>
      <w:r>
        <w:t xml:space="preserve"> The </w:t>
      </w:r>
      <w:r>
        <w:rPr>
          <w:i/>
        </w:rPr>
        <w:t>Gemara</w:t>
      </w:r>
      <w:r>
        <w:t xml:space="preserve"> in </w:t>
      </w:r>
      <w:r>
        <w:rPr>
          <w:i/>
        </w:rPr>
        <w:t>Avodah Zarah</w:t>
      </w:r>
      <w:r>
        <w:t xml:space="preserve"> permits adding </w:t>
      </w:r>
      <w:r>
        <w:rPr>
          <w:i/>
        </w:rPr>
        <w:t>be’arai</w:t>
      </w:r>
      <w:r>
        <w:t xml:space="preserve"> — when the need arises that day, that week, that month — and not </w:t>
      </w:r>
      <w:r>
        <w:rPr>
          <w:i/>
        </w:rPr>
        <w:t>bekviyus</w:t>
      </w:r>
      <w:r>
        <w:t>.</w:t>
      </w:r>
    </w:p>
    <w:p>
      <w:r>
        <w:t xml:space="preserve">The </w:t>
      </w:r>
      <w:r>
        <w:rPr>
          <w:i/>
        </w:rPr>
        <w:t>Mishnah Berurah</w:t>
      </w:r>
      <w:r>
        <w:t xml:space="preserve"> (</w:t>
      </w:r>
      <w:r>
        <w:rPr>
          <w:rFonts w:ascii="David" w:hAnsi="David"/>
        </w:rPr>
        <w:t>משנה ברורה</w:t>
      </w:r>
      <w:r>
        <w:t>)</w:t>
      </w:r>
      <w:r>
        <w:rPr>
          <w:color w:val="B8860B"/>
          <w:sz w:val="16"/>
          <w:vertAlign w:val="superscript"/>
        </w:rPr>
        <w:t>[12]</w:t>
      </w:r>
      <w:r>
        <w:t xml:space="preserve"> records the </w:t>
      </w:r>
      <w:r>
        <w:rPr>
          <w:i/>
        </w:rPr>
        <w:t>Taz</w:t>
      </w:r>
      <w:r>
        <w:t xml:space="preserve">’s position, and most </w:t>
      </w:r>
      <w:r>
        <w:rPr>
          <w:i/>
        </w:rPr>
        <w:t>acharonim</w:t>
      </w:r>
      <w:r>
        <w:t xml:space="preserve"> permit daily recitation. One who recites it daily does not follow the </w:t>
      </w:r>
      <w:r>
        <w:rPr>
          <w:i/>
        </w:rPr>
        <w:t>Taz</w:t>
      </w:r>
      <w:r>
        <w:t>, but Hashem certainly listens.</w:t>
      </w:r>
    </w:p>
    <w:p>
      <w:r>
        <w:rPr>
          <w:i/>
          <w:color w:val="B8860B"/>
          <w:sz w:val="24"/>
        </w:rPr>
        <w:t>TheAruch HaShulchan— Sharper Still</w:t>
      </w:r>
    </w:p>
    <w:p>
      <w:r>
        <w:t xml:space="preserve">The </w:t>
      </w:r>
      <w:r>
        <w:rPr>
          <w:b/>
          <w:i/>
        </w:rPr>
        <w:t>Aruch HaShulchan</w:t>
      </w:r>
      <w:r>
        <w:rPr>
          <w:b/>
        </w:rPr>
        <w:t xml:space="preserve"> (</w:t>
      </w:r>
      <w:r>
        <w:rPr>
          <w:rFonts w:ascii="David" w:hAnsi="David"/>
          <w:b/>
        </w:rPr>
        <w:t>ערוך השלחן</w:t>
      </w:r>
      <w:r>
        <w:rPr>
          <w:b/>
        </w:rPr>
        <w:t>)</w:t>
      </w:r>
      <w:r>
        <w:rPr>
          <w:color w:val="B8860B"/>
          <w:sz w:val="16"/>
          <w:vertAlign w:val="superscript"/>
        </w:rPr>
        <w:t>[13]</w:t>
      </w:r>
      <w:r>
        <w:t xml:space="preserve"> goes much further. The </w:t>
      </w:r>
      <w:r>
        <w:rPr>
          <w:i/>
        </w:rPr>
        <w:t>takanah</w:t>
      </w:r>
      <w:r>
        <w:t xml:space="preserve"> (</w:t>
      </w:r>
      <w:r>
        <w:rPr>
          <w:rFonts w:ascii="David" w:hAnsi="David"/>
        </w:rPr>
        <w:t>תקנה</w:t>
      </w:r>
      <w:r>
        <w:t xml:space="preserve">) of the </w:t>
      </w:r>
      <w:r>
        <w:rPr>
          <w:i/>
        </w:rPr>
        <w:t>Anshei Knesses HaGedolah</w:t>
      </w:r>
      <w:r>
        <w:t xml:space="preserve"> is </w:t>
      </w:r>
      <w:r>
        <w:rPr>
          <w:i/>
        </w:rPr>
        <w:t>kodesh kodashim</w:t>
      </w:r>
      <w:r>
        <w:t xml:space="preserve"> (</w:t>
      </w:r>
      <w:r>
        <w:rPr>
          <w:rFonts w:ascii="David" w:hAnsi="David"/>
        </w:rPr>
        <w:t>קודש קודשים</w:t>
      </w:r>
      <w:r>
        <w:t xml:space="preserve">); every word and every letter is holy; the permission to add applies only </w:t>
      </w:r>
      <w:r>
        <w:rPr>
          <w:i/>
        </w:rPr>
        <w:t>be’arai</w:t>
      </w:r>
      <w:r>
        <w:t xml:space="preserve">, never </w:t>
      </w:r>
      <w:r>
        <w:rPr>
          <w:i/>
        </w:rPr>
        <w:t>bekviyus</w:t>
      </w:r>
      <w:r>
        <w:t xml:space="preserve">. To add daily is </w:t>
      </w:r>
      <w:r>
        <w:rPr>
          <w:i/>
        </w:rPr>
        <w:t>chutzpah</w:t>
      </w:r>
      <w:r>
        <w:t xml:space="preserve"> (</w:t>
      </w:r>
      <w:r>
        <w:rPr>
          <w:rFonts w:ascii="David" w:hAnsi="David"/>
        </w:rPr>
        <w:t>חוצפה</w:t>
      </w:r>
      <w:r>
        <w:t>).</w:t>
      </w:r>
    </w:p>
    <w:p>
      <w:r>
        <w:t xml:space="preserve">These are strong words. The Rav observes that the </w:t>
      </w:r>
      <w:r>
        <w:rPr>
          <w:i/>
        </w:rPr>
        <w:t>Aruch HaShulchan</w:t>
      </w:r>
      <w:r>
        <w:t xml:space="preserve"> is said to be the opposite of the </w:t>
      </w:r>
      <w:r>
        <w:rPr>
          <w:i/>
        </w:rPr>
        <w:t>Shulchan Aruch</w:t>
      </w:r>
      <w:r>
        <w:t xml:space="preserve">: in many places he rules differently from most </w:t>
      </w:r>
      <w:r>
        <w:rPr>
          <w:i/>
        </w:rPr>
        <w:t>poskim</w:t>
      </w:r>
      <w:r>
        <w:t xml:space="preserve"> (</w:t>
      </w:r>
      <w:r>
        <w:rPr>
          <w:rFonts w:ascii="David" w:hAnsi="David"/>
        </w:rPr>
        <w:t>פוסקים</w:t>
      </w:r>
      <w:r>
        <w:t xml:space="preserve">). He was a great </w:t>
      </w:r>
      <w:r>
        <w:rPr>
          <w:i/>
        </w:rPr>
        <w:t>mechadesh</w:t>
      </w:r>
      <w:r>
        <w:t xml:space="preserve"> (</w:t>
      </w:r>
      <w:r>
        <w:rPr>
          <w:rFonts w:ascii="David" w:hAnsi="David"/>
        </w:rPr>
        <w:t>מחדש</w:t>
      </w:r>
      <w:r>
        <w:t xml:space="preserve">), and he is relied upon in many places, though most of </w:t>
      </w:r>
      <w:r>
        <w:rPr>
          <w:i/>
        </w:rPr>
        <w:t>Klal Yisrael</w:t>
      </w:r>
      <w:r>
        <w:t xml:space="preserve">, especially those who follow the </w:t>
      </w:r>
      <w:r>
        <w:rPr>
          <w:i/>
        </w:rPr>
        <w:t>Mishnah Berurah</w:t>
      </w:r>
      <w:r>
        <w:t xml:space="preserve">, accepted the </w:t>
      </w:r>
      <w:r>
        <w:rPr>
          <w:i/>
        </w:rPr>
        <w:t>Mishnah Berurah</w:t>
      </w:r>
      <w:r>
        <w:t xml:space="preserve"> more. Yet for clarity in any </w:t>
      </w:r>
      <w:r>
        <w:rPr>
          <w:i/>
        </w:rPr>
        <w:t>sugya</w:t>
      </w:r>
      <w:r>
        <w:t xml:space="preserve"> (</w:t>
      </w:r>
      <w:r>
        <w:rPr>
          <w:rFonts w:ascii="David" w:hAnsi="David"/>
        </w:rPr>
        <w:t>סוגיא</w:t>
      </w:r>
      <w:r>
        <w:t xml:space="preserve">), the </w:t>
      </w:r>
      <w:r>
        <w:rPr>
          <w:i/>
        </w:rPr>
        <w:t>Aruch HaShulchan</w:t>
      </w:r>
      <w:r>
        <w:t xml:space="preserve"> is the volume to open: </w:t>
      </w:r>
      <w:r>
        <w:rPr>
          <w:i/>
        </w:rPr>
        <w:t>“fantastic”</w:t>
      </w:r>
      <w:r>
        <w:t xml:space="preserve"> is the only word.</w:t>
      </w:r>
    </w:p>
    <w:p>
      <w:r>
        <w:t xml:space="preserve">No one holds this way </w:t>
      </w:r>
      <w:r>
        <w:rPr>
          <w:i/>
        </w:rPr>
        <w:t>lema’aseh</w:t>
      </w:r>
      <w:r>
        <w:t xml:space="preserve"> (</w:t>
      </w:r>
      <w:r>
        <w:rPr>
          <w:rFonts w:ascii="David" w:hAnsi="David"/>
        </w:rPr>
        <w:t>למעשה</w:t>
      </w:r>
      <w:r>
        <w:t xml:space="preserve">). It is to be understood that the permission of the </w:t>
      </w:r>
      <w:r>
        <w:rPr>
          <w:i/>
        </w:rPr>
        <w:t>Gemara</w:t>
      </w:r>
      <w:r>
        <w:t xml:space="preserve">, on this view, is a license to add a request, not a license to install one into the fixed text. Whoever says the </w:t>
      </w:r>
      <w:r>
        <w:rPr>
          <w:i/>
        </w:rPr>
        <w:t>viduy</w:t>
      </w:r>
      <w:r>
        <w:t xml:space="preserve"> daily should continue to do so, and should take no offense at the strength of the </w:t>
      </w:r>
      <w:r>
        <w:rPr>
          <w:i/>
        </w:rPr>
        <w:t>Aruch HaShulchan</w:t>
      </w:r>
      <w:r>
        <w:t xml:space="preserve">’s words, for many Jews do exactly this. The matter is related </w:t>
      </w:r>
      <w:r>
        <w:rPr>
          <w:i/>
        </w:rPr>
        <w:t>le’yedi’ah</w:t>
      </w:r>
      <w:r>
        <w:t xml:space="preserve"> (</w:t>
      </w:r>
      <w:r>
        <w:rPr>
          <w:rFonts w:ascii="David" w:hAnsi="David"/>
        </w:rPr>
        <w:t>לידיעה</w:t>
      </w:r>
      <w:r>
        <w:t>), for knowledge, not for practice.</w:t>
      </w:r>
    </w:p>
    <w:p>
      <w:r>
        <w:rPr>
          <w:b/>
          <w:color w:val="1E3A8A"/>
          <w:sz w:val="26"/>
        </w:rPr>
        <w:t>VIII. THEYAAVETZ— IN YOUR OWN WORDS</w:t>
      </w:r>
    </w:p>
    <w:p>
      <w:pPr>
        <w:pBdr>
          <w:bottom w:val="single" w:sz="6" w:space="1" w:color="B8860B"/>
        </w:pBdr>
      </w:pPr>
    </w:p>
    <w:p>
      <w:r>
        <w:t xml:space="preserve">The teaching of the </w:t>
      </w:r>
      <w:r>
        <w:rPr>
          <w:i/>
        </w:rPr>
        <w:t>Yaavetz</w:t>
      </w:r>
      <w:r>
        <w:t xml:space="preserve"> (</w:t>
      </w:r>
      <w:r>
        <w:rPr>
          <w:rFonts w:ascii="David" w:hAnsi="David"/>
        </w:rPr>
        <w:t>יעב״ץ</w:t>
      </w:r>
      <w:r>
        <w:t xml:space="preserve">), drawn from a </w:t>
      </w:r>
      <w:r>
        <w:rPr>
          <w:i/>
        </w:rPr>
        <w:t>derashah</w:t>
      </w:r>
      <w:r>
        <w:t xml:space="preserve"> (</w:t>
      </w:r>
      <w:r>
        <w:rPr>
          <w:rFonts w:ascii="David" w:hAnsi="David"/>
        </w:rPr>
        <w:t>דרשה</w:t>
      </w:r>
      <w:r>
        <w:t>) in Prague, must not be forgotten</w:t>
      </w:r>
      <w:r>
        <w:rPr>
          <w:color w:val="B8860B"/>
          <w:sz w:val="16"/>
          <w:vertAlign w:val="superscript"/>
        </w:rPr>
        <w:t>[14]</w:t>
      </w:r>
      <w:r>
        <w:t xml:space="preserve"> — pages upon pages of it; people in those generations had patience.</w:t>
      </w:r>
    </w:p>
    <w:p>
      <w:pPr>
        <w:ind w:left="432"/>
      </w:pPr>
      <w:r>
        <w:rPr>
          <w:i/>
        </w:rPr>
        <w:br/>
      </w:r>
      <w:r>
        <w:rPr>
          <w:i/>
        </w:rPr>
        <w:t xml:space="preserve">The </w:t>
      </w:r>
      <w:r>
        <w:rPr>
          <w:i/>
        </w:rPr>
        <w:t>Gemara</w:t>
      </w:r>
      <w:r>
        <w:rPr>
          <w:i/>
        </w:rPr>
        <w:t xml:space="preserve"> permits adding. Printed prayers for addition have been issued. </w:t>
      </w:r>
      <w:r>
        <w:rPr>
          <w:b/>
          <w:i/>
        </w:rPr>
        <w:t>Forget the printed prayers — add your own words.</w:t>
      </w:r>
      <w:r>
        <w:rPr>
          <w:i/>
        </w:rPr>
        <w:br/>
      </w:r>
    </w:p>
    <w:p>
      <w:r>
        <w:t xml:space="preserve">This is a </w:t>
      </w:r>
      <w:r>
        <w:rPr>
          <w:i/>
        </w:rPr>
        <w:t>chiddush</w:t>
      </w:r>
      <w:r>
        <w:t xml:space="preserve"> (</w:t>
      </w:r>
      <w:r>
        <w:rPr>
          <w:rFonts w:ascii="David" w:hAnsi="David"/>
        </w:rPr>
        <w:t>חידוש</w:t>
      </w:r>
      <w:r>
        <w:t xml:space="preserve">). </w:t>
      </w:r>
      <w:r>
        <w:rPr>
          <w:i/>
        </w:rPr>
        <w:t>Shema Koleinu</w:t>
      </w:r>
      <w:r>
        <w:t xml:space="preserve"> is general. If a person needs a </w:t>
      </w:r>
      <w:r>
        <w:rPr>
          <w:i/>
        </w:rPr>
        <w:t>shidduch</w:t>
      </w:r>
      <w:r>
        <w:t xml:space="preserve"> (</w:t>
      </w:r>
      <w:r>
        <w:rPr>
          <w:rFonts w:ascii="David" w:hAnsi="David"/>
        </w:rPr>
        <w:t>שידוך</w:t>
      </w:r>
      <w:r>
        <w:t xml:space="preserve">) for his child — three hundred and fifty years ago the </w:t>
      </w:r>
      <w:r>
        <w:rPr>
          <w:i/>
        </w:rPr>
        <w:t>Yaavetz</w:t>
      </w:r>
      <w:r>
        <w:t xml:space="preserve"> already speaks of the </w:t>
      </w:r>
      <w:r>
        <w:rPr>
          <w:i/>
        </w:rPr>
        <w:t>shidduch</w:t>
      </w:r>
      <w:r>
        <w:t xml:space="preserve"> crisis of </w:t>
      </w:r>
      <w:r>
        <w:rPr>
          <w:i/>
        </w:rPr>
        <w:t>his</w:t>
      </w:r>
      <w:r>
        <w:t xml:space="preserve"> generation: </w:t>
      </w:r>
      <w:r>
        <w:rPr>
          <w:i/>
        </w:rPr>
        <w:t xml:space="preserve">“we suffer greatly; we have great difficulty finding </w:t>
      </w:r>
      <w:r>
        <w:rPr>
          <w:i/>
        </w:rPr>
        <w:t>shidduchim</w:t>
      </w:r>
      <w:r>
        <w:rPr>
          <w:i/>
        </w:rPr>
        <w:t xml:space="preserve"> (</w:t>
      </w:r>
      <w:r>
        <w:rPr>
          <w:rFonts w:ascii="David" w:hAnsi="David"/>
          <w:i/>
        </w:rPr>
        <w:t>שידוכים</w:t>
      </w:r>
      <w:r>
        <w:rPr>
          <w:i/>
        </w:rPr>
        <w:t>) for our children or grandchildren”</w:t>
      </w:r>
      <w:r>
        <w:t xml:space="preserve"> — let him add the prayer in his own words, his own language, his own </w:t>
      </w:r>
      <w:r>
        <w:rPr>
          <w:i/>
        </w:rPr>
        <w:t>kavanah</w:t>
      </w:r>
      <w:r>
        <w:t>.</w:t>
      </w:r>
    </w:p>
    <w:p>
      <w:r>
        <w:t xml:space="preserve">If he needs </w:t>
      </w:r>
      <w:r>
        <w:rPr>
          <w:i/>
        </w:rPr>
        <w:t>parnasah</w:t>
      </w:r>
      <w:r>
        <w:t xml:space="preserve">, let him add his own words. The source of many of the printed prayers is not even known: one appears in </w:t>
      </w:r>
      <w:r>
        <w:rPr>
          <w:i/>
        </w:rPr>
        <w:t>Maseches Soferim</w:t>
      </w:r>
      <w:r>
        <w:t xml:space="preserve"> (</w:t>
      </w:r>
      <w:r>
        <w:rPr>
          <w:rFonts w:ascii="David" w:hAnsi="David"/>
        </w:rPr>
        <w:t>מסכת סופרים</w:t>
      </w:r>
      <w:r>
        <w:t xml:space="preserve">); another only in the </w:t>
      </w:r>
      <w:r>
        <w:rPr>
          <w:i/>
        </w:rPr>
        <w:t>Geonic</w:t>
      </w:r>
      <w:r>
        <w:t xml:space="preserve"> (</w:t>
      </w:r>
      <w:r>
        <w:rPr>
          <w:rFonts w:ascii="David" w:hAnsi="David"/>
        </w:rPr>
        <w:t>גאונים</w:t>
      </w:r>
      <w:r>
        <w:t xml:space="preserve">) period; who composed them is not known. Let him use his own language. </w:t>
      </w:r>
      <w:r>
        <w:rPr>
          <w:i/>
        </w:rPr>
        <w:t>“</w:t>
      </w:r>
      <w:r>
        <w:rPr>
          <w:rFonts w:ascii="David" w:hAnsi="David"/>
          <w:i/>
        </w:rPr>
        <w:t>ממעמקים קראתיך ה׳</w:t>
      </w:r>
      <w:r>
        <w:rPr>
          <w:i/>
        </w:rPr>
        <w:t>”</w:t>
      </w:r>
      <w:r>
        <w:t xml:space="preserve">: prayer from the depths of the heart is more powerful than what is printed. Yet the printed prayers are powerful too, for the </w:t>
      </w:r>
      <w:r>
        <w:rPr>
          <w:i/>
        </w:rPr>
        <w:t>Anshei Knesses HaGedolah</w:t>
      </w:r>
      <w:r>
        <w:t xml:space="preserve"> wove every </w:t>
      </w:r>
      <w:r>
        <w:rPr>
          <w:i/>
        </w:rPr>
        <w:t>kavanah</w:t>
      </w:r>
      <w:r>
        <w:t xml:space="preserve"> into them.</w:t>
      </w:r>
    </w:p>
    <w:p>
      <w:r>
        <w:t xml:space="preserve">The two positions are closer than they first appear. Both resist the normalization of someone else’s request as one’s own; they differ only in what is to stand in its place — for the </w:t>
      </w:r>
      <w:r>
        <w:rPr>
          <w:i/>
        </w:rPr>
        <w:t>Aruch HaShulchan</w:t>
      </w:r>
      <w:r>
        <w:t xml:space="preserve">, nothing fixed; for the </w:t>
      </w:r>
      <w:r>
        <w:rPr>
          <w:i/>
        </w:rPr>
        <w:t>Yaavetz</w:t>
      </w:r>
      <w:r>
        <w:t>, one’s own words.</w:t>
      </w:r>
    </w:p>
    <w:p>
      <w:r>
        <w:rPr>
          <w:i/>
          <w:color w:val="B8860B"/>
          <w:sz w:val="24"/>
        </w:rPr>
        <w:t>Stop and Speak From the Heart</w:t>
      </w:r>
    </w:p>
    <w:p>
      <w:r>
        <w:t xml:space="preserve">At </w:t>
      </w:r>
      <w:r>
        <w:rPr>
          <w:i/>
        </w:rPr>
        <w:t>Shema Koleinu</w:t>
      </w:r>
      <w:r>
        <w:t xml:space="preserve"> one stops and says: </w:t>
      </w:r>
      <w:r>
        <w:rPr>
          <w:i/>
        </w:rPr>
        <w:t>“</w:t>
      </w:r>
      <w:r>
        <w:rPr>
          <w:rFonts w:ascii="David" w:hAnsi="David"/>
          <w:i/>
        </w:rPr>
        <w:t>רבונו של עולם</w:t>
      </w:r>
      <w:r>
        <w:rPr>
          <w:i/>
        </w:rPr>
        <w:t xml:space="preserve"> — I need </w:t>
      </w:r>
      <w:r>
        <w:rPr>
          <w:i/>
        </w:rPr>
        <w:t>parnasah</w:t>
      </w:r>
      <w:r>
        <w:rPr>
          <w:i/>
        </w:rPr>
        <w:t>; I need this business deal to come through today.”</w:t>
      </w:r>
      <w:r>
        <w:t xml:space="preserve"> The </w:t>
      </w:r>
      <w:r>
        <w:rPr>
          <w:b/>
        </w:rPr>
        <w:t>Brisker Rav</w:t>
      </w:r>
      <w:r>
        <w:t xml:space="preserve"> (</w:t>
      </w:r>
      <w:r>
        <w:rPr>
          <w:rFonts w:ascii="David" w:hAnsi="David"/>
        </w:rPr>
        <w:t>הגרי״ז</w:t>
      </w:r>
      <w:r>
        <w:t>)</w:t>
      </w:r>
      <w:r>
        <w:rPr>
          <w:color w:val="B8860B"/>
          <w:sz w:val="16"/>
          <w:vertAlign w:val="superscript"/>
        </w:rPr>
        <w:t>[15]</w:t>
      </w:r>
      <w:r>
        <w:t xml:space="preserve"> is reported to have ruled that one with a major business meeting that day should do exactly this — one line. The </w:t>
      </w:r>
      <w:r>
        <w:rPr>
          <w:i/>
        </w:rPr>
        <w:t>Yaavetz</w:t>
      </w:r>
      <w:r>
        <w:t xml:space="preserve"> teaches that Hashem listens because it comes from the heart. If a person needs a </w:t>
      </w:r>
      <w:r>
        <w:rPr>
          <w:i/>
        </w:rPr>
        <w:t>shidduch</w:t>
      </w:r>
      <w:r>
        <w:t xml:space="preserve">, a </w:t>
      </w:r>
      <w:r>
        <w:rPr>
          <w:i/>
        </w:rPr>
        <w:t>refuah</w:t>
      </w:r>
      <w:r>
        <w:t xml:space="preserve"> (</w:t>
      </w:r>
      <w:r>
        <w:rPr>
          <w:rFonts w:ascii="David" w:hAnsi="David"/>
        </w:rPr>
        <w:t>רפואה</w:t>
      </w:r>
      <w:r>
        <w:t xml:space="preserve">), anything, he should say it briefly, not at length, just before the close of the </w:t>
      </w:r>
      <w:r>
        <w:rPr>
          <w:i/>
        </w:rPr>
        <w:t>berachah</w:t>
      </w:r>
      <w:r>
        <w:t xml:space="preserve">. The </w:t>
      </w:r>
      <w:r>
        <w:rPr>
          <w:i/>
        </w:rPr>
        <w:t>Chida</w:t>
      </w:r>
      <w:r>
        <w:t xml:space="preserve"> (</w:t>
      </w:r>
      <w:r>
        <w:rPr>
          <w:rFonts w:ascii="David" w:hAnsi="David"/>
        </w:rPr>
        <w:t>חיד״א</w:t>
      </w:r>
      <w:r>
        <w:t>) says the same.</w:t>
      </w:r>
    </w:p>
    <w:p>
      <w:r>
        <w:rPr>
          <w:i/>
          <w:color w:val="B8860B"/>
          <w:sz w:val="24"/>
        </w:rPr>
        <w:t>One Caution — Do Not MissKedushah</w:t>
      </w:r>
    </w:p>
    <w:p>
      <w:r>
        <w:t xml:space="preserve">The </w:t>
      </w:r>
      <w:r>
        <w:rPr>
          <w:i/>
        </w:rPr>
        <w:t>Mishnah Berurah</w:t>
      </w:r>
      <w:r>
        <w:t xml:space="preserve">: if one’s </w:t>
      </w:r>
      <w:r>
        <w:rPr>
          <w:i/>
        </w:rPr>
        <w:t>Shemoneh Esrei</w:t>
      </w:r>
      <w:r>
        <w:t xml:space="preserve"> will run so long that the </w:t>
      </w:r>
      <w:r>
        <w:rPr>
          <w:i/>
        </w:rPr>
        <w:t>shaliach tzibbur</w:t>
      </w:r>
      <w:r>
        <w:t xml:space="preserve"> will already be in the </w:t>
      </w:r>
      <w:r>
        <w:rPr>
          <w:i/>
        </w:rPr>
        <w:t>chazaras hashatz</w:t>
      </w:r>
      <w:r>
        <w:t xml:space="preserve"> (</w:t>
      </w:r>
      <w:r>
        <w:rPr>
          <w:rFonts w:ascii="David" w:hAnsi="David"/>
        </w:rPr>
        <w:t>חזרת הש״ץ</w:t>
      </w:r>
      <w:r>
        <w:t xml:space="preserve">) and one will miss </w:t>
      </w:r>
      <w:r>
        <w:rPr>
          <w:i/>
        </w:rPr>
        <w:t>Kedushah</w:t>
      </w:r>
      <w:r>
        <w:t xml:space="preserve"> (</w:t>
      </w:r>
      <w:r>
        <w:rPr>
          <w:rFonts w:ascii="David" w:hAnsi="David"/>
        </w:rPr>
        <w:t>קדושה</w:t>
      </w:r>
      <w:r>
        <w:t xml:space="preserve">), he should </w:t>
      </w:r>
      <w:r>
        <w:rPr>
          <w:i/>
        </w:rPr>
        <w:t>not</w:t>
      </w:r>
      <w:r>
        <w:t xml:space="preserve"> add at length here; let him wait until after </w:t>
      </w:r>
      <w:r>
        <w:rPr>
          <w:i/>
        </w:rPr>
        <w:t>Shemoneh Esrei</w:t>
      </w:r>
      <w:r>
        <w:t xml:space="preserve">. </w:t>
      </w:r>
      <w:r>
        <w:rPr>
          <w:i/>
        </w:rPr>
        <w:t>Kedushah</w:t>
      </w:r>
      <w:r>
        <w:t xml:space="preserve"> is too important to lose, and the balance must always be kept.</w:t>
      </w:r>
    </w:p>
    <w:p>
      <w:r>
        <w:rPr>
          <w:b/>
          <w:color w:val="1E3A8A"/>
          <w:sz w:val="26"/>
        </w:rPr>
        <w:t>IX. THEZOHARON CONSTANT PRAYER —RAV YEIVA SAVA</w:t>
      </w:r>
    </w:p>
    <w:p>
      <w:pPr>
        <w:pBdr>
          <w:bottom w:val="single" w:sz="6" w:space="1" w:color="B8860B"/>
        </w:pBdr>
      </w:pPr>
    </w:p>
    <w:p>
      <w:r>
        <w:t xml:space="preserve">The </w:t>
      </w:r>
      <w:r>
        <w:rPr>
          <w:i/>
        </w:rPr>
        <w:t>Zohar HaKadosh</w:t>
      </w:r>
      <w:r>
        <w:t xml:space="preserve"> (</w:t>
      </w:r>
      <w:r>
        <w:rPr>
          <w:rFonts w:ascii="David" w:hAnsi="David"/>
        </w:rPr>
        <w:t>זוהר הקדוש</w:t>
      </w:r>
      <w:r>
        <w:t>)</w:t>
      </w:r>
      <w:r>
        <w:rPr>
          <w:color w:val="B8860B"/>
          <w:sz w:val="16"/>
          <w:vertAlign w:val="superscript"/>
        </w:rPr>
        <w:t>[16]</w:t>
      </w:r>
      <w:r>
        <w:t xml:space="preserve"> records a </w:t>
      </w:r>
      <w:r>
        <w:rPr>
          <w:i/>
        </w:rPr>
        <w:t>tanna</w:t>
      </w:r>
      <w:r>
        <w:t xml:space="preserve"> (</w:t>
      </w:r>
      <w:r>
        <w:rPr>
          <w:rFonts w:ascii="David" w:hAnsi="David"/>
        </w:rPr>
        <w:t>תנא</w:t>
      </w:r>
      <w:r>
        <w:t xml:space="preserve">) named </w:t>
      </w:r>
      <w:r>
        <w:rPr>
          <w:b/>
          <w:i/>
        </w:rPr>
        <w:t>Rav Yeiva Sava</w:t>
      </w:r>
      <w:r>
        <w:rPr>
          <w:b/>
        </w:rPr>
        <w:t xml:space="preserve"> (</w:t>
      </w:r>
      <w:r>
        <w:rPr>
          <w:rFonts w:ascii="David" w:hAnsi="David"/>
          <w:b/>
        </w:rPr>
        <w:t>רב ייבא סבא</w:t>
      </w:r>
      <w:r>
        <w:rPr>
          <w:b/>
        </w:rPr>
        <w:t>)</w:t>
      </w:r>
      <w:r>
        <w:t xml:space="preserve">. He never sat down to a meal — breakfast, lunch or dinner — without first pausing to pray: </w:t>
      </w:r>
      <w:r>
        <w:rPr>
          <w:i/>
        </w:rPr>
        <w:t>“Just as You have given me food for this meal, give me food for the next meal.”</w:t>
      </w:r>
      <w:r>
        <w:t xml:space="preserve"> He was a Jew who lived with Hashem in every moment, taking nothing for granted.</w:t>
      </w:r>
    </w:p>
    <w:p>
      <w:r>
        <w:t xml:space="preserve">The worshipper does not stop before every meal. But three times a day, in </w:t>
      </w:r>
      <w:r>
        <w:rPr>
          <w:i/>
        </w:rPr>
        <w:t>Shema Koleinu</w:t>
      </w:r>
      <w:r>
        <w:t xml:space="preserve">, he should add a prayer for </w:t>
      </w:r>
      <w:r>
        <w:rPr>
          <w:i/>
        </w:rPr>
        <w:t>parnasah</w:t>
      </w:r>
      <w:r>
        <w:t xml:space="preserve"> (</w:t>
      </w:r>
      <w:r>
        <w:rPr>
          <w:rFonts w:ascii="David" w:hAnsi="David"/>
        </w:rPr>
        <w:t>פרנסה</w:t>
      </w:r>
      <w:r>
        <w:t xml:space="preserve">), even if, </w:t>
      </w:r>
      <w:r>
        <w:rPr>
          <w:i/>
        </w:rPr>
        <w:t>baruch Hashem</w:t>
      </w:r>
      <w:r>
        <w:t xml:space="preserve"> (</w:t>
      </w:r>
      <w:r>
        <w:rPr>
          <w:rFonts w:ascii="David" w:hAnsi="David"/>
        </w:rPr>
        <w:t>ברוך השם</w:t>
      </w:r>
      <w:r>
        <w:t xml:space="preserve">), he is doing well — in his own words, as </w:t>
      </w:r>
      <w:r>
        <w:rPr>
          <w:i/>
        </w:rPr>
        <w:t>Rabbi Yonah Landsofer</w:t>
      </w:r>
      <w:r>
        <w:t xml:space="preserve"> (</w:t>
      </w:r>
      <w:r>
        <w:rPr>
          <w:rFonts w:ascii="David" w:hAnsi="David"/>
        </w:rPr>
        <w:t>רבי יונה לנדסופר</w:t>
      </w:r>
      <w:r>
        <w:t>) taught.</w:t>
      </w:r>
    </w:p>
    <w:p>
      <w:r>
        <w:rPr>
          <w:b/>
          <w:color w:val="1E3A8A"/>
          <w:sz w:val="26"/>
        </w:rPr>
        <w:t>X. THE WHOLE POINT OF STUDYINGTEFILLAH</w:t>
      </w:r>
    </w:p>
    <w:p>
      <w:pPr>
        <w:pBdr>
          <w:bottom w:val="single" w:sz="6" w:space="1" w:color="B8860B"/>
        </w:pBdr>
      </w:pPr>
    </w:p>
    <w:p>
      <w:r>
        <w:t xml:space="preserve">It is for this reason that every Sunday morning since </w:t>
      </w:r>
      <w:r>
        <w:rPr>
          <w:i/>
        </w:rPr>
        <w:t>Simchas Torah</w:t>
      </w:r>
      <w:r>
        <w:t xml:space="preserve"> (</w:t>
      </w:r>
      <w:r>
        <w:rPr>
          <w:rFonts w:ascii="David" w:hAnsi="David"/>
        </w:rPr>
        <w:t>שמחת תורה</w:t>
      </w:r>
      <w:r>
        <w:t xml:space="preserve">) after </w:t>
      </w:r>
      <w:r>
        <w:rPr>
          <w:b/>
        </w:rPr>
        <w:t>October 7</w:t>
      </w:r>
      <w:r>
        <w:t xml:space="preserve"> has been given to the study of </w:t>
      </w:r>
      <w:r>
        <w:rPr>
          <w:i/>
        </w:rPr>
        <w:t>tefillah</w:t>
      </w:r>
      <w:r>
        <w:t xml:space="preserve"> (</w:t>
      </w:r>
      <w:r>
        <w:rPr>
          <w:rFonts w:ascii="David" w:hAnsi="David"/>
        </w:rPr>
        <w:t>תפילה</w:t>
      </w:r>
      <w:r>
        <w:t xml:space="preserve">). Something was needed on Sunday morning; the community agreed that </w:t>
      </w:r>
      <w:r>
        <w:rPr>
          <w:i/>
        </w:rPr>
        <w:t>tefillah</w:t>
      </w:r>
      <w:r>
        <w:t xml:space="preserve"> was what it needed to learn; and each </w:t>
      </w:r>
      <w:r>
        <w:rPr>
          <w:i/>
        </w:rPr>
        <w:t>berachah</w:t>
      </w:r>
      <w:r>
        <w:t xml:space="preserve"> of </w:t>
      </w:r>
      <w:r>
        <w:rPr>
          <w:i/>
        </w:rPr>
        <w:t>Shemoneh Esrei</w:t>
      </w:r>
      <w:r>
        <w:t xml:space="preserve"> has been taken in turn, in order to develop an appreciation of what is said every day.</w:t>
      </w:r>
    </w:p>
    <w:p>
      <w:r>
        <w:rPr>
          <w:i/>
        </w:rPr>
        <w:t>Tefillah</w:t>
      </w:r>
      <w:r>
        <w:t xml:space="preserve"> is a meeting with </w:t>
      </w:r>
      <w:r>
        <w:rPr>
          <w:i/>
        </w:rPr>
        <w:t>HaKadosh Baruch Hu</w:t>
      </w:r>
      <w:r>
        <w:t xml:space="preserve">. The essence of </w:t>
      </w:r>
      <w:r>
        <w:rPr>
          <w:i/>
        </w:rPr>
        <w:t>Shema Koleinu</w:t>
      </w:r>
      <w:r>
        <w:t xml:space="preserve"> is exactly this: </w:t>
      </w:r>
      <w:r>
        <w:rPr>
          <w:i/>
        </w:rPr>
        <w:t>tefillah</w:t>
      </w:r>
      <w:r>
        <w:t xml:space="preserve"> as </w:t>
      </w:r>
      <w:r>
        <w:rPr>
          <w:i/>
        </w:rPr>
        <w:t>chibbur</w:t>
      </w:r>
      <w:r>
        <w:t xml:space="preserve"> (</w:t>
      </w:r>
      <w:r>
        <w:rPr>
          <w:rFonts w:ascii="David" w:hAnsi="David"/>
        </w:rPr>
        <w:t>חיבור</w:t>
      </w:r>
      <w:r>
        <w:t xml:space="preserve">), connection. </w:t>
      </w:r>
      <w:r>
        <w:rPr>
          <w:i/>
        </w:rPr>
        <w:t>Naftali</w:t>
      </w:r>
      <w:r>
        <w:t xml:space="preserve"> (</w:t>
      </w:r>
      <w:r>
        <w:rPr>
          <w:rFonts w:ascii="David" w:hAnsi="David"/>
        </w:rPr>
        <w:t>נפתלי</w:t>
      </w:r>
      <w:r>
        <w:t xml:space="preserve">) is </w:t>
      </w:r>
      <w:r>
        <w:rPr>
          <w:i/>
        </w:rPr>
        <w:t>chibbur</w:t>
      </w:r>
      <w:r>
        <w:t xml:space="preserve">, says </w:t>
      </w:r>
      <w:r>
        <w:rPr>
          <w:i/>
        </w:rPr>
        <w:t>Rashi</w:t>
      </w:r>
      <w:r>
        <w:t xml:space="preserve"> (</w:t>
      </w:r>
      <w:r>
        <w:rPr>
          <w:rFonts w:ascii="David" w:hAnsi="David"/>
        </w:rPr>
        <w:t>רש״י</w:t>
      </w:r>
      <w:r>
        <w:t>):</w:t>
      </w:r>
      <w:r>
        <w:rPr>
          <w:color w:val="B8860B"/>
          <w:sz w:val="16"/>
          <w:vertAlign w:val="superscript"/>
        </w:rPr>
        <w:t>[17]</w:t>
      </w:r>
      <w:r>
        <w:t xml:space="preserve"> we connect. Man is the only species capable of intellectual communication with his Creator. Birds chirp; </w:t>
      </w:r>
      <w:r>
        <w:rPr>
          <w:i/>
        </w:rPr>
        <w:t>Perek Shirah</w:t>
      </w:r>
      <w:r>
        <w:t xml:space="preserve"> (</w:t>
      </w:r>
      <w:r>
        <w:rPr>
          <w:rFonts w:ascii="David" w:hAnsi="David"/>
        </w:rPr>
        <w:t>פרק שירה</w:t>
      </w:r>
      <w:r>
        <w:t xml:space="preserve">) is full of songs; the trees rustle — </w:t>
      </w:r>
      <w:r>
        <w:rPr>
          <w:i/>
        </w:rPr>
        <w:t>“</w:t>
      </w:r>
      <w:r>
        <w:rPr>
          <w:rFonts w:ascii="David" w:hAnsi="David"/>
          <w:i/>
        </w:rPr>
        <w:t>ירננו כל עצי היער</w:t>
      </w:r>
      <w:r>
        <w:rPr>
          <w:i/>
        </w:rPr>
        <w:t>”</w:t>
      </w:r>
      <w:r>
        <w:t xml:space="preserve">. Man </w:t>
      </w:r>
      <w:r>
        <w:rPr>
          <w:i/>
        </w:rPr>
        <w:t>speaks</w:t>
      </w:r>
      <w:r>
        <w:t>. He does not always hear an answer; sometimes there is silence. But he speaks, and is certain that Hashem listens.</w:t>
      </w:r>
    </w:p>
    <w:p>
      <w:r>
        <w:rPr>
          <w:rFonts w:ascii="David" w:hAnsi="David"/>
          <w:b/>
          <w:color w:val="1E3A8A"/>
          <w:sz w:val="26"/>
        </w:rPr>
        <w:t>XI.“REIKAM AL TESHIVEINU”(ריקם אל תשיבנו)</w:t>
      </w:r>
    </w:p>
    <w:p>
      <w:pPr>
        <w:pBdr>
          <w:bottom w:val="single" w:sz="6" w:space="1" w:color="B8860B"/>
        </w:pBdr>
      </w:pPr>
    </w:p>
    <w:p>
      <w:r>
        <w:t xml:space="preserve">The Rav shares a personal </w:t>
      </w:r>
      <w:r>
        <w:rPr>
          <w:i/>
        </w:rPr>
        <w:t>kavanah</w:t>
      </w:r>
      <w:r>
        <w:t xml:space="preserve"> on an expression in this </w:t>
      </w:r>
      <w:r>
        <w:rPr>
          <w:i/>
        </w:rPr>
        <w:t>berachah</w:t>
      </w:r>
      <w:r>
        <w:t xml:space="preserve">, and sets it with an observation from the day before. A member of the congregation had told him that when he says </w:t>
      </w:r>
      <w:r>
        <w:rPr>
          <w:i/>
        </w:rPr>
        <w:t>“</w:t>
      </w:r>
      <w:r>
        <w:rPr>
          <w:rFonts w:ascii="David" w:hAnsi="David"/>
          <w:i/>
        </w:rPr>
        <w:t>טוב ה׳ לכל ורחמיו על כל מעשיו</w:t>
      </w:r>
      <w:r>
        <w:rPr>
          <w:i/>
        </w:rPr>
        <w:t>”</w:t>
      </w:r>
      <w:r>
        <w:t xml:space="preserve"> he has more </w:t>
      </w:r>
      <w:r>
        <w:rPr>
          <w:i/>
        </w:rPr>
        <w:t>kavanah</w:t>
      </w:r>
      <w:r>
        <w:t xml:space="preserve"> than in any other </w:t>
      </w:r>
      <w:r>
        <w:rPr>
          <w:i/>
        </w:rPr>
        <w:t>pasuk</w:t>
      </w:r>
      <w:r>
        <w:t xml:space="preserve"> (</w:t>
      </w:r>
      <w:r>
        <w:rPr>
          <w:rFonts w:ascii="David" w:hAnsi="David"/>
        </w:rPr>
        <w:t>פסוק</w:t>
      </w:r>
      <w:r>
        <w:t xml:space="preserve">) in all of </w:t>
      </w:r>
      <w:r>
        <w:rPr>
          <w:i/>
        </w:rPr>
        <w:t>tefillah</w:t>
      </w:r>
      <w:r>
        <w:t xml:space="preserve">. Everyone has his own </w:t>
      </w:r>
      <w:r>
        <w:rPr>
          <w:i/>
        </w:rPr>
        <w:t>pasuk</w:t>
      </w:r>
      <w:r>
        <w:t xml:space="preserve">; this one is the Rav’s own. There are no more beautiful words in </w:t>
      </w:r>
      <w:r>
        <w:rPr>
          <w:i/>
        </w:rPr>
        <w:t>tefillah</w:t>
      </w:r>
      <w:r>
        <w:t xml:space="preserve"> than </w:t>
      </w:r>
      <w:r>
        <w:rPr>
          <w:i/>
        </w:rPr>
        <w:t>“</w:t>
      </w:r>
      <w:r>
        <w:rPr>
          <w:rFonts w:ascii="David" w:hAnsi="David"/>
          <w:i/>
        </w:rPr>
        <w:t>כי א-ל שומע תפילות ותחנונים אתה, מלפניך מלכנו ריקם אל תשיבנו</w:t>
      </w:r>
      <w:r>
        <w:rPr>
          <w:i/>
        </w:rPr>
        <w:t>”</w:t>
      </w:r>
      <w:r>
        <w:t>.</w:t>
      </w:r>
    </w:p>
    <w:p>
      <w:r>
        <w:rPr>
          <w:rFonts w:ascii="David" w:hAnsi="David"/>
          <w:i/>
          <w:color w:val="B8860B"/>
          <w:sz w:val="24"/>
        </w:rPr>
        <w:t>The SimplePeshat(פשט)</w:t>
      </w:r>
    </w:p>
    <w:p>
      <w:r>
        <w:rPr>
          <w:i/>
        </w:rPr>
        <w:t>“</w:t>
      </w:r>
      <w:r>
        <w:rPr>
          <w:rFonts w:ascii="David" w:hAnsi="David"/>
          <w:i/>
        </w:rPr>
        <w:t>מלפניך מלכנו ריקם אל תשיבנו</w:t>
      </w:r>
      <w:r>
        <w:rPr>
          <w:i/>
        </w:rPr>
        <w:t>”</w:t>
      </w:r>
      <w:r>
        <w:t xml:space="preserve">: </w:t>
      </w:r>
      <w:r>
        <w:rPr>
          <w:i/>
        </w:rPr>
        <w:t>Ribbono shel Olam</w:t>
      </w:r>
      <w:r>
        <w:t xml:space="preserve"> (</w:t>
      </w:r>
      <w:r>
        <w:rPr>
          <w:rFonts w:ascii="David" w:hAnsi="David"/>
        </w:rPr>
        <w:t>רבונו של עולם</w:t>
      </w:r>
      <w:r>
        <w:t xml:space="preserve">), I have asked for so much — from </w:t>
      </w:r>
      <w:r>
        <w:rPr>
          <w:i/>
        </w:rPr>
        <w:t>da’as</w:t>
      </w:r>
      <w:r>
        <w:t xml:space="preserve"> (</w:t>
      </w:r>
      <w:r>
        <w:rPr>
          <w:rFonts w:ascii="David" w:hAnsi="David"/>
        </w:rPr>
        <w:t>דעת</w:t>
      </w:r>
      <w:r>
        <w:t xml:space="preserve">) to </w:t>
      </w:r>
      <w:r>
        <w:rPr>
          <w:i/>
        </w:rPr>
        <w:t>refuah</w:t>
      </w:r>
      <w:r>
        <w:t xml:space="preserve">, from </w:t>
      </w:r>
      <w:r>
        <w:rPr>
          <w:i/>
        </w:rPr>
        <w:t>parnasah</w:t>
      </w:r>
      <w:r>
        <w:t xml:space="preserve"> to </w:t>
      </w:r>
      <w:r>
        <w:rPr>
          <w:i/>
        </w:rPr>
        <w:t>geulah</w:t>
      </w:r>
      <w:r>
        <w:t xml:space="preserve"> (</w:t>
      </w:r>
      <w:r>
        <w:rPr>
          <w:rFonts w:ascii="David" w:hAnsi="David"/>
        </w:rPr>
        <w:t>גאולה</w:t>
      </w:r>
      <w:r>
        <w:t xml:space="preserve">). Do not let me leave empty-handed. </w:t>
      </w:r>
      <w:r>
        <w:rPr>
          <w:i/>
        </w:rPr>
        <w:t>“Make a deal — give me a third, half, something.”</w:t>
      </w:r>
      <w:r>
        <w:t xml:space="preserve"> Whoever can shed a tear at these words, his </w:t>
      </w:r>
      <w:r>
        <w:rPr>
          <w:i/>
        </w:rPr>
        <w:t>tefillah</w:t>
      </w:r>
      <w:r>
        <w:t xml:space="preserve"> is being accepted.</w:t>
      </w:r>
    </w:p>
    <w:p>
      <w:r>
        <w:rPr>
          <w:i/>
          <w:color w:val="B8860B"/>
          <w:sz w:val="24"/>
        </w:rPr>
        <w:t>A Deeper Reading</w:t>
      </w:r>
    </w:p>
    <w:p>
      <w:r>
        <w:t xml:space="preserve">Several </w:t>
      </w:r>
      <w:r>
        <w:rPr>
          <w:i/>
        </w:rPr>
        <w:t>meforshim</w:t>
      </w:r>
      <w:r>
        <w:t xml:space="preserve"> (</w:t>
      </w:r>
      <w:r>
        <w:rPr>
          <w:rFonts w:ascii="David" w:hAnsi="David"/>
        </w:rPr>
        <w:t>מפרשים</w:t>
      </w:r>
      <w:r>
        <w:t xml:space="preserve">) read </w:t>
      </w:r>
      <w:r>
        <w:rPr>
          <w:i/>
        </w:rPr>
        <w:t>“</w:t>
      </w:r>
      <w:r>
        <w:rPr>
          <w:rFonts w:ascii="David" w:hAnsi="David"/>
          <w:i/>
        </w:rPr>
        <w:t>ריקם אל תשיבנו</w:t>
      </w:r>
      <w:r>
        <w:rPr>
          <w:i/>
        </w:rPr>
        <w:t>”</w:t>
      </w:r>
      <w:r>
        <w:t xml:space="preserve"> differently. Even if Hashem, for the petitioner’s own benefit, does not grant the request, at least the </w:t>
      </w:r>
      <w:r>
        <w:rPr>
          <w:i/>
        </w:rPr>
        <w:t>feeling</w:t>
      </w:r>
      <w:r>
        <w:t xml:space="preserve"> of having spent four minutes connected to Him should remain. Do not send me away empty in </w:t>
      </w:r>
      <w:r>
        <w:rPr>
          <w:i/>
        </w:rPr>
        <w:t>that</w:t>
      </w:r>
      <w:r>
        <w:t xml:space="preserve"> sense. A man takes three steps back, and within minutes he has lost the connection. The prayer is that he not feel empty: whether Hashem gives what was asked or not, let him leave still feeling connected.</w:t>
      </w:r>
    </w:p>
    <w:p>
      <w:r>
        <w:rPr>
          <w:b/>
          <w:color w:val="1E3A8A"/>
          <w:sz w:val="26"/>
        </w:rPr>
        <w:t>XII.RAV SCHWAB’S READING — A LOAF OF BLACK BREAD</w:t>
      </w:r>
    </w:p>
    <w:p>
      <w:pPr>
        <w:pBdr>
          <w:bottom w:val="single" w:sz="6" w:space="1" w:color="B8860B"/>
        </w:pBdr>
      </w:pPr>
    </w:p>
    <w:p>
      <w:r>
        <w:t xml:space="preserve">The Rav relates from </w:t>
      </w:r>
      <w:r>
        <w:rPr>
          <w:b/>
          <w:i/>
        </w:rPr>
        <w:t>Rav Shimshon Schwab</w:t>
      </w:r>
      <w:r>
        <w:rPr>
          <w:b/>
        </w:rPr>
        <w:t xml:space="preserve"> (</w:t>
      </w:r>
      <w:r>
        <w:rPr>
          <w:rFonts w:ascii="David" w:hAnsi="David"/>
          <w:b/>
        </w:rPr>
        <w:t>רב שמשון שוואב</w:t>
      </w:r>
      <w:r>
        <w:rPr>
          <w:b/>
        </w:rPr>
        <w:t>)</w:t>
      </w:r>
      <w:r>
        <w:t xml:space="preserve"> in </w:t>
      </w:r>
      <w:r>
        <w:rPr>
          <w:i/>
        </w:rPr>
        <w:t>Sefer Iyun Tefillah</w:t>
      </w:r>
      <w:r>
        <w:t xml:space="preserve"> (</w:t>
      </w:r>
      <w:r>
        <w:rPr>
          <w:rFonts w:ascii="David" w:hAnsi="David"/>
        </w:rPr>
        <w:t>עיון תפילה</w:t>
      </w:r>
      <w:r>
        <w:t>)</w:t>
      </w:r>
      <w:r>
        <w:rPr>
          <w:color w:val="B8860B"/>
          <w:sz w:val="16"/>
          <w:vertAlign w:val="superscript"/>
        </w:rPr>
        <w:t>[18]</w:t>
      </w:r>
      <w:r>
        <w:t xml:space="preserve"> a reading of unusual depth. </w:t>
      </w:r>
      <w:r>
        <w:rPr>
          <w:i/>
        </w:rPr>
        <w:t>Rav Schwab</w:t>
      </w:r>
      <w:r>
        <w:t xml:space="preserve"> writes that when he says </w:t>
      </w:r>
      <w:r>
        <w:rPr>
          <w:i/>
        </w:rPr>
        <w:t>“</w:t>
      </w:r>
      <w:r>
        <w:rPr>
          <w:rFonts w:ascii="David" w:hAnsi="David"/>
          <w:i/>
        </w:rPr>
        <w:t>ריקם אל תשיבנו</w:t>
      </w:r>
      <w:r>
        <w:rPr>
          <w:i/>
        </w:rPr>
        <w:t>”</w:t>
      </w:r>
      <w:r>
        <w:t>, this is what he has in mind.</w:t>
      </w:r>
    </w:p>
    <w:p>
      <w:r>
        <w:rPr>
          <w:i/>
          <w:color w:val="B8860B"/>
          <w:sz w:val="24"/>
        </w:rPr>
        <w:t>ThePasukinTehillim37:25</w:t>
      </w:r>
    </w:p>
    <w:p>
      <w:r>
        <w:rPr>
          <w:i/>
        </w:rPr>
        <w:t>David HaMelech</w:t>
      </w:r>
      <w:r>
        <w:t xml:space="preserve"> (</w:t>
      </w:r>
      <w:r>
        <w:rPr>
          <w:rFonts w:ascii="David" w:hAnsi="David"/>
        </w:rPr>
        <w:t>דוד המלך</w:t>
      </w:r>
      <w:r>
        <w:t>) says:</w:t>
      </w:r>
      <w:r>
        <w:rPr>
          <w:color w:val="B8860B"/>
          <w:sz w:val="16"/>
          <w:vertAlign w:val="superscript"/>
        </w:rPr>
        <w:t>[19]</w:t>
      </w:r>
      <w:r>
        <w:t xml:space="preserve"> </w:t>
      </w:r>
      <w:r>
        <w:rPr>
          <w:i/>
        </w:rPr>
        <w:t>“</w:t>
      </w:r>
      <w:r>
        <w:rPr>
          <w:rFonts w:ascii="David" w:hAnsi="David"/>
          <w:i/>
        </w:rPr>
        <w:t>נער הייתי גם זקנתי, ולא ראיתי צדיק נעזב וזרעו מבקש לחם</w:t>
      </w:r>
      <w:r>
        <w:rPr>
          <w:i/>
        </w:rPr>
        <w:t>”</w:t>
      </w:r>
      <w:r>
        <w:t xml:space="preserve"> — </w:t>
      </w:r>
      <w:r>
        <w:rPr>
          <w:i/>
        </w:rPr>
        <w:t xml:space="preserve">“I was young, I have aged, and I have never seen a </w:t>
      </w:r>
      <w:r>
        <w:rPr>
          <w:i/>
        </w:rPr>
        <w:t>tzaddik</w:t>
      </w:r>
      <w:r>
        <w:rPr>
          <w:i/>
        </w:rPr>
        <w:t xml:space="preserve"> abandoned, his children begging for bread.”</w:t>
      </w:r>
      <w:r>
        <w:t xml:space="preserve"> Surely there are </w:t>
      </w:r>
      <w:r>
        <w:rPr>
          <w:i/>
        </w:rPr>
        <w:t>tzaddikim</w:t>
      </w:r>
      <w:r>
        <w:t xml:space="preserve"> (</w:t>
      </w:r>
      <w:r>
        <w:rPr>
          <w:rFonts w:ascii="David" w:hAnsi="David"/>
        </w:rPr>
        <w:t>צדיקים</w:t>
      </w:r>
      <w:r>
        <w:t xml:space="preserve">) whose children beg for bread. How can </w:t>
      </w:r>
      <w:r>
        <w:rPr>
          <w:i/>
        </w:rPr>
        <w:t>David HaMelech</w:t>
      </w:r>
      <w:r>
        <w:t xml:space="preserve"> say this?</w:t>
      </w:r>
    </w:p>
    <w:p>
      <w:r>
        <w:t xml:space="preserve">The reading of </w:t>
      </w:r>
      <w:r>
        <w:rPr>
          <w:i/>
        </w:rPr>
        <w:t>Rav Schwab</w:t>
      </w:r>
      <w:r>
        <w:t xml:space="preserve">: </w:t>
      </w:r>
      <w:r>
        <w:rPr>
          <w:i/>
        </w:rPr>
        <w:t xml:space="preserve">I have never seen a </w:t>
      </w:r>
      <w:r>
        <w:rPr>
          <w:i/>
        </w:rPr>
        <w:t>tzaddik</w:t>
      </w:r>
      <w:r>
        <w:rPr>
          <w:i/>
        </w:rPr>
        <w:t xml:space="preserve"> who </w:t>
      </w:r>
      <w:r>
        <w:rPr>
          <w:b/>
          <w:i/>
        </w:rPr>
        <w:t>felt</w:t>
      </w:r>
      <w:r>
        <w:rPr>
          <w:i/>
        </w:rPr>
        <w:t xml:space="preserve"> abandoned</w:t>
      </w:r>
      <w:r>
        <w:t xml:space="preserve"> — never seen a </w:t>
      </w:r>
      <w:r>
        <w:rPr>
          <w:i/>
        </w:rPr>
        <w:t>tzaddik</w:t>
      </w:r>
      <w:r>
        <w:t xml:space="preserve"> whose children carried that abandonment within them. The </w:t>
      </w:r>
      <w:r>
        <w:rPr>
          <w:i/>
        </w:rPr>
        <w:t>tzaddik</w:t>
      </w:r>
      <w:r>
        <w:t xml:space="preserve"> remains connected to </w:t>
      </w:r>
      <w:r>
        <w:rPr>
          <w:i/>
        </w:rPr>
        <w:t>HaKadosh Baruch Hu</w:t>
      </w:r>
      <w:r>
        <w:t xml:space="preserve"> regardless of the bread on the table. This is a reading that moves the verse from a statement of what happens to a statement of what is felt; it is </w:t>
      </w:r>
      <w:r>
        <w:rPr>
          <w:i/>
        </w:rPr>
        <w:t>Rav Schwab</w:t>
      </w:r>
      <w:r>
        <w:t>’s reading, and the verse is commonly understood in a more literal sense.</w:t>
      </w:r>
    </w:p>
    <w:p>
      <w:r>
        <w:rPr>
          <w:i/>
        </w:rPr>
        <w:t>Rav Schwab</w:t>
      </w:r>
      <w:r>
        <w:t xml:space="preserve"> writes: </w:t>
      </w:r>
      <w:r>
        <w:rPr>
          <w:i/>
        </w:rPr>
        <w:t xml:space="preserve">“I am one hundred percent certain that my mother — the </w:t>
      </w:r>
      <w:r>
        <w:rPr>
          <w:i/>
        </w:rPr>
        <w:t>tzadekes</w:t>
      </w:r>
      <w:r>
        <w:rPr>
          <w:i/>
        </w:rPr>
        <w:t xml:space="preserve"> (</w:t>
      </w:r>
      <w:r>
        <w:rPr>
          <w:rFonts w:ascii="David" w:hAnsi="David"/>
          <w:i/>
        </w:rPr>
        <w:t>צדקת</w:t>
      </w:r>
      <w:r>
        <w:rPr>
          <w:i/>
        </w:rPr>
        <w:t>) — even at the moment the tear fell on the black bread, because she could not give her child another piece, did not feel abandoned by Hashem. She had to do what she had to do. This is the situation now. Hashem arranged it.”</w:t>
      </w:r>
    </w:p>
    <w:p>
      <w:r>
        <w:rPr>
          <w:i/>
          <w:color w:val="B8860B"/>
          <w:sz w:val="24"/>
        </w:rPr>
        <w:t>This Is“Reikam Al Teshiveinu”</w:t>
      </w:r>
    </w:p>
    <w:p>
      <w:r>
        <w:t xml:space="preserve">Even when the piece of bread does not arrive, </w:t>
      </w:r>
      <w:r>
        <w:rPr>
          <w:i/>
        </w:rPr>
        <w:t>Ribbono shel Olam</w:t>
      </w:r>
      <w:r>
        <w:t xml:space="preserve">, the worshipper wishes to remain connected; he wishes to feel that he has not been abandoned. </w:t>
      </w:r>
      <w:r>
        <w:rPr>
          <w:i/>
        </w:rPr>
        <w:t>That</w:t>
      </w:r>
      <w:r>
        <w:t xml:space="preserve"> is the deeper request, and a very high </w:t>
      </w:r>
      <w:r>
        <w:rPr>
          <w:i/>
        </w:rPr>
        <w:t>madreigah</w:t>
      </w:r>
      <w:r>
        <w:t xml:space="preserve"> (</w:t>
      </w:r>
      <w:r>
        <w:rPr>
          <w:rFonts w:ascii="David" w:hAnsi="David"/>
        </w:rPr>
        <w:t>מדרגה</w:t>
      </w:r>
      <w:r>
        <w:t xml:space="preserve">) if it can be held daily in </w:t>
      </w:r>
      <w:r>
        <w:rPr>
          <w:i/>
        </w:rPr>
        <w:t>tefillah</w:t>
      </w:r>
      <w:r>
        <w:t>.</w:t>
      </w:r>
    </w:p>
    <w:p>
      <w:r>
        <w:rPr>
          <w:b/>
          <w:color w:val="1E3A8A"/>
          <w:sz w:val="26"/>
        </w:rPr>
        <w:t>XIII. THE POWER OF TEARS</w:t>
      </w:r>
    </w:p>
    <w:p>
      <w:pPr>
        <w:pBdr>
          <w:bottom w:val="single" w:sz="6" w:space="1" w:color="B8860B"/>
        </w:pBdr>
      </w:pPr>
    </w:p>
    <w:p>
      <w:r>
        <w:t>There is nothing wrong with crying. It is forgotten how to cry on an ordinary weekday.</w:t>
      </w:r>
    </w:p>
    <w:p>
      <w:r>
        <w:t xml:space="preserve">What </w:t>
      </w:r>
      <w:r>
        <w:rPr>
          <w:i/>
        </w:rPr>
        <w:t>Rav Schwab</w:t>
      </w:r>
      <w:r>
        <w:t xml:space="preserve"> describes in the tear of his mother was lived in the Rav’s own generation in the tears of his father: the worshipper who stays connected whatever the circumstance.</w:t>
      </w:r>
    </w:p>
    <w:p>
      <w:r>
        <w:t xml:space="preserve">The theme of inheritance through </w:t>
      </w:r>
      <w:r>
        <w:rPr>
          <w:i/>
        </w:rPr>
        <w:t>tefillah</w:t>
      </w:r>
      <w:r>
        <w:t xml:space="preserve"> found a second expression at the close of the shiur. When the Rav took the </w:t>
      </w:r>
      <w:r>
        <w:rPr>
          <w:i/>
        </w:rPr>
        <w:t>siddur</w:t>
      </w:r>
      <w:r>
        <w:t xml:space="preserve"> of one of the participants in order to check whether these insertions appear at </w:t>
      </w:r>
      <w:r>
        <w:rPr>
          <w:i/>
        </w:rPr>
        <w:t>Minchah</w:t>
      </w:r>
      <w:r>
        <w:t xml:space="preserve">, he learned that it had been the participant’s father’s </w:t>
      </w:r>
      <w:r>
        <w:rPr>
          <w:i/>
        </w:rPr>
        <w:t>siddur</w:t>
      </w:r>
      <w:r>
        <w:t xml:space="preserve">, which the son had inherited and now davened from. The Rav stopped, visibly moved, and told him: </w:t>
      </w:r>
      <w:r>
        <w:rPr>
          <w:i/>
        </w:rPr>
        <w:t xml:space="preserve">“It is a very big </w:t>
      </w:r>
      <w:r>
        <w:rPr>
          <w:i/>
        </w:rPr>
        <w:t>zechus</w:t>
      </w:r>
      <w:r>
        <w:rPr>
          <w:i/>
        </w:rPr>
        <w:t xml:space="preserve"> (</w:t>
      </w:r>
      <w:r>
        <w:rPr>
          <w:rFonts w:ascii="David" w:hAnsi="David"/>
          <w:i/>
        </w:rPr>
        <w:t>זכות</w:t>
      </w:r>
      <w:r>
        <w:rPr>
          <w:i/>
        </w:rPr>
        <w:t xml:space="preserve">) to daven in the </w:t>
      </w:r>
      <w:r>
        <w:rPr>
          <w:i/>
        </w:rPr>
        <w:t>siddur</w:t>
      </w:r>
      <w:r>
        <w:rPr>
          <w:i/>
        </w:rPr>
        <w:t xml:space="preserve"> of your ancestors, of your father. It is a very, very </w:t>
      </w:r>
      <w:r>
        <w:rPr>
          <w:i/>
        </w:rPr>
        <w:t>choshuveh</w:t>
      </w:r>
      <w:r>
        <w:rPr>
          <w:i/>
        </w:rPr>
        <w:t xml:space="preserve"> (</w:t>
      </w:r>
      <w:r>
        <w:rPr>
          <w:rFonts w:ascii="David" w:hAnsi="David"/>
          <w:i/>
        </w:rPr>
        <w:t>חשובה</w:t>
      </w:r>
      <w:r>
        <w:rPr>
          <w:i/>
        </w:rPr>
        <w:t>) thing.”</w:t>
      </w:r>
    </w:p>
    <w:p>
      <w:r>
        <w:rPr>
          <w:b/>
          <w:color w:val="1E3A8A"/>
          <w:sz w:val="26"/>
        </w:rPr>
        <w:t>XIV. THE PRAYER FOR RAIN INSHEMA KOLEINU</w:t>
      </w:r>
    </w:p>
    <w:p>
      <w:pPr>
        <w:pBdr>
          <w:bottom w:val="single" w:sz="6" w:space="1" w:color="B8860B"/>
        </w:pBdr>
      </w:pPr>
    </w:p>
    <w:p>
      <w:r>
        <w:t xml:space="preserve">One further insertion belongs in </w:t>
      </w:r>
      <w:r>
        <w:rPr>
          <w:i/>
        </w:rPr>
        <w:t>Shema Koleinu</w:t>
      </w:r>
      <w:r>
        <w:t xml:space="preserve">: a prayer for rain when there is a drought. It is not said in the ordinary course. Some make the mistake of saying it without a </w:t>
      </w:r>
      <w:r>
        <w:rPr>
          <w:i/>
        </w:rPr>
        <w:t>taanis</w:t>
      </w:r>
      <w:r>
        <w:t xml:space="preserve"> (</w:t>
      </w:r>
      <w:r>
        <w:rPr>
          <w:rFonts w:ascii="David" w:hAnsi="David"/>
        </w:rPr>
        <w:t>תענית</w:t>
      </w:r>
      <w:r>
        <w:t xml:space="preserve">), and the </w:t>
      </w:r>
      <w:r>
        <w:rPr>
          <w:i/>
        </w:rPr>
        <w:t>poskim</w:t>
      </w:r>
      <w:r>
        <w:t xml:space="preserve"> (</w:t>
      </w:r>
      <w:r>
        <w:rPr>
          <w:rFonts w:ascii="David" w:hAnsi="David"/>
        </w:rPr>
        <w:t>פוסקים</w:t>
      </w:r>
      <w:r>
        <w:t xml:space="preserve">) are divided. A couple of years before the shiur, the </w:t>
      </w:r>
      <w:r>
        <w:rPr>
          <w:i/>
        </w:rPr>
        <w:t>batei din</w:t>
      </w:r>
      <w:r>
        <w:t xml:space="preserve"> (</w:t>
      </w:r>
      <w:r>
        <w:rPr>
          <w:rFonts w:ascii="David" w:hAnsi="David"/>
        </w:rPr>
        <w:t>בתי דין</w:t>
      </w:r>
      <w:r>
        <w:t xml:space="preserve">) in </w:t>
      </w:r>
      <w:r>
        <w:rPr>
          <w:i/>
        </w:rPr>
        <w:t>Eretz Yisrael</w:t>
      </w:r>
      <w:r>
        <w:t xml:space="preserve"> (</w:t>
      </w:r>
      <w:r>
        <w:rPr>
          <w:rFonts w:ascii="David" w:hAnsi="David"/>
        </w:rPr>
        <w:t>ארץ ישראל</w:t>
      </w:r>
      <w:r>
        <w:t xml:space="preserve">) issued a letter that all should add </w:t>
      </w:r>
      <w:r>
        <w:rPr>
          <w:i/>
        </w:rPr>
        <w:t>Aneinu</w:t>
      </w:r>
      <w:r>
        <w:t xml:space="preserve"> (</w:t>
      </w:r>
      <w:r>
        <w:rPr>
          <w:rFonts w:ascii="David" w:hAnsi="David"/>
        </w:rPr>
        <w:t>עננו</w:t>
      </w:r>
      <w:r>
        <w:t>) during a drought; the Rav remarked that this is probably not relevant for those living in New York.</w:t>
      </w:r>
    </w:p>
    <w:p>
      <w:r>
        <w:rPr>
          <w:i/>
          <w:color w:val="B8860B"/>
          <w:sz w:val="24"/>
        </w:rPr>
        <w:t>TheBach’s Warning</w:t>
      </w:r>
    </w:p>
    <w:p>
      <w:r>
        <w:t xml:space="preserve">The </w:t>
      </w:r>
      <w:r>
        <w:rPr>
          <w:b/>
          <w:i/>
        </w:rPr>
        <w:t>Bach</w:t>
      </w:r>
      <w:r>
        <w:rPr>
          <w:b/>
        </w:rPr>
        <w:t xml:space="preserve"> (</w:t>
      </w:r>
      <w:r>
        <w:rPr>
          <w:rFonts w:ascii="David" w:hAnsi="David"/>
          <w:b/>
        </w:rPr>
        <w:t>ב״ח</w:t>
      </w:r>
      <w:r>
        <w:rPr>
          <w:b/>
        </w:rPr>
        <w:t>)</w:t>
      </w:r>
      <w:r>
        <w:rPr>
          <w:color w:val="B8860B"/>
          <w:sz w:val="16"/>
          <w:vertAlign w:val="superscript"/>
        </w:rPr>
        <w:t>[22]</w:t>
      </w:r>
      <w:r>
        <w:t xml:space="preserve"> rules that to request rain in any </w:t>
      </w:r>
      <w:r>
        <w:rPr>
          <w:i/>
        </w:rPr>
        <w:t>berachah</w:t>
      </w:r>
      <w:r>
        <w:t xml:space="preserve"> other than </w:t>
      </w:r>
      <w:r>
        <w:rPr>
          <w:i/>
        </w:rPr>
        <w:t>Birkas HaShanim</w:t>
      </w:r>
      <w:r>
        <w:t xml:space="preserve"> (</w:t>
      </w:r>
      <w:r>
        <w:rPr>
          <w:rFonts w:ascii="David" w:hAnsi="David"/>
        </w:rPr>
        <w:t>ברכת השנים</w:t>
      </w:r>
      <w:r>
        <w:t xml:space="preserve">) is forbidden </w:t>
      </w:r>
      <w:r>
        <w:rPr>
          <w:i/>
        </w:rPr>
        <w:t>b’tzibbur</w:t>
      </w:r>
      <w:r>
        <w:t xml:space="preserve"> (</w:t>
      </w:r>
      <w:r>
        <w:rPr>
          <w:rFonts w:ascii="David" w:hAnsi="David"/>
        </w:rPr>
        <w:t>בציבור</w:t>
      </w:r>
      <w:r>
        <w:t>). An individual (</w:t>
      </w:r>
      <w:r>
        <w:rPr>
          <w:i/>
        </w:rPr>
        <w:t>b’yachid</w:t>
      </w:r>
      <w:r>
        <w:t xml:space="preserve">, </w:t>
      </w:r>
      <w:r>
        <w:rPr>
          <w:rFonts w:ascii="David" w:hAnsi="David"/>
        </w:rPr>
        <w:t>ביחיד</w:t>
      </w:r>
      <w:r>
        <w:t xml:space="preserve">) may insert it at </w:t>
      </w:r>
      <w:r>
        <w:rPr>
          <w:i/>
        </w:rPr>
        <w:t>Shema Koleinu</w:t>
      </w:r>
      <w:r>
        <w:t xml:space="preserve">; but for the congregation to add it together, even at </w:t>
      </w:r>
      <w:r>
        <w:rPr>
          <w:i/>
        </w:rPr>
        <w:t>Shema Koleinu</w:t>
      </w:r>
      <w:r>
        <w:t>, is a serious matter.</w:t>
      </w:r>
    </w:p>
    <w:p>
      <w:r>
        <w:t xml:space="preserve">The </w:t>
      </w:r>
      <w:r>
        <w:rPr>
          <w:i/>
        </w:rPr>
        <w:t>Bach</w:t>
      </w:r>
      <w:r>
        <w:t xml:space="preserve"> records a tradition that two </w:t>
      </w:r>
      <w:r>
        <w:rPr>
          <w:i/>
        </w:rPr>
        <w:t>gedolim</w:t>
      </w:r>
      <w:r>
        <w:t xml:space="preserve"> (</w:t>
      </w:r>
      <w:r>
        <w:rPr>
          <w:rFonts w:ascii="David" w:hAnsi="David"/>
        </w:rPr>
        <w:t>גדולים</w:t>
      </w:r>
      <w:r>
        <w:t xml:space="preserve">) instituted exactly this in their communities — when they needed rain and did not declare a formal </w:t>
      </w:r>
      <w:r>
        <w:rPr>
          <w:i/>
        </w:rPr>
        <w:t>taanis</w:t>
      </w:r>
      <w:r>
        <w:t xml:space="preserve">, they had the entire congregation say the prayer for rain at </w:t>
      </w:r>
      <w:r>
        <w:rPr>
          <w:i/>
        </w:rPr>
        <w:t>Shema Koleinu</w:t>
      </w:r>
      <w:r>
        <w:t xml:space="preserve">. </w:t>
      </w:r>
      <w:r>
        <w:rPr>
          <w:b/>
        </w:rPr>
        <w:t xml:space="preserve">Both </w:t>
      </w:r>
      <w:r>
        <w:rPr>
          <w:b/>
          <w:i/>
        </w:rPr>
        <w:t>gedolim</w:t>
      </w:r>
      <w:r>
        <w:rPr>
          <w:b/>
        </w:rPr>
        <w:t xml:space="preserve"> died within the year.</w:t>
      </w:r>
      <w:r>
        <w:t xml:space="preserve"> It is a grave thing to add to </w:t>
      </w:r>
      <w:r>
        <w:rPr>
          <w:i/>
        </w:rPr>
        <w:t>Shemoneh Esrei</w:t>
      </w:r>
      <w:r>
        <w:t xml:space="preserve"> beyond what </w:t>
      </w:r>
      <w:r>
        <w:rPr>
          <w:i/>
        </w:rPr>
        <w:t>Chazal</w:t>
      </w:r>
      <w:r>
        <w:t xml:space="preserve"> (</w:t>
      </w:r>
      <w:r>
        <w:rPr>
          <w:rFonts w:ascii="David" w:hAnsi="David"/>
        </w:rPr>
        <w:t>חז״ל</w:t>
      </w:r>
      <w:r>
        <w:t xml:space="preserve">) instituted, particularly to insert </w:t>
      </w:r>
      <w:r>
        <w:rPr>
          <w:i/>
        </w:rPr>
        <w:t>sheilas geshamim</w:t>
      </w:r>
      <w:r>
        <w:t xml:space="preserve"> (</w:t>
      </w:r>
      <w:r>
        <w:rPr>
          <w:rFonts w:ascii="David" w:hAnsi="David"/>
        </w:rPr>
        <w:t>שאלת גשמים</w:t>
      </w:r>
      <w:r>
        <w:t>) outside its proper place.</w:t>
      </w:r>
    </w:p>
    <w:p>
      <w:r>
        <w:rPr>
          <w:i/>
        </w:rPr>
        <w:t>Halachah lema’aseh</w:t>
      </w:r>
      <w:r>
        <w:t xml:space="preserve"> (</w:t>
      </w:r>
      <w:r>
        <w:rPr>
          <w:rFonts w:ascii="David" w:hAnsi="David"/>
        </w:rPr>
        <w:t>הלכה למעשה</w:t>
      </w:r>
      <w:r>
        <w:t xml:space="preserve">): when there is a communal need for rain, one consults a </w:t>
      </w:r>
      <w:r>
        <w:rPr>
          <w:i/>
        </w:rPr>
        <w:t>rav</w:t>
      </w:r>
      <w:r>
        <w:t xml:space="preserve">; one does not improvise. The letter of the </w:t>
      </w:r>
      <w:r>
        <w:rPr>
          <w:i/>
        </w:rPr>
        <w:t>batei din</w:t>
      </w:r>
      <w:r>
        <w:t xml:space="preserve"> is the proper form — a communal addition under rabbinic direction.</w:t>
      </w:r>
    </w:p>
    <w:p>
      <w:r>
        <w:rPr>
          <w:i/>
          <w:color w:val="B8860B"/>
          <w:sz w:val="24"/>
        </w:rPr>
        <w:t>Timing</w:t>
      </w:r>
    </w:p>
    <w:p>
      <w:r>
        <w:t xml:space="preserve">These insertions are typically said at </w:t>
      </w:r>
      <w:r>
        <w:rPr>
          <w:i/>
        </w:rPr>
        <w:t>Shacharis</w:t>
      </w:r>
      <w:r>
        <w:t xml:space="preserve"> (</w:t>
      </w:r>
      <w:r>
        <w:rPr>
          <w:rFonts w:ascii="David" w:hAnsi="David"/>
        </w:rPr>
        <w:t>שחרית</w:t>
      </w:r>
      <w:r>
        <w:t xml:space="preserve">), not </w:t>
      </w:r>
      <w:r>
        <w:rPr>
          <w:i/>
        </w:rPr>
        <w:t>Minchah</w:t>
      </w:r>
      <w:r>
        <w:t xml:space="preserve"> (</w:t>
      </w:r>
      <w:r>
        <w:rPr>
          <w:rFonts w:ascii="David" w:hAnsi="David"/>
        </w:rPr>
        <w:t>מנחה</w:t>
      </w:r>
      <w:r>
        <w:t xml:space="preserve">) or </w:t>
      </w:r>
      <w:r>
        <w:rPr>
          <w:i/>
        </w:rPr>
        <w:t>Maariv</w:t>
      </w:r>
      <w:r>
        <w:t xml:space="preserve"> (</w:t>
      </w:r>
      <w:r>
        <w:rPr>
          <w:rFonts w:ascii="David" w:hAnsi="David"/>
        </w:rPr>
        <w:t>מעריב</w:t>
      </w:r>
      <w:r>
        <w:t xml:space="preserve">). Some </w:t>
      </w:r>
      <w:r>
        <w:rPr>
          <w:i/>
        </w:rPr>
        <w:t>siddurim</w:t>
      </w:r>
      <w:r>
        <w:t xml:space="preserve"> include them at all three; some do not. The </w:t>
      </w:r>
      <w:r>
        <w:rPr>
          <w:i/>
        </w:rPr>
        <w:t>Aruch HaShulchan</w:t>
      </w:r>
      <w:r>
        <w:t xml:space="preserve"> warns against saying them at </w:t>
      </w:r>
      <w:r>
        <w:rPr>
          <w:i/>
        </w:rPr>
        <w:t>Minchah</w:t>
      </w:r>
      <w:r>
        <w:t xml:space="preserve"> and </w:t>
      </w:r>
      <w:r>
        <w:rPr>
          <w:i/>
        </w:rPr>
        <w:t>Maariv</w:t>
      </w:r>
      <w:r>
        <w:t xml:space="preserve">; the </w:t>
      </w:r>
      <w:r>
        <w:rPr>
          <w:i/>
        </w:rPr>
        <w:t>Shaarei Tziyon</w:t>
      </w:r>
      <w:r>
        <w:t xml:space="preserve"> (</w:t>
      </w:r>
      <w:r>
        <w:rPr>
          <w:rFonts w:ascii="David" w:hAnsi="David"/>
        </w:rPr>
        <w:t>שערי ציון</w:t>
      </w:r>
      <w:r>
        <w:t xml:space="preserve">) and the </w:t>
      </w:r>
      <w:r>
        <w:rPr>
          <w:i/>
        </w:rPr>
        <w:t>Mishnah Berurah</w:t>
      </w:r>
      <w:r>
        <w:t xml:space="preserve"> are more permissive.</w:t>
      </w:r>
      <w:r>
        <w:rPr>
          <w:color w:val="B8860B"/>
          <w:sz w:val="16"/>
          <w:vertAlign w:val="superscript"/>
        </w:rPr>
        <w:t>[23]</w:t>
      </w:r>
    </w:p>
    <w:p>
      <w:r>
        <w:rPr>
          <w:b/>
          <w:color w:val="1E3A8A"/>
          <w:sz w:val="26"/>
        </w:rPr>
        <w:t>XV. CLOSING</w:t>
      </w:r>
    </w:p>
    <w:p>
      <w:pPr>
        <w:pBdr>
          <w:bottom w:val="single" w:sz="6" w:space="1" w:color="B8860B"/>
        </w:pBdr>
      </w:pPr>
    </w:p>
    <w:p>
      <w:r>
        <w:rPr>
          <w:i/>
        </w:rPr>
        <w:t>Shema Koleinu</w:t>
      </w:r>
      <w:r>
        <w:t xml:space="preserve"> is the place in which to bring one’s week, one’s year, one’s life. It is not to be passed through mechanically, the words turning over without engagement. Let the worshipper add a </w:t>
      </w:r>
      <w:r>
        <w:rPr>
          <w:i/>
        </w:rPr>
        <w:t>viduy</w:t>
      </w:r>
      <w:r>
        <w:t xml:space="preserve"> in the spirit of the </w:t>
      </w:r>
      <w:r>
        <w:rPr>
          <w:i/>
        </w:rPr>
        <w:t>Arizal</w:t>
      </w:r>
      <w:r>
        <w:t xml:space="preserve"> — specifying the </w:t>
      </w:r>
      <w:r>
        <w:rPr>
          <w:i/>
        </w:rPr>
        <w:t>cheit</w:t>
      </w:r>
      <w:r>
        <w:t xml:space="preserve">. Let him add a prayer for </w:t>
      </w:r>
      <w:r>
        <w:rPr>
          <w:i/>
        </w:rPr>
        <w:t>parnasah</w:t>
      </w:r>
      <w:r>
        <w:t xml:space="preserve"> in the spirit of the </w:t>
      </w:r>
      <w:r>
        <w:rPr>
          <w:i/>
        </w:rPr>
        <w:t>Zohar HaKadosh</w:t>
      </w:r>
      <w:r>
        <w:t xml:space="preserve"> — like </w:t>
      </w:r>
      <w:r>
        <w:rPr>
          <w:i/>
        </w:rPr>
        <w:t>Rav Yeiva Sava</w:t>
      </w:r>
      <w:r>
        <w:t xml:space="preserve"> (</w:t>
      </w:r>
      <w:r>
        <w:rPr>
          <w:rFonts w:ascii="David" w:hAnsi="David"/>
        </w:rPr>
        <w:t>רב ייבא סבא</w:t>
      </w:r>
      <w:r>
        <w:t xml:space="preserve">) at every meal. Let him add for his </w:t>
      </w:r>
      <w:r>
        <w:rPr>
          <w:i/>
        </w:rPr>
        <w:t>shidduchim</w:t>
      </w:r>
      <w:r>
        <w:t xml:space="preserve"> and his children in the spirit of the </w:t>
      </w:r>
      <w:r>
        <w:rPr>
          <w:i/>
        </w:rPr>
        <w:t>Yaavetz</w:t>
      </w:r>
      <w:r>
        <w:t xml:space="preserve"> — in his own words. And, at the very close, let him mean </w:t>
      </w:r>
      <w:r>
        <w:rPr>
          <w:i/>
        </w:rPr>
        <w:t>“</w:t>
      </w:r>
      <w:r>
        <w:rPr>
          <w:rFonts w:ascii="David" w:hAnsi="David"/>
          <w:i/>
        </w:rPr>
        <w:t>ריקם אל תשיבנו</w:t>
      </w:r>
      <w:r>
        <w:rPr>
          <w:i/>
        </w:rPr>
        <w:t>”</w:t>
      </w:r>
      <w:r>
        <w:t>: do not let me leave empty; and if You will not give me bread today, do not let me feel abandoned. Stay connected to me. We will keep coming.</w:t>
      </w:r>
    </w:p>
    <w:p>
      <w:r>
        <w:t xml:space="preserve">The words were first spoken on the </w:t>
      </w:r>
      <w:r>
        <w:rPr>
          <w:i/>
        </w:rPr>
        <w:t>yahrzeit</w:t>
      </w:r>
      <w:r>
        <w:t xml:space="preserve"> of a man who stood in a wilderness of Torah observance and kept going to the door of a city that would not easily listen; the final line, </w:t>
      </w:r>
      <w:r>
        <w:rPr>
          <w:i/>
        </w:rPr>
        <w:t>“we will keep coming,”</w:t>
      </w:r>
      <w:r>
        <w:t xml:space="preserve"> is a fitting one on that day.</w:t>
      </w:r>
    </w:p>
    <w:p>
      <w:pPr>
        <w:pBdr>
          <w:bottom w:val="single" w:sz="6" w:space="1" w:color="B8860B"/>
        </w:pBdr>
      </w:pPr>
    </w:p>
    <w:p>
      <w:r>
        <w:rPr>
          <w:rFonts w:ascii="David" w:hAnsi="David"/>
          <w:b/>
          <w:color w:val="1E3A8A"/>
          <w:sz w:val="26"/>
        </w:rPr>
        <w:t>מראה מקומות·  MAREH MEKOMOS</w:t>
      </w:r>
    </w:p>
    <w:p>
      <w:r>
        <w:rPr>
          <w:b/>
          <w:color w:val="1E3A8A"/>
        </w:rPr>
        <w:t xml:space="preserve">1. </w:t>
      </w:r>
    </w:p>
    <w:p>
      <w:pPr>
        <w:ind w:left="432"/>
      </w:pPr>
      <w:r>
        <w:rPr>
          <w:b/>
          <w:color w:val="D4A017"/>
          <w:sz w:val="18"/>
        </w:rPr>
        <w:t xml:space="preserve">[Note] </w:t>
      </w:r>
      <w:r>
        <w:rPr>
          <w:b/>
          <w:color w:val="5A4B1A"/>
          <w:sz w:val="18"/>
        </w:rPr>
        <w:t>Rabbi Yaakov Yosef of New York</w:t>
      </w:r>
      <w:r>
        <w:rPr>
          <w:color w:val="5A4B1A"/>
          <w:sz w:val="18"/>
        </w:rPr>
        <w:t xml:space="preserve"> (</w:t>
      </w:r>
      <w:r>
        <w:rPr>
          <w:rFonts w:ascii="David" w:hAnsi="David"/>
          <w:color w:val="5A4B1A"/>
          <w:sz w:val="18"/>
        </w:rPr>
        <w:t>רבי יעקב יוסף הלוי זצ״ל</w:t>
      </w:r>
      <w:r>
        <w:rPr>
          <w:color w:val="5A4B1A"/>
          <w:sz w:val="18"/>
        </w:rPr>
        <w:t xml:space="preserve">, 1840–1902; a </w:t>
      </w:r>
      <w:r>
        <w:rPr>
          <w:i/>
          <w:color w:val="5A4B1A"/>
          <w:sz w:val="18"/>
        </w:rPr>
        <w:t>talmid</w:t>
      </w:r>
      <w:r>
        <w:rPr>
          <w:color w:val="5A4B1A"/>
          <w:sz w:val="18"/>
        </w:rPr>
        <w:t xml:space="preserve"> of the Salant school; </w:t>
      </w:r>
      <w:r>
        <w:rPr>
          <w:i/>
          <w:color w:val="5A4B1A"/>
          <w:sz w:val="18"/>
        </w:rPr>
        <w:t>rav</w:t>
      </w:r>
      <w:r>
        <w:rPr>
          <w:color w:val="5A4B1A"/>
          <w:sz w:val="18"/>
        </w:rPr>
        <w:t xml:space="preserve"> of Vilna and Slutsk before emigrating to America in 1888) — the first and only </w:t>
      </w:r>
      <w:r>
        <w:rPr>
          <w:b/>
          <w:color w:val="5A4B1A"/>
          <w:sz w:val="18"/>
        </w:rPr>
        <w:t>Chief Rabbi of New York</w:t>
      </w:r>
      <w:r>
        <w:rPr>
          <w:color w:val="5A4B1A"/>
          <w:sz w:val="18"/>
        </w:rPr>
        <w:t xml:space="preserve">, appointed by the </w:t>
      </w:r>
      <w:r>
        <w:rPr>
          <w:i/>
          <w:color w:val="5A4B1A"/>
          <w:sz w:val="18"/>
        </w:rPr>
        <w:t>Association of American Hebrew Orthodox Congregations</w:t>
      </w:r>
      <w:r>
        <w:rPr>
          <w:color w:val="5A4B1A"/>
          <w:sz w:val="18"/>
        </w:rPr>
        <w:t xml:space="preserve"> with the support of fifteen Eastern European immigrant congregations. His tenure was marked by the difficulty of imposing centralized halachic authority on a fragmented immigrant community, and he faced significant opposition from competing factions; New York in his day was a </w:t>
      </w:r>
      <w:r>
        <w:rPr>
          <w:i/>
          <w:color w:val="5A4B1A"/>
          <w:sz w:val="18"/>
        </w:rPr>
        <w:t>midbar</w:t>
      </w:r>
      <w:r>
        <w:rPr>
          <w:color w:val="5A4B1A"/>
          <w:sz w:val="18"/>
        </w:rPr>
        <w:t xml:space="preserve"> (</w:t>
      </w:r>
      <w:r>
        <w:rPr>
          <w:rFonts w:ascii="David" w:hAnsi="David"/>
          <w:color w:val="5A4B1A"/>
          <w:sz w:val="18"/>
        </w:rPr>
        <w:t>מדבר</w:t>
      </w:r>
      <w:r>
        <w:rPr>
          <w:color w:val="5A4B1A"/>
          <w:sz w:val="18"/>
        </w:rPr>
        <w:t xml:space="preserve">) in terms of Torah observance, and his </w:t>
      </w:r>
      <w:r>
        <w:rPr>
          <w:i/>
          <w:color w:val="5A4B1A"/>
          <w:sz w:val="18"/>
        </w:rPr>
        <w:t>tzaros</w:t>
      </w:r>
      <w:r>
        <w:rPr>
          <w:color w:val="5A4B1A"/>
          <w:sz w:val="18"/>
        </w:rPr>
        <w:t xml:space="preserve"> (</w:t>
      </w:r>
      <w:r>
        <w:rPr>
          <w:rFonts w:ascii="David" w:hAnsi="David"/>
          <w:color w:val="5A4B1A"/>
          <w:sz w:val="18"/>
        </w:rPr>
        <w:t>צרות</w:t>
      </w:r>
      <w:r>
        <w:rPr>
          <w:color w:val="5A4B1A"/>
          <w:sz w:val="18"/>
        </w:rPr>
        <w:t xml:space="preserve">) were great. The Rav recalled the opposition as an open rebellion, in which, as he put it, stones were thrown at the people there. He suffered a stroke in 1895 and was largely incapacitated for the remaining years of his life; his </w:t>
      </w:r>
      <w:r>
        <w:rPr>
          <w:i/>
          <w:color w:val="5A4B1A"/>
          <w:sz w:val="18"/>
        </w:rPr>
        <w:t>petirah</w:t>
      </w:r>
      <w:r>
        <w:rPr>
          <w:color w:val="5A4B1A"/>
          <w:sz w:val="18"/>
        </w:rPr>
        <w:t xml:space="preserve"> (</w:t>
      </w:r>
      <w:r>
        <w:rPr>
          <w:rFonts w:ascii="David" w:hAnsi="David"/>
          <w:color w:val="5A4B1A"/>
          <w:sz w:val="18"/>
        </w:rPr>
        <w:t>פטירה</w:t>
      </w:r>
      <w:r>
        <w:rPr>
          <w:color w:val="5A4B1A"/>
          <w:sz w:val="18"/>
        </w:rPr>
        <w:t>) in 1902 (</w:t>
      </w:r>
      <w:r>
        <w:rPr>
          <w:rFonts w:ascii="David" w:hAnsi="David"/>
          <w:color w:val="5A4B1A"/>
          <w:sz w:val="18"/>
        </w:rPr>
        <w:t>כ״ד תמוז</w:t>
      </w:r>
      <w:r>
        <w:rPr>
          <w:color w:val="5A4B1A"/>
          <w:sz w:val="18"/>
        </w:rPr>
        <w:t xml:space="preserve">) drew tens of thousands. He is buried in Cypress Hills, Queens (the weekly write-up gives </w:t>
      </w:r>
      <w:r>
        <w:rPr>
          <w:b/>
          <w:color w:val="5A4B1A"/>
          <w:sz w:val="18"/>
        </w:rPr>
        <w:t>Union Field Cemetery</w:t>
      </w:r>
      <w:r>
        <w:rPr>
          <w:color w:val="5A4B1A"/>
          <w:sz w:val="18"/>
        </w:rPr>
        <w:t xml:space="preserve">); on the </w:t>
      </w:r>
      <w:r>
        <w:rPr>
          <w:i/>
          <w:color w:val="5A4B1A"/>
          <w:sz w:val="18"/>
        </w:rPr>
        <w:t>yahrzeit</w:t>
      </w:r>
      <w:r>
        <w:rPr>
          <w:color w:val="5A4B1A"/>
          <w:sz w:val="18"/>
        </w:rPr>
        <w:t xml:space="preserve"> great numbers visit the grave, even in the rain. The Satmar Rebbe’s tribute, that every good </w:t>
      </w:r>
      <w:r>
        <w:rPr>
          <w:i/>
          <w:color w:val="5A4B1A"/>
          <w:sz w:val="18"/>
        </w:rPr>
        <w:t>machshavah</w:t>
      </w:r>
      <w:r>
        <w:rPr>
          <w:color w:val="5A4B1A"/>
          <w:sz w:val="18"/>
        </w:rPr>
        <w:t xml:space="preserve"> (</w:t>
      </w:r>
      <w:r>
        <w:rPr>
          <w:rFonts w:ascii="David" w:hAnsi="David"/>
          <w:color w:val="5A4B1A"/>
          <w:sz w:val="18"/>
        </w:rPr>
        <w:t>מחשבה</w:t>
      </w:r>
      <w:r>
        <w:rPr>
          <w:color w:val="5A4B1A"/>
          <w:sz w:val="18"/>
        </w:rPr>
        <w:t xml:space="preserve">) a Jew has in New York is </w:t>
      </w:r>
      <w:r>
        <w:rPr>
          <w:i/>
          <w:color w:val="5A4B1A"/>
          <w:sz w:val="18"/>
        </w:rPr>
        <w:t>bizchuso</w:t>
      </w:r>
      <w:r>
        <w:rPr>
          <w:color w:val="5A4B1A"/>
          <w:sz w:val="18"/>
        </w:rPr>
        <w:t xml:space="preserve"> (</w:t>
      </w:r>
      <w:r>
        <w:rPr>
          <w:rFonts w:ascii="David" w:hAnsi="David"/>
          <w:color w:val="5A4B1A"/>
          <w:sz w:val="18"/>
        </w:rPr>
        <w:t>בזכותו</w:t>
      </w:r>
      <w:r>
        <w:rPr>
          <w:color w:val="5A4B1A"/>
          <w:sz w:val="18"/>
        </w:rPr>
        <w:t xml:space="preserve">) of Rabbi Yaakov Yosef, circulates in oral </w:t>
      </w:r>
      <w:r>
        <w:rPr>
          <w:i/>
          <w:color w:val="5A4B1A"/>
          <w:sz w:val="18"/>
        </w:rPr>
        <w:t>mesorah</w:t>
      </w:r>
      <w:r>
        <w:rPr>
          <w:color w:val="5A4B1A"/>
          <w:sz w:val="18"/>
        </w:rPr>
        <w:t xml:space="preserve"> (</w:t>
      </w:r>
      <w:r>
        <w:rPr>
          <w:rFonts w:ascii="David" w:hAnsi="David"/>
          <w:color w:val="5A4B1A"/>
          <w:sz w:val="18"/>
        </w:rPr>
        <w:t>מסורה</w:t>
      </w:r>
      <w:r>
        <w:rPr>
          <w:color w:val="5A4B1A"/>
          <w:sz w:val="18"/>
        </w:rPr>
        <w:t>).</w:t>
        <w:br/>
        <w:t xml:space="preserve">  </w:t>
      </w:r>
      <w:r>
        <w:br/>
      </w:r>
      <w:r>
        <w:rPr>
          <w:i/>
          <w:color w:val="5A4B1A"/>
          <w:sz w:val="18"/>
        </w:rPr>
        <w:t>Caveat:</w:t>
      </w:r>
      <w:r>
        <w:rPr>
          <w:color w:val="5A4B1A"/>
          <w:sz w:val="18"/>
        </w:rPr>
        <w:t xml:space="preserve"> the dates, offices, appointing body, burial site and the details of the opposition are given from the weekly write-up and the Shiur Review of the live telling (which also records the surviving shul on Ocean Parkway, the </w:t>
      </w:r>
      <w:r>
        <w:rPr>
          <w:i/>
          <w:color w:val="5A4B1A"/>
          <w:sz w:val="18"/>
        </w:rPr>
        <w:t>cheder</w:t>
      </w:r>
      <w:r>
        <w:rPr>
          <w:color w:val="5A4B1A"/>
          <w:sz w:val="18"/>
        </w:rPr>
        <w:t xml:space="preserve"> “Mevakshei Hashem” on Ditmas, and his eventual move to the Lower East Side); none is independently verified here, and no published source for the Satmar Rebbe’s remark is specified.</w:t>
      </w:r>
    </w:p>
    <w:p>
      <w:r>
        <w:rPr>
          <w:b/>
          <w:color w:val="1E3A8A"/>
        </w:rPr>
        <w:t xml:space="preserve">2. </w:t>
      </w:r>
      <w:r>
        <w:rPr>
          <w:b/>
          <w:i/>
          <w:color w:val="1E3A8A"/>
        </w:rPr>
        <w:t>Megillah</w:t>
      </w:r>
      <w:r>
        <w:rPr>
          <w:b/>
          <w:color w:val="1E3A8A"/>
        </w:rPr>
        <w:t xml:space="preserve"> 17b–18a (</w:t>
      </w:r>
      <w:r>
        <w:rPr>
          <w:rFonts w:ascii="David" w:hAnsi="David"/>
          <w:b/>
          <w:color w:val="1E3A8A"/>
        </w:rPr>
        <w:t>מגילה י״ז ע״ב – י״ח ע״א</w:t>
      </w:r>
      <w:r>
        <w:rPr>
          <w:b/>
          <w:color w:val="1E3A8A"/>
        </w:rPr>
        <w:t xml:space="preserve">) — the order of the </w:t>
      </w:r>
      <w:r>
        <w:rPr>
          <w:b/>
          <w:i/>
          <w:color w:val="1E3A8A"/>
        </w:rPr>
        <w:t>berachos</w:t>
      </w:r>
      <w:r>
        <w:rPr>
          <w:b/>
          <w:color w:val="1E3A8A"/>
        </w:rPr>
        <w:t xml:space="preserve">; </w:t>
      </w:r>
      <w:r>
        <w:rPr>
          <w:b/>
          <w:i/>
          <w:color w:val="1E3A8A"/>
        </w:rPr>
        <w:t>bais tefilasi</w:t>
      </w:r>
      <w:r>
        <w:rPr>
          <w:b/>
          <w:color w:val="1E3A8A"/>
        </w:rPr>
        <w:t xml:space="preserve"> after </w:t>
      </w:r>
      <w:r>
        <w:rPr>
          <w:b/>
          <w:i/>
          <w:color w:val="1E3A8A"/>
        </w:rPr>
        <w:t>malchus beis David</w:t>
      </w:r>
      <w:r>
        <w:rPr>
          <w:b/>
          <w:color w:val="1E3A8A"/>
        </w:rPr>
        <w:t>.</w:t>
      </w:r>
      <w:r>
        <w:t xml:space="preserve"> </w:t>
      </w:r>
      <w:r>
        <w:t xml:space="preserve">— The </w:t>
      </w:r>
      <w:r>
        <w:rPr>
          <w:i/>
        </w:rPr>
        <w:t>sugya</w:t>
      </w:r>
      <w:r>
        <w:t xml:space="preserve"> (</w:t>
      </w:r>
      <w:r>
        <w:rPr>
          <w:rFonts w:ascii="David" w:hAnsi="David"/>
        </w:rPr>
        <w:t>סוגיא</w:t>
      </w:r>
      <w:r>
        <w:t xml:space="preserve">) derives the sequence of the </w:t>
      </w:r>
      <w:r>
        <w:rPr>
          <w:i/>
        </w:rPr>
        <w:t>berachos</w:t>
      </w:r>
      <w:r>
        <w:t xml:space="preserve"> of </w:t>
      </w:r>
      <w:r>
        <w:rPr>
          <w:i/>
        </w:rPr>
        <w:t>Shemoneh Esrei</w:t>
      </w:r>
      <w:r>
        <w:t xml:space="preserve"> verse by verse. Once </w:t>
      </w:r>
      <w:r>
        <w:rPr>
          <w:i/>
        </w:rPr>
        <w:t>Yerushalayim</w:t>
      </w:r>
      <w:r>
        <w:t xml:space="preserve"> is rebuilt, </w:t>
      </w:r>
      <w:r>
        <w:rPr>
          <w:i/>
        </w:rPr>
        <w:t>David</w:t>
      </w:r>
      <w:r>
        <w:t xml:space="preserve"> comes (</w:t>
      </w:r>
      <w:r>
        <w:rPr>
          <w:i/>
        </w:rPr>
        <w:t>Hoshea</w:t>
      </w:r>
      <w:r>
        <w:t xml:space="preserve"> 3:5, </w:t>
      </w:r>
      <w:r>
        <w:rPr>
          <w:rFonts w:ascii="David" w:hAnsi="David"/>
        </w:rPr>
        <w:t>אחר ישובו בני ישראל ובקשו את ה׳ אלהיהם ואת דוד מלכם</w:t>
      </w:r>
      <w:r>
        <w:t xml:space="preserve">); once </w:t>
      </w:r>
      <w:r>
        <w:rPr>
          <w:i/>
        </w:rPr>
        <w:t>David</w:t>
      </w:r>
      <w:r>
        <w:t xml:space="preserve"> comes, </w:t>
      </w:r>
      <w:r>
        <w:rPr>
          <w:i/>
        </w:rPr>
        <w:t>tefillah</w:t>
      </w:r>
      <w:r>
        <w:t xml:space="preserve"> comes (</w:t>
      </w:r>
      <w:r>
        <w:rPr>
          <w:i/>
        </w:rPr>
        <w:t>Yeshayahu</w:t>
      </w:r>
      <w:r>
        <w:t xml:space="preserve"> 56:7, </w:t>
      </w:r>
      <w:r>
        <w:rPr>
          <w:rFonts w:ascii="David" w:hAnsi="David"/>
        </w:rPr>
        <w:t>והביאותים אל הר קדשי ושמחתים בבית תפילתי</w:t>
      </w:r>
      <w:r>
        <w:t xml:space="preserve">; the verse continues “for My house shall be called a house of prayer for all peoples”); and once </w:t>
      </w:r>
      <w:r>
        <w:rPr>
          <w:i/>
        </w:rPr>
        <w:t>tefillah</w:t>
      </w:r>
      <w:r>
        <w:t xml:space="preserve"> comes, the </w:t>
      </w:r>
      <w:r>
        <w:rPr>
          <w:i/>
        </w:rPr>
        <w:t>avodah</w:t>
      </w:r>
      <w:r>
        <w:t xml:space="preserve"> comes (“their burnt-offerings and sacrifices shall be accepted on My altar”). The </w:t>
      </w:r>
      <w:r>
        <w:rPr>
          <w:i/>
        </w:rPr>
        <w:t>Tur</w:t>
      </w:r>
      <w:r>
        <w:t xml:space="preserve"> (</w:t>
      </w:r>
      <w:r>
        <w:rPr>
          <w:rFonts w:ascii="David" w:hAnsi="David"/>
        </w:rPr>
        <w:t>טור אורח חיים קי״ט</w:t>
      </w:r>
      <w:r>
        <w:t xml:space="preserve">) and the </w:t>
      </w:r>
      <w:r>
        <w:rPr>
          <w:i/>
        </w:rPr>
        <w:t>Beis Yosef</w:t>
      </w:r>
      <w:r>
        <w:t xml:space="preserve"> (</w:t>
      </w:r>
      <w:r>
        <w:rPr>
          <w:rFonts w:ascii="David" w:hAnsi="David"/>
        </w:rPr>
        <w:t>בית יוסף</w:t>
      </w:r>
      <w:r>
        <w:t xml:space="preserve"> 119:1, citing </w:t>
      </w:r>
      <w:r>
        <w:rPr>
          <w:i/>
        </w:rPr>
        <w:t>Megillah</w:t>
      </w:r>
      <w:r>
        <w:t xml:space="preserve"> 18a) give the same rationale for </w:t>
      </w:r>
      <w:r>
        <w:rPr>
          <w:i/>
        </w:rPr>
        <w:t>Shema Koleinu</w:t>
      </w:r>
      <w:r>
        <w:t xml:space="preserve">. (Corrected from the weekly write-up’s </w:t>
      </w:r>
      <w:r>
        <w:rPr>
          <w:i/>
        </w:rPr>
        <w:t>Megillah</w:t>
      </w:r>
      <w:r>
        <w:t xml:space="preserve"> 17b alone: the verse on </w:t>
      </w:r>
      <w:r>
        <w:rPr>
          <w:i/>
        </w:rPr>
        <w:t>bais tefilasi</w:t>
      </w:r>
      <w:r>
        <w:t xml:space="preserve"> is on 18a; verified against Sefaria.)</w:t>
      </w:r>
    </w:p>
    <w:p>
      <w:r>
        <w:rPr>
          <w:b/>
          <w:color w:val="1E3A8A"/>
        </w:rPr>
        <w:t xml:space="preserve">3. </w:t>
      </w:r>
    </w:p>
    <w:p>
      <w:pPr>
        <w:ind w:left="432"/>
      </w:pPr>
      <w:r>
        <w:rPr>
          <w:b/>
          <w:color w:val="D4A017"/>
          <w:sz w:val="18"/>
        </w:rPr>
        <w:t xml:space="preserve">[Note] </w:t>
      </w:r>
      <w:r>
        <w:rPr>
          <w:b/>
          <w:color w:val="5A4B1A"/>
          <w:sz w:val="18"/>
        </w:rPr>
        <w:t xml:space="preserve">The </w:t>
      </w:r>
      <w:r>
        <w:rPr>
          <w:b/>
          <w:i/>
          <w:color w:val="5A4B1A"/>
          <w:sz w:val="18"/>
        </w:rPr>
        <w:t>Midrash</w:t>
      </w:r>
      <w:r>
        <w:rPr>
          <w:b/>
          <w:color w:val="5A4B1A"/>
          <w:sz w:val="18"/>
        </w:rPr>
        <w:t xml:space="preserve"> of the </w:t>
      </w:r>
      <w:r>
        <w:rPr>
          <w:b/>
          <w:i/>
          <w:color w:val="5A4B1A"/>
          <w:sz w:val="18"/>
        </w:rPr>
        <w:t>malachei hashares</w:t>
      </w:r>
      <w:r>
        <w:rPr>
          <w:color w:val="5A4B1A"/>
          <w:sz w:val="18"/>
        </w:rPr>
        <w:t xml:space="preserve"> (</w:t>
      </w:r>
      <w:r>
        <w:rPr>
          <w:rFonts w:ascii="David" w:hAnsi="David"/>
          <w:color w:val="5A4B1A"/>
          <w:sz w:val="18"/>
        </w:rPr>
        <w:t>מלאכי השרת</w:t>
      </w:r>
      <w:r>
        <w:rPr>
          <w:color w:val="5A4B1A"/>
          <w:sz w:val="18"/>
        </w:rPr>
        <w:t xml:space="preserve">) proclaiming </w:t>
      </w:r>
      <w:r>
        <w:rPr>
          <w:i/>
          <w:color w:val="5A4B1A"/>
          <w:sz w:val="18"/>
        </w:rPr>
        <w:t>“</w:t>
      </w:r>
      <w:r>
        <w:rPr>
          <w:rFonts w:ascii="David" w:hAnsi="David"/>
          <w:i/>
          <w:color w:val="5A4B1A"/>
          <w:sz w:val="18"/>
        </w:rPr>
        <w:t>ברוך אתה ה׳ שומע תפילה</w:t>
      </w:r>
      <w:r>
        <w:rPr>
          <w:i/>
          <w:color w:val="5A4B1A"/>
          <w:sz w:val="18"/>
        </w:rPr>
        <w:t>”</w:t>
      </w:r>
      <w:r>
        <w:rPr>
          <w:color w:val="5A4B1A"/>
          <w:sz w:val="18"/>
        </w:rPr>
        <w:t xml:space="preserve"> when Israel cried out in </w:t>
      </w:r>
      <w:r>
        <w:rPr>
          <w:i/>
          <w:color w:val="5A4B1A"/>
          <w:sz w:val="18"/>
        </w:rPr>
        <w:t>Mitzrayim</w:t>
      </w:r>
      <w:r>
        <w:rPr>
          <w:color w:val="5A4B1A"/>
          <w:sz w:val="18"/>
        </w:rPr>
        <w:t xml:space="preserve"> (</w:t>
      </w:r>
      <w:r>
        <w:rPr>
          <w:i/>
          <w:color w:val="5A4B1A"/>
          <w:sz w:val="18"/>
        </w:rPr>
        <w:t>Shemos</w:t>
      </w:r>
      <w:r>
        <w:rPr>
          <w:color w:val="5A4B1A"/>
          <w:sz w:val="18"/>
        </w:rPr>
        <w:t xml:space="preserve"> 2:23) was given without a specific source in the delivered exposition. </w:t>
      </w:r>
      <w:r>
        <w:rPr>
          <w:i/>
          <w:color w:val="5A4B1A"/>
          <w:sz w:val="18"/>
        </w:rPr>
        <w:t>Caveat:</w:t>
      </w:r>
      <w:r>
        <w:rPr>
          <w:color w:val="5A4B1A"/>
          <w:sz w:val="18"/>
        </w:rPr>
        <w:t xml:space="preserve"> the </w:t>
      </w:r>
      <w:r>
        <w:rPr>
          <w:i/>
          <w:color w:val="5A4B1A"/>
          <w:sz w:val="18"/>
        </w:rPr>
        <w:t>midrashic</w:t>
      </w:r>
      <w:r>
        <w:rPr>
          <w:color w:val="5A4B1A"/>
          <w:sz w:val="18"/>
        </w:rPr>
        <w:t xml:space="preserve"> source was not identified in the weekly write-up and could not be pinned here; it is retained as the Rav presented it. The verse quoted, </w:t>
      </w:r>
      <w:r>
        <w:rPr>
          <w:rFonts w:ascii="David" w:hAnsi="David"/>
          <w:color w:val="5A4B1A"/>
          <w:sz w:val="18"/>
        </w:rPr>
        <w:t>ויאנחו בני ישראל מן העבודה ויזעקו ותעל שועתם אל האלקים מן העבודה</w:t>
      </w:r>
      <w:r>
        <w:rPr>
          <w:color w:val="5A4B1A"/>
          <w:sz w:val="18"/>
        </w:rPr>
        <w:t xml:space="preserve">, is </w:t>
      </w:r>
      <w:r>
        <w:rPr>
          <w:i/>
          <w:color w:val="5A4B1A"/>
          <w:sz w:val="18"/>
        </w:rPr>
        <w:t>Shemos</w:t>
      </w:r>
      <w:r>
        <w:rPr>
          <w:color w:val="5A4B1A"/>
          <w:sz w:val="18"/>
        </w:rPr>
        <w:t xml:space="preserve"> 2:23.</w:t>
      </w:r>
    </w:p>
    <w:p>
      <w:r>
        <w:rPr>
          <w:b/>
          <w:color w:val="1E3A8A"/>
        </w:rPr>
        <w:t xml:space="preserve">4. </w:t>
      </w:r>
      <w:r>
        <w:rPr>
          <w:b/>
          <w:i/>
          <w:color w:val="1E3A8A"/>
        </w:rPr>
        <w:t>Tur Orach Chaim</w:t>
      </w:r>
      <w:r>
        <w:rPr>
          <w:b/>
          <w:color w:val="1E3A8A"/>
        </w:rPr>
        <w:t xml:space="preserve"> 118 (</w:t>
      </w:r>
      <w:r>
        <w:rPr>
          <w:rFonts w:ascii="David" w:hAnsi="David"/>
          <w:b/>
          <w:color w:val="1E3A8A"/>
        </w:rPr>
        <w:t>טור אורח חיים סימן קי״ח</w:t>
      </w:r>
      <w:r>
        <w:rPr>
          <w:b/>
          <w:color w:val="1E3A8A"/>
        </w:rPr>
        <w:t xml:space="preserve">) — </w:t>
      </w:r>
      <w:r>
        <w:rPr>
          <w:b/>
          <w:i/>
          <w:color w:val="1E3A8A"/>
        </w:rPr>
        <w:t>gematria</w:t>
      </w:r>
      <w:r>
        <w:rPr>
          <w:b/>
          <w:color w:val="1E3A8A"/>
        </w:rPr>
        <w:t xml:space="preserve"> of 1,800 from the opening letters of the </w:t>
      </w:r>
      <w:r>
        <w:rPr>
          <w:b/>
          <w:i/>
          <w:color w:val="1E3A8A"/>
        </w:rPr>
        <w:t>berachos</w:t>
      </w:r>
      <w:r>
        <w:rPr>
          <w:b/>
          <w:color w:val="1E3A8A"/>
        </w:rPr>
        <w:t xml:space="preserve">; the </w:t>
      </w:r>
      <w:r>
        <w:rPr>
          <w:b/>
          <w:i/>
          <w:color w:val="1E3A8A"/>
        </w:rPr>
        <w:t>shin</w:t>
      </w:r>
      <w:r>
        <w:rPr>
          <w:b/>
          <w:color w:val="1E3A8A"/>
        </w:rPr>
        <w:t xml:space="preserve"> of </w:t>
      </w:r>
      <w:r>
        <w:rPr>
          <w:b/>
          <w:i/>
          <w:color w:val="1E3A8A"/>
        </w:rPr>
        <w:t>“Shema.”</w:t>
      </w:r>
      <w:r>
        <w:t xml:space="preserve"> </w:t>
      </w:r>
      <w:r>
        <w:t xml:space="preserve">— </w:t>
      </w:r>
      <w:r>
        <w:rPr>
          <w:b/>
        </w:rPr>
        <w:t>Verified against Sefaria, with a correction of locus and attribution.</w:t>
      </w:r>
      <w:r>
        <w:t xml:space="preserve"> The count appears in the </w:t>
      </w:r>
      <w:r>
        <w:rPr>
          <w:i/>
        </w:rPr>
        <w:t>Tur</w:t>
      </w:r>
      <w:r>
        <w:t xml:space="preserve"> at </w:t>
      </w:r>
      <w:r>
        <w:rPr>
          <w:i/>
        </w:rPr>
        <w:t>siman</w:t>
      </w:r>
      <w:r>
        <w:t xml:space="preserve"> 118, in the </w:t>
      </w:r>
      <w:r>
        <w:rPr>
          <w:i/>
        </w:rPr>
        <w:t>berachah</w:t>
      </w:r>
      <w:r>
        <w:t xml:space="preserve"> of </w:t>
      </w:r>
      <w:r>
        <w:rPr>
          <w:i/>
        </w:rPr>
        <w:t>Boneh Yerushalayim</w:t>
      </w:r>
      <w:r>
        <w:t xml:space="preserve">: </w:t>
      </w:r>
      <w:r>
        <w:rPr>
          <w:i/>
        </w:rPr>
        <w:t>“</w:t>
      </w:r>
      <w:r>
        <w:rPr>
          <w:rFonts w:ascii="David" w:hAnsi="David"/>
          <w:i/>
        </w:rPr>
        <w:t>מנין ראשי תיבות של שמונה עשר עולה אלף ות״ת כמנין המלאכים שמקבלין תפלותיהן של ישראל</w:t>
      </w:r>
      <w:r>
        <w:rPr>
          <w:i/>
        </w:rPr>
        <w:t>”</w:t>
      </w:r>
      <w:r>
        <w:t xml:space="preserve">, brought as support from the </w:t>
      </w:r>
      <w:r>
        <w:rPr>
          <w:i/>
        </w:rPr>
        <w:t>Midrash Dorshei Reshumos</w:t>
      </w:r>
      <w:r>
        <w:t xml:space="preserve"> for the </w:t>
      </w:r>
      <w:r>
        <w:rPr>
          <w:i/>
        </w:rPr>
        <w:t>nusach</w:t>
      </w:r>
      <w:r>
        <w:t xml:space="preserve"> </w:t>
      </w:r>
      <w:r>
        <w:rPr>
          <w:i/>
        </w:rPr>
        <w:t>“</w:t>
      </w:r>
      <w:r>
        <w:rPr>
          <w:rFonts w:ascii="David" w:hAnsi="David"/>
          <w:i/>
        </w:rPr>
        <w:t>ולירושלים עירך</w:t>
      </w:r>
      <w:r>
        <w:rPr>
          <w:i/>
        </w:rPr>
        <w:t>”</w:t>
      </w:r>
      <w:r>
        <w:t xml:space="preserve"> (</w:t>
      </w:r>
      <w:r>
        <w:rPr>
          <w:i/>
        </w:rPr>
        <w:t>“</w:t>
      </w:r>
      <w:r>
        <w:rPr>
          <w:rFonts w:ascii="David" w:hAnsi="David"/>
          <w:i/>
        </w:rPr>
        <w:t>ולפי הנוסח הזה יהיה החשבון מכוון</w:t>
      </w:r>
      <w:r>
        <w:rPr>
          <w:i/>
        </w:rPr>
        <w:t>”</w:t>
      </w:r>
      <w:r>
        <w:t xml:space="preserve">). The </w:t>
      </w:r>
      <w:r>
        <w:rPr>
          <w:i/>
        </w:rPr>
        <w:t>Tur</w:t>
      </w:r>
      <w:r>
        <w:t xml:space="preserve"> does not there name the </w:t>
      </w:r>
      <w:r>
        <w:rPr>
          <w:i/>
        </w:rPr>
        <w:t>Zohar</w:t>
      </w:r>
      <w:r>
        <w:t xml:space="preserve">; the connection to the </w:t>
      </w:r>
      <w:r>
        <w:rPr>
          <w:i/>
        </w:rPr>
        <w:t>Zohar</w:t>
      </w:r>
      <w:r>
        <w:t xml:space="preserve"> is the Rav’s. The </w:t>
      </w:r>
      <w:r>
        <w:rPr>
          <w:i/>
        </w:rPr>
        <w:t>Shema Koleinu</w:t>
      </w:r>
      <w:r>
        <w:t xml:space="preserve"> </w:t>
      </w:r>
      <w:r>
        <w:rPr>
          <w:i/>
        </w:rPr>
        <w:t>berachah</w:t>
      </w:r>
      <w:r>
        <w:t xml:space="preserve"> itself is treated in </w:t>
      </w:r>
      <w:r>
        <w:rPr>
          <w:i/>
        </w:rPr>
        <w:t>siman</w:t>
      </w:r>
      <w:r>
        <w:t xml:space="preserve"> 119, which does not mention </w:t>
      </w:r>
      <w:r>
        <w:rPr>
          <w:i/>
        </w:rPr>
        <w:t>Av HaRachaman</w:t>
      </w:r>
      <w:r>
        <w:t>.</w:t>
        <w:br/>
        <w:t xml:space="preserve">  </w:t>
      </w:r>
      <w:r>
        <w:br/>
      </w:r>
      <w:r>
        <w:rPr>
          <w:i/>
        </w:rPr>
        <w:t>Caveat:</w:t>
      </w:r>
      <w:r>
        <w:t xml:space="preserve"> the conclusion that the </w:t>
      </w:r>
      <w:r>
        <w:rPr>
          <w:i/>
        </w:rPr>
        <w:t>berachah</w:t>
      </w:r>
      <w:r>
        <w:t xml:space="preserve"> must open with the </w:t>
      </w:r>
      <w:r>
        <w:rPr>
          <w:i/>
        </w:rPr>
        <w:t>shin</w:t>
      </w:r>
      <w:r>
        <w:t xml:space="preserve"> of </w:t>
      </w:r>
      <w:r>
        <w:rPr>
          <w:i/>
        </w:rPr>
        <w:t>Shema</w:t>
      </w:r>
      <w:r>
        <w:t xml:space="preserve"> (300) rather than the </w:t>
      </w:r>
      <w:r>
        <w:rPr>
          <w:i/>
        </w:rPr>
        <w:t>aleph</w:t>
      </w:r>
      <w:r>
        <w:t xml:space="preserve"> of </w:t>
      </w:r>
      <w:r>
        <w:rPr>
          <w:i/>
        </w:rPr>
        <w:t>Av</w:t>
      </w:r>
      <w:r>
        <w:t xml:space="preserve"> (1) was not found in the </w:t>
      </w:r>
      <w:r>
        <w:rPr>
          <w:i/>
        </w:rPr>
        <w:t>Tur</w:t>
      </w:r>
      <w:r>
        <w:t xml:space="preserve"> text and is retained as the Rav’s application. As an editorial arithmetic check only (not a Sefaria source): the nineteen opening letters of the Ashkenaz </w:t>
      </w:r>
      <w:r>
        <w:rPr>
          <w:i/>
        </w:rPr>
        <w:t>nusach</w:t>
      </w:r>
      <w:r>
        <w:t xml:space="preserve"> sum to 1,799 (1,800 with the </w:t>
      </w:r>
      <w:r>
        <w:rPr>
          <w:i/>
        </w:rPr>
        <w:t>kollel</w:t>
      </w:r>
      <w:r>
        <w:t xml:space="preserve">), and substituting an </w:t>
      </w:r>
      <w:r>
        <w:rPr>
          <w:i/>
        </w:rPr>
        <w:t>aleph</w:t>
      </w:r>
      <w:r>
        <w:t xml:space="preserve"> for the </w:t>
      </w:r>
      <w:r>
        <w:rPr>
          <w:i/>
        </w:rPr>
        <w:t>shin</w:t>
      </w:r>
      <w:r>
        <w:t xml:space="preserve"> gives 1,500. Whether the count presumes eighteen or nineteen </w:t>
      </w:r>
      <w:r>
        <w:rPr>
          <w:i/>
        </w:rPr>
        <w:t>berachos</w:t>
      </w:r>
      <w:r>
        <w:t xml:space="preserve">, and which </w:t>
      </w:r>
      <w:r>
        <w:rPr>
          <w:i/>
        </w:rPr>
        <w:t>nusach</w:t>
      </w:r>
      <w:r>
        <w:t xml:space="preserve"> of </w:t>
      </w:r>
      <w:r>
        <w:rPr>
          <w:i/>
        </w:rPr>
        <w:t>Boneh Yerushalayim</w:t>
      </w:r>
      <w:r>
        <w:t>, is not established here.</w:t>
      </w:r>
    </w:p>
    <w:p>
      <w:pPr>
        <w:ind w:left="432"/>
      </w:pPr>
      <w:r>
        <w:rPr>
          <w:b/>
          <w:color w:val="D4A017"/>
          <w:sz w:val="18"/>
        </w:rPr>
        <w:t xml:space="preserve">[Note] </w:t>
      </w:r>
      <w:r>
        <w:rPr>
          <w:i/>
          <w:color w:val="5A4B1A"/>
          <w:sz w:val="18"/>
        </w:rPr>
        <w:t>Tur Orach Chaim</w:t>
      </w:r>
      <w:r>
        <w:rPr>
          <w:color w:val="5A4B1A"/>
          <w:sz w:val="18"/>
        </w:rPr>
        <w:t xml:space="preserve"> 118 (</w:t>
      </w:r>
      <w:r>
        <w:rPr>
          <w:rFonts w:ascii="David" w:hAnsi="David"/>
          <w:color w:val="5A4B1A"/>
          <w:sz w:val="18"/>
        </w:rPr>
        <w:t>טור אורח חיים סימן קי״ח</w:t>
      </w:r>
      <w:r>
        <w:rPr>
          <w:color w:val="5A4B1A"/>
          <w:sz w:val="18"/>
        </w:rPr>
        <w:t xml:space="preserve">) — </w:t>
      </w:r>
      <w:r>
        <w:rPr>
          <w:i/>
          <w:color w:val="5A4B1A"/>
          <w:sz w:val="18"/>
        </w:rPr>
        <w:t>gematria</w:t>
      </w:r>
      <w:r>
        <w:rPr>
          <w:color w:val="5A4B1A"/>
          <w:sz w:val="18"/>
        </w:rPr>
        <w:t xml:space="preserve"> of 1,800 from the opening letters of the </w:t>
      </w:r>
      <w:r>
        <w:rPr>
          <w:i/>
          <w:color w:val="5A4B1A"/>
          <w:sz w:val="18"/>
        </w:rPr>
        <w:t>berachos</w:t>
      </w:r>
      <w:r>
        <w:rPr>
          <w:color w:val="5A4B1A"/>
          <w:sz w:val="18"/>
        </w:rPr>
        <w:t xml:space="preserve">; the </w:t>
      </w:r>
      <w:r>
        <w:rPr>
          <w:i/>
          <w:color w:val="5A4B1A"/>
          <w:sz w:val="18"/>
        </w:rPr>
        <w:t>shin</w:t>
      </w:r>
      <w:r>
        <w:rPr>
          <w:color w:val="5A4B1A"/>
          <w:sz w:val="18"/>
        </w:rPr>
        <w:t xml:space="preserve"> of </w:t>
      </w:r>
      <w:r>
        <w:rPr>
          <w:i/>
          <w:color w:val="5A4B1A"/>
          <w:sz w:val="18"/>
        </w:rPr>
        <w:t>“Shema.”</w:t>
      </w:r>
      <w:r>
        <w:rPr>
          <w:color w:val="5A4B1A"/>
          <w:sz w:val="18"/>
        </w:rPr>
        <w:t xml:space="preserve"> </w:t>
      </w:r>
      <w:r>
        <w:rPr>
          <w:color w:val="5A4B1A"/>
          <w:sz w:val="18"/>
        </w:rPr>
        <w:t xml:space="preserve">— </w:t>
      </w:r>
      <w:r>
        <w:rPr>
          <w:b/>
          <w:color w:val="5A4B1A"/>
          <w:sz w:val="18"/>
        </w:rPr>
        <w:t>Verified against Sefaria, with a correction of locus and attribution.</w:t>
      </w:r>
      <w:r>
        <w:rPr>
          <w:color w:val="5A4B1A"/>
          <w:sz w:val="18"/>
        </w:rPr>
        <w:t xml:space="preserve"> The count appears in the </w:t>
      </w:r>
      <w:r>
        <w:rPr>
          <w:i/>
          <w:color w:val="5A4B1A"/>
          <w:sz w:val="18"/>
        </w:rPr>
        <w:t>Tur</w:t>
      </w:r>
      <w:r>
        <w:rPr>
          <w:color w:val="5A4B1A"/>
          <w:sz w:val="18"/>
        </w:rPr>
        <w:t xml:space="preserve"> at </w:t>
      </w:r>
      <w:r>
        <w:rPr>
          <w:i/>
          <w:color w:val="5A4B1A"/>
          <w:sz w:val="18"/>
        </w:rPr>
        <w:t>siman</w:t>
      </w:r>
      <w:r>
        <w:rPr>
          <w:color w:val="5A4B1A"/>
          <w:sz w:val="18"/>
        </w:rPr>
        <w:t xml:space="preserve"> 118, in the </w:t>
      </w:r>
      <w:r>
        <w:rPr>
          <w:i/>
          <w:color w:val="5A4B1A"/>
          <w:sz w:val="18"/>
        </w:rPr>
        <w:t>berachah</w:t>
      </w:r>
      <w:r>
        <w:rPr>
          <w:color w:val="5A4B1A"/>
          <w:sz w:val="18"/>
        </w:rPr>
        <w:t xml:space="preserve"> of </w:t>
      </w:r>
      <w:r>
        <w:rPr>
          <w:i/>
          <w:color w:val="5A4B1A"/>
          <w:sz w:val="18"/>
        </w:rPr>
        <w:t>Boneh Yerushalayim</w:t>
      </w:r>
      <w:r>
        <w:rPr>
          <w:color w:val="5A4B1A"/>
          <w:sz w:val="18"/>
        </w:rPr>
        <w:t xml:space="preserve">: </w:t>
      </w:r>
      <w:r>
        <w:rPr>
          <w:i/>
          <w:color w:val="5A4B1A"/>
          <w:sz w:val="18"/>
        </w:rPr>
        <w:t>“</w:t>
      </w:r>
      <w:r>
        <w:rPr>
          <w:rFonts w:ascii="David" w:hAnsi="David"/>
          <w:i/>
          <w:color w:val="5A4B1A"/>
          <w:sz w:val="18"/>
        </w:rPr>
        <w:t>מנין ראשי תיבות של שמונה עשר עולה אלף ות״ת כמנין המלאכים שמקבלין תפלותיהן של ישראל</w:t>
      </w:r>
      <w:r>
        <w:rPr>
          <w:i/>
          <w:color w:val="5A4B1A"/>
          <w:sz w:val="18"/>
        </w:rPr>
        <w:t>”</w:t>
      </w:r>
      <w:r>
        <w:rPr>
          <w:color w:val="5A4B1A"/>
          <w:sz w:val="18"/>
        </w:rPr>
        <w:t xml:space="preserve">, brought as support from the </w:t>
      </w:r>
      <w:r>
        <w:rPr>
          <w:i/>
          <w:color w:val="5A4B1A"/>
          <w:sz w:val="18"/>
        </w:rPr>
        <w:t>Midrash Dorshei Reshumos</w:t>
      </w:r>
      <w:r>
        <w:rPr>
          <w:color w:val="5A4B1A"/>
          <w:sz w:val="18"/>
        </w:rPr>
        <w:t xml:space="preserve"> for the </w:t>
      </w:r>
      <w:r>
        <w:rPr>
          <w:i/>
          <w:color w:val="5A4B1A"/>
          <w:sz w:val="18"/>
        </w:rPr>
        <w:t>nusach</w:t>
      </w:r>
      <w:r>
        <w:rPr>
          <w:color w:val="5A4B1A"/>
          <w:sz w:val="18"/>
        </w:rPr>
        <w:t xml:space="preserve"> </w:t>
      </w:r>
      <w:r>
        <w:rPr>
          <w:i/>
          <w:color w:val="5A4B1A"/>
          <w:sz w:val="18"/>
        </w:rPr>
        <w:t>“</w:t>
      </w:r>
      <w:r>
        <w:rPr>
          <w:rFonts w:ascii="David" w:hAnsi="David"/>
          <w:i/>
          <w:color w:val="5A4B1A"/>
          <w:sz w:val="18"/>
        </w:rPr>
        <w:t>ולירושלים עירך</w:t>
      </w:r>
      <w:r>
        <w:rPr>
          <w:i/>
          <w:color w:val="5A4B1A"/>
          <w:sz w:val="18"/>
        </w:rPr>
        <w:t>”</w:t>
      </w:r>
      <w:r>
        <w:rPr>
          <w:color w:val="5A4B1A"/>
          <w:sz w:val="18"/>
        </w:rPr>
        <w:t xml:space="preserve"> (</w:t>
      </w:r>
      <w:r>
        <w:rPr>
          <w:i/>
          <w:color w:val="5A4B1A"/>
          <w:sz w:val="18"/>
        </w:rPr>
        <w:t>“</w:t>
      </w:r>
      <w:r>
        <w:rPr>
          <w:rFonts w:ascii="David" w:hAnsi="David"/>
          <w:i/>
          <w:color w:val="5A4B1A"/>
          <w:sz w:val="18"/>
        </w:rPr>
        <w:t>ולפי הנוסח הזה יהיה החשבון מכוון</w:t>
      </w:r>
      <w:r>
        <w:rPr>
          <w:i/>
          <w:color w:val="5A4B1A"/>
          <w:sz w:val="18"/>
        </w:rPr>
        <w:t>”</w:t>
      </w:r>
      <w:r>
        <w:rPr>
          <w:color w:val="5A4B1A"/>
          <w:sz w:val="18"/>
        </w:rPr>
        <w:t xml:space="preserve">). The </w:t>
      </w:r>
      <w:r>
        <w:rPr>
          <w:i/>
          <w:color w:val="5A4B1A"/>
          <w:sz w:val="18"/>
        </w:rPr>
        <w:t>Tur</w:t>
      </w:r>
      <w:r>
        <w:rPr>
          <w:color w:val="5A4B1A"/>
          <w:sz w:val="18"/>
        </w:rPr>
        <w:t xml:space="preserve"> does not there name the </w:t>
      </w:r>
      <w:r>
        <w:rPr>
          <w:i/>
          <w:color w:val="5A4B1A"/>
          <w:sz w:val="18"/>
        </w:rPr>
        <w:t>Zohar</w:t>
      </w:r>
      <w:r>
        <w:rPr>
          <w:color w:val="5A4B1A"/>
          <w:sz w:val="18"/>
        </w:rPr>
        <w:t xml:space="preserve">; the connection to the </w:t>
      </w:r>
      <w:r>
        <w:rPr>
          <w:i/>
          <w:color w:val="5A4B1A"/>
          <w:sz w:val="18"/>
        </w:rPr>
        <w:t>Zohar</w:t>
      </w:r>
      <w:r>
        <w:rPr>
          <w:color w:val="5A4B1A"/>
          <w:sz w:val="18"/>
        </w:rPr>
        <w:t xml:space="preserve"> is the Rav’s. The </w:t>
      </w:r>
      <w:r>
        <w:rPr>
          <w:i/>
          <w:color w:val="5A4B1A"/>
          <w:sz w:val="18"/>
        </w:rPr>
        <w:t>Shema Koleinu</w:t>
      </w:r>
      <w:r>
        <w:rPr>
          <w:color w:val="5A4B1A"/>
          <w:sz w:val="18"/>
        </w:rPr>
        <w:t xml:space="preserve"> </w:t>
      </w:r>
      <w:r>
        <w:rPr>
          <w:i/>
          <w:color w:val="5A4B1A"/>
          <w:sz w:val="18"/>
        </w:rPr>
        <w:t>berachah</w:t>
      </w:r>
      <w:r>
        <w:rPr>
          <w:color w:val="5A4B1A"/>
          <w:sz w:val="18"/>
        </w:rPr>
        <w:t xml:space="preserve"> itself is treated in </w:t>
      </w:r>
      <w:r>
        <w:rPr>
          <w:i/>
          <w:color w:val="5A4B1A"/>
          <w:sz w:val="18"/>
        </w:rPr>
        <w:t>siman</w:t>
      </w:r>
      <w:r>
        <w:rPr>
          <w:color w:val="5A4B1A"/>
          <w:sz w:val="18"/>
        </w:rPr>
        <w:t xml:space="preserve"> 119, which does not mention </w:t>
      </w:r>
      <w:r>
        <w:rPr>
          <w:i/>
          <w:color w:val="5A4B1A"/>
          <w:sz w:val="18"/>
        </w:rPr>
        <w:t>Av HaRachaman</w:t>
      </w:r>
      <w:r>
        <w:rPr>
          <w:color w:val="5A4B1A"/>
          <w:sz w:val="18"/>
        </w:rPr>
        <w:t>.</w:t>
        <w:br/>
        <w:t xml:space="preserve">  </w:t>
      </w:r>
      <w:r>
        <w:br/>
      </w:r>
      <w:r>
        <w:rPr>
          <w:i/>
          <w:color w:val="5A4B1A"/>
          <w:sz w:val="18"/>
        </w:rPr>
        <w:t>Caveat:</w:t>
      </w:r>
      <w:r>
        <w:rPr>
          <w:color w:val="5A4B1A"/>
          <w:sz w:val="18"/>
        </w:rPr>
        <w:t xml:space="preserve"> the conclusion that the </w:t>
      </w:r>
      <w:r>
        <w:rPr>
          <w:i/>
          <w:color w:val="5A4B1A"/>
          <w:sz w:val="18"/>
        </w:rPr>
        <w:t>berachah</w:t>
      </w:r>
      <w:r>
        <w:rPr>
          <w:color w:val="5A4B1A"/>
          <w:sz w:val="18"/>
        </w:rPr>
        <w:t xml:space="preserve"> must open with the </w:t>
      </w:r>
      <w:r>
        <w:rPr>
          <w:i/>
          <w:color w:val="5A4B1A"/>
          <w:sz w:val="18"/>
        </w:rPr>
        <w:t>shin</w:t>
      </w:r>
      <w:r>
        <w:rPr>
          <w:color w:val="5A4B1A"/>
          <w:sz w:val="18"/>
        </w:rPr>
        <w:t xml:space="preserve"> of </w:t>
      </w:r>
      <w:r>
        <w:rPr>
          <w:i/>
          <w:color w:val="5A4B1A"/>
          <w:sz w:val="18"/>
        </w:rPr>
        <w:t>Shema</w:t>
      </w:r>
      <w:r>
        <w:rPr>
          <w:color w:val="5A4B1A"/>
          <w:sz w:val="18"/>
        </w:rPr>
        <w:t xml:space="preserve"> (300) rather than the </w:t>
      </w:r>
      <w:r>
        <w:rPr>
          <w:i/>
          <w:color w:val="5A4B1A"/>
          <w:sz w:val="18"/>
        </w:rPr>
        <w:t>aleph</w:t>
      </w:r>
      <w:r>
        <w:rPr>
          <w:color w:val="5A4B1A"/>
          <w:sz w:val="18"/>
        </w:rPr>
        <w:t xml:space="preserve"> of </w:t>
      </w:r>
      <w:r>
        <w:rPr>
          <w:i/>
          <w:color w:val="5A4B1A"/>
          <w:sz w:val="18"/>
        </w:rPr>
        <w:t>Av</w:t>
      </w:r>
      <w:r>
        <w:rPr>
          <w:color w:val="5A4B1A"/>
          <w:sz w:val="18"/>
        </w:rPr>
        <w:t xml:space="preserve"> (1) was not found in the </w:t>
      </w:r>
      <w:r>
        <w:rPr>
          <w:i/>
          <w:color w:val="5A4B1A"/>
          <w:sz w:val="18"/>
        </w:rPr>
        <w:t>Tur</w:t>
      </w:r>
      <w:r>
        <w:rPr>
          <w:color w:val="5A4B1A"/>
          <w:sz w:val="18"/>
        </w:rPr>
        <w:t xml:space="preserve"> text and is retained as the Rav’s application. As an editorial arithmetic check only (not a Sefaria source): the nineteen opening letters of the Ashkenaz </w:t>
      </w:r>
      <w:r>
        <w:rPr>
          <w:i/>
          <w:color w:val="5A4B1A"/>
          <w:sz w:val="18"/>
        </w:rPr>
        <w:t>nusach</w:t>
      </w:r>
      <w:r>
        <w:rPr>
          <w:color w:val="5A4B1A"/>
          <w:sz w:val="18"/>
        </w:rPr>
        <w:t xml:space="preserve"> sum to 1,799 (1,800 with the </w:t>
      </w:r>
      <w:r>
        <w:rPr>
          <w:i/>
          <w:color w:val="5A4B1A"/>
          <w:sz w:val="18"/>
        </w:rPr>
        <w:t>kollel</w:t>
      </w:r>
      <w:r>
        <w:rPr>
          <w:color w:val="5A4B1A"/>
          <w:sz w:val="18"/>
        </w:rPr>
        <w:t xml:space="preserve">), and substituting an </w:t>
      </w:r>
      <w:r>
        <w:rPr>
          <w:i/>
          <w:color w:val="5A4B1A"/>
          <w:sz w:val="18"/>
        </w:rPr>
        <w:t>aleph</w:t>
      </w:r>
      <w:r>
        <w:rPr>
          <w:color w:val="5A4B1A"/>
          <w:sz w:val="18"/>
        </w:rPr>
        <w:t xml:space="preserve"> for the </w:t>
      </w:r>
      <w:r>
        <w:rPr>
          <w:i/>
          <w:color w:val="5A4B1A"/>
          <w:sz w:val="18"/>
        </w:rPr>
        <w:t>shin</w:t>
      </w:r>
      <w:r>
        <w:rPr>
          <w:color w:val="5A4B1A"/>
          <w:sz w:val="18"/>
        </w:rPr>
        <w:t xml:space="preserve"> gives 1,500. Whether the count presumes eighteen or nineteen </w:t>
      </w:r>
      <w:r>
        <w:rPr>
          <w:i/>
          <w:color w:val="5A4B1A"/>
          <w:sz w:val="18"/>
        </w:rPr>
        <w:t>berachos</w:t>
      </w:r>
      <w:r>
        <w:rPr>
          <w:color w:val="5A4B1A"/>
          <w:sz w:val="18"/>
        </w:rPr>
        <w:t xml:space="preserve">, and which </w:t>
      </w:r>
      <w:r>
        <w:rPr>
          <w:i/>
          <w:color w:val="5A4B1A"/>
          <w:sz w:val="18"/>
        </w:rPr>
        <w:t>nusach</w:t>
      </w:r>
      <w:r>
        <w:rPr>
          <w:color w:val="5A4B1A"/>
          <w:sz w:val="18"/>
        </w:rPr>
        <w:t xml:space="preserve"> of </w:t>
      </w:r>
      <w:r>
        <w:rPr>
          <w:i/>
          <w:color w:val="5A4B1A"/>
          <w:sz w:val="18"/>
        </w:rPr>
        <w:t>Boneh Yerushalayim</w:t>
      </w:r>
      <w:r>
        <w:rPr>
          <w:color w:val="5A4B1A"/>
          <w:sz w:val="18"/>
        </w:rPr>
        <w:t>, is not established here.</w:t>
      </w:r>
    </w:p>
    <w:p>
      <w:r>
        <w:rPr>
          <w:b/>
          <w:color w:val="1E3A8A"/>
        </w:rPr>
        <w:t xml:space="preserve">5. </w:t>
      </w:r>
    </w:p>
    <w:p>
      <w:pPr>
        <w:ind w:left="432"/>
      </w:pPr>
      <w:r>
        <w:rPr>
          <w:b/>
          <w:color w:val="D4A017"/>
          <w:sz w:val="18"/>
        </w:rPr>
        <w:t xml:space="preserve">[Note] </w:t>
      </w:r>
      <w:r>
        <w:rPr>
          <w:b/>
          <w:i/>
          <w:color w:val="5A4B1A"/>
          <w:sz w:val="18"/>
        </w:rPr>
        <w:t>Shaar HaKavanos</w:t>
      </w:r>
      <w:r>
        <w:rPr>
          <w:color w:val="5A4B1A"/>
          <w:sz w:val="18"/>
        </w:rPr>
        <w:t xml:space="preserve"> (</w:t>
      </w:r>
      <w:r>
        <w:rPr>
          <w:rFonts w:ascii="David" w:hAnsi="David"/>
          <w:color w:val="5A4B1A"/>
          <w:sz w:val="18"/>
        </w:rPr>
        <w:t>שער הכוונות</w:t>
      </w:r>
      <w:r>
        <w:rPr>
          <w:color w:val="5A4B1A"/>
          <w:sz w:val="18"/>
        </w:rPr>
        <w:t xml:space="preserve">), transmitted by </w:t>
      </w:r>
      <w:r>
        <w:rPr>
          <w:i/>
          <w:color w:val="5A4B1A"/>
          <w:sz w:val="18"/>
        </w:rPr>
        <w:t>Rav Chaim Vital</w:t>
      </w:r>
      <w:r>
        <w:rPr>
          <w:color w:val="5A4B1A"/>
          <w:sz w:val="18"/>
        </w:rPr>
        <w:t xml:space="preserve"> (</w:t>
      </w:r>
      <w:r>
        <w:rPr>
          <w:rFonts w:ascii="David" w:hAnsi="David"/>
          <w:color w:val="5A4B1A"/>
          <w:sz w:val="18"/>
        </w:rPr>
        <w:t>רב חיים ויטאל</w:t>
      </w:r>
      <w:r>
        <w:rPr>
          <w:color w:val="5A4B1A"/>
          <w:sz w:val="18"/>
        </w:rPr>
        <w:t xml:space="preserve">), for the </w:t>
      </w:r>
      <w:r>
        <w:rPr>
          <w:i/>
          <w:color w:val="5A4B1A"/>
          <w:sz w:val="18"/>
        </w:rPr>
        <w:t>Arizal</w:t>
      </w:r>
      <w:r>
        <w:rPr>
          <w:color w:val="5A4B1A"/>
          <w:sz w:val="18"/>
        </w:rPr>
        <w:t xml:space="preserve">’s </w:t>
      </w:r>
      <w:r>
        <w:rPr>
          <w:i/>
          <w:color w:val="5A4B1A"/>
          <w:sz w:val="18"/>
        </w:rPr>
        <w:t>nusach</w:t>
      </w:r>
      <w:r>
        <w:rPr>
          <w:color w:val="5A4B1A"/>
          <w:sz w:val="18"/>
        </w:rPr>
        <w:t xml:space="preserve"> </w:t>
      </w:r>
      <w:r>
        <w:rPr>
          <w:i/>
          <w:color w:val="5A4B1A"/>
          <w:sz w:val="18"/>
        </w:rPr>
        <w:t>“</w:t>
      </w:r>
      <w:r>
        <w:rPr>
          <w:rFonts w:ascii="David" w:hAnsi="David"/>
          <w:i/>
          <w:color w:val="5A4B1A"/>
          <w:sz w:val="18"/>
        </w:rPr>
        <w:t>אב הרחמן שמע קולנו</w:t>
      </w:r>
      <w:r>
        <w:rPr>
          <w:i/>
          <w:color w:val="5A4B1A"/>
          <w:sz w:val="18"/>
        </w:rPr>
        <w:t>”</w:t>
      </w:r>
      <w:r>
        <w:rPr>
          <w:color w:val="5A4B1A"/>
          <w:sz w:val="18"/>
        </w:rPr>
        <w:t xml:space="preserve">; his </w:t>
      </w:r>
      <w:r>
        <w:rPr>
          <w:i/>
          <w:color w:val="5A4B1A"/>
          <w:sz w:val="18"/>
        </w:rPr>
        <w:t>kavanos</w:t>
      </w:r>
      <w:r>
        <w:rPr>
          <w:color w:val="5A4B1A"/>
          <w:sz w:val="18"/>
        </w:rPr>
        <w:t xml:space="preserve"> (</w:t>
      </w:r>
      <w:r>
        <w:rPr>
          <w:rFonts w:ascii="David" w:hAnsi="David"/>
          <w:color w:val="5A4B1A"/>
          <w:sz w:val="18"/>
        </w:rPr>
        <w:t>כוונות</w:t>
      </w:r>
      <w:r>
        <w:rPr>
          <w:color w:val="5A4B1A"/>
          <w:sz w:val="18"/>
        </w:rPr>
        <w:t xml:space="preserve">) here rest on the kabbalistic structure of the </w:t>
      </w:r>
      <w:r>
        <w:rPr>
          <w:i/>
          <w:color w:val="5A4B1A"/>
          <w:sz w:val="18"/>
        </w:rPr>
        <w:t>berachah</w:t>
      </w:r>
      <w:r>
        <w:rPr>
          <w:color w:val="5A4B1A"/>
          <w:sz w:val="18"/>
        </w:rPr>
        <w:t xml:space="preserve"> rather than on the </w:t>
      </w:r>
      <w:r>
        <w:rPr>
          <w:i/>
          <w:color w:val="5A4B1A"/>
          <w:sz w:val="18"/>
        </w:rPr>
        <w:t>Tur</w:t>
      </w:r>
      <w:r>
        <w:rPr>
          <w:color w:val="5A4B1A"/>
          <w:sz w:val="18"/>
        </w:rPr>
        <w:t xml:space="preserve">’s </w:t>
      </w:r>
      <w:r>
        <w:rPr>
          <w:i/>
          <w:color w:val="5A4B1A"/>
          <w:sz w:val="18"/>
        </w:rPr>
        <w:t>gematria</w:t>
      </w:r>
      <w:r>
        <w:rPr>
          <w:color w:val="5A4B1A"/>
          <w:sz w:val="18"/>
        </w:rPr>
        <w:t xml:space="preserve">. </w:t>
      </w:r>
      <w:r>
        <w:rPr>
          <w:i/>
          <w:color w:val="5A4B1A"/>
          <w:sz w:val="18"/>
        </w:rPr>
        <w:t>Caveat:</w:t>
      </w:r>
      <w:r>
        <w:rPr>
          <w:color w:val="5A4B1A"/>
          <w:sz w:val="18"/>
        </w:rPr>
        <w:t xml:space="preserve"> this source is not on Sefaria in the relevant passage, and the specific </w:t>
      </w:r>
      <w:r>
        <w:rPr>
          <w:i/>
          <w:color w:val="5A4B1A"/>
          <w:sz w:val="18"/>
        </w:rPr>
        <w:t>drush</w:t>
      </w:r>
      <w:r>
        <w:rPr>
          <w:color w:val="5A4B1A"/>
          <w:sz w:val="18"/>
        </w:rPr>
        <w:t xml:space="preserve"> or page is not pinned. The </w:t>
      </w:r>
      <w:r>
        <w:rPr>
          <w:i/>
          <w:color w:val="5A4B1A"/>
          <w:sz w:val="18"/>
        </w:rPr>
        <w:t>chassidic</w:t>
      </w:r>
      <w:r>
        <w:rPr>
          <w:color w:val="5A4B1A"/>
          <w:sz w:val="18"/>
        </w:rPr>
        <w:t xml:space="preserve"> </w:t>
      </w:r>
      <w:r>
        <w:rPr>
          <w:i/>
          <w:color w:val="5A4B1A"/>
          <w:sz w:val="18"/>
        </w:rPr>
        <w:t>nuschaos</w:t>
      </w:r>
      <w:r>
        <w:rPr>
          <w:color w:val="5A4B1A"/>
          <w:sz w:val="18"/>
        </w:rPr>
        <w:t xml:space="preserve"> that place </w:t>
      </w:r>
      <w:r>
        <w:rPr>
          <w:i/>
          <w:color w:val="5A4B1A"/>
          <w:sz w:val="18"/>
        </w:rPr>
        <w:t>“Av HaRachaman”</w:t>
      </w:r>
      <w:r>
        <w:rPr>
          <w:color w:val="5A4B1A"/>
          <w:sz w:val="18"/>
        </w:rPr>
        <w:t xml:space="preserve"> mid-</w:t>
      </w:r>
      <w:r>
        <w:rPr>
          <w:i/>
          <w:color w:val="5A4B1A"/>
          <w:sz w:val="18"/>
        </w:rPr>
        <w:t>berachah</w:t>
      </w:r>
      <w:r>
        <w:rPr>
          <w:color w:val="5A4B1A"/>
          <w:sz w:val="18"/>
        </w:rPr>
        <w:t xml:space="preserve"> were not identified in the delivered exposition (the Shiur Review suggests that a footnote naming the particular </w:t>
      </w:r>
      <w:r>
        <w:rPr>
          <w:i/>
          <w:color w:val="5A4B1A"/>
          <w:sz w:val="18"/>
        </w:rPr>
        <w:t>nusach</w:t>
      </w:r>
      <w:r>
        <w:rPr>
          <w:color w:val="5A4B1A"/>
          <w:sz w:val="18"/>
        </w:rPr>
        <w:t xml:space="preserve"> would raise the point from folklore to </w:t>
      </w:r>
      <w:r>
        <w:rPr>
          <w:i/>
          <w:color w:val="5A4B1A"/>
          <w:sz w:val="18"/>
        </w:rPr>
        <w:t>mesorah</w:t>
      </w:r>
      <w:r>
        <w:rPr>
          <w:color w:val="5A4B1A"/>
          <w:sz w:val="18"/>
        </w:rPr>
        <w:t>).</w:t>
      </w:r>
    </w:p>
    <w:p>
      <w:r>
        <w:rPr>
          <w:b/>
          <w:color w:val="1E3A8A"/>
        </w:rPr>
        <w:t xml:space="preserve">6. </w:t>
      </w:r>
      <w:r>
        <w:rPr>
          <w:b/>
          <w:i/>
          <w:color w:val="1E3A8A"/>
        </w:rPr>
        <w:t>Taanis</w:t>
      </w:r>
      <w:r>
        <w:rPr>
          <w:b/>
          <w:color w:val="1E3A8A"/>
        </w:rPr>
        <w:t xml:space="preserve"> 25b (</w:t>
      </w:r>
      <w:r>
        <w:rPr>
          <w:rFonts w:ascii="David" w:hAnsi="David"/>
          <w:b/>
          <w:color w:val="1E3A8A"/>
        </w:rPr>
        <w:t>תענית כ״ה ע״ב</w:t>
      </w:r>
      <w:r>
        <w:rPr>
          <w:b/>
          <w:color w:val="1E3A8A"/>
        </w:rPr>
        <w:t xml:space="preserve">) — </w:t>
      </w:r>
      <w:r>
        <w:rPr>
          <w:b/>
          <w:i/>
          <w:color w:val="1E3A8A"/>
        </w:rPr>
        <w:t>Shmuel HaKatan</w:t>
      </w:r>
      <w:r>
        <w:rPr>
          <w:b/>
          <w:color w:val="1E3A8A"/>
        </w:rPr>
        <w:t xml:space="preserve">’s two fasts; the </w:t>
      </w:r>
      <w:r>
        <w:rPr>
          <w:b/>
          <w:i/>
          <w:color w:val="1E3A8A"/>
        </w:rPr>
        <w:t>meshalim</w:t>
      </w:r>
      <w:r>
        <w:rPr>
          <w:b/>
          <w:color w:val="1E3A8A"/>
        </w:rPr>
        <w:t xml:space="preserve"> of master and servant.</w:t>
      </w:r>
      <w:r>
        <w:t xml:space="preserve"> </w:t>
      </w:r>
      <w:r>
        <w:t xml:space="preserve">— </w:t>
      </w:r>
      <w:r>
        <w:rPr>
          <w:b/>
        </w:rPr>
        <w:t>Verified against Sefaria.</w:t>
      </w:r>
      <w:r>
        <w:t xml:space="preserve"> After the </w:t>
      </w:r>
      <w:r>
        <w:rPr>
          <w:i/>
        </w:rPr>
        <w:t>mishnah</w:t>
      </w:r>
      <w:r>
        <w:t xml:space="preserve"> and </w:t>
      </w:r>
      <w:r>
        <w:rPr>
          <w:i/>
        </w:rPr>
        <w:t>baraisa</w:t>
      </w:r>
      <w:r>
        <w:t xml:space="preserve"> on rain falling before or after sunrise during a fast, the </w:t>
      </w:r>
      <w:r>
        <w:rPr>
          <w:i/>
        </w:rPr>
        <w:t>Gemara</w:t>
      </w:r>
      <w:r>
        <w:t xml:space="preserve"> records that </w:t>
      </w:r>
      <w:r>
        <w:rPr>
          <w:i/>
        </w:rPr>
        <w:t>Shmuel HaKatan</w:t>
      </w:r>
      <w:r>
        <w:t xml:space="preserve"> decreed a fast and rain fell </w:t>
      </w:r>
      <w:r>
        <w:rPr>
          <w:i/>
        </w:rPr>
        <w:t>“</w:t>
      </w:r>
      <w:r>
        <w:rPr>
          <w:rFonts w:ascii="David" w:hAnsi="David"/>
          <w:i/>
        </w:rPr>
        <w:t>קודם הנץ החמה</w:t>
      </w:r>
      <w:r>
        <w:rPr>
          <w:i/>
        </w:rPr>
        <w:t>”</w:t>
      </w:r>
      <w:r>
        <w:t xml:space="preserve"> (before sunrise); the people thought it the praise of the community; he told the </w:t>
      </w:r>
      <w:r>
        <w:rPr>
          <w:i/>
        </w:rPr>
        <w:t>mashal</w:t>
      </w:r>
      <w:r>
        <w:t xml:space="preserve"> of a servant who asks a reward and the master says </w:t>
      </w:r>
      <w:r>
        <w:rPr>
          <w:i/>
        </w:rPr>
        <w:t>“</w:t>
      </w:r>
      <w:r>
        <w:rPr>
          <w:rFonts w:ascii="David" w:hAnsi="David"/>
          <w:i/>
        </w:rPr>
        <w:t>תנו לו ואל אשמע קולו</w:t>
      </w:r>
      <w:r>
        <w:rPr>
          <w:i/>
        </w:rPr>
        <w:t>”</w:t>
      </w:r>
      <w:r>
        <w:t xml:space="preserve">. On another occasion rain fell </w:t>
      </w:r>
      <w:r>
        <w:rPr>
          <w:i/>
        </w:rPr>
        <w:t>“</w:t>
      </w:r>
      <w:r>
        <w:rPr>
          <w:rFonts w:ascii="David" w:hAnsi="David"/>
          <w:i/>
        </w:rPr>
        <w:t>לאחר שקיעת החמה</w:t>
      </w:r>
      <w:r>
        <w:rPr>
          <w:i/>
        </w:rPr>
        <w:t>”</w:t>
      </w:r>
      <w:r>
        <w:t xml:space="preserve"> (after sunset); he told the </w:t>
      </w:r>
      <w:r>
        <w:rPr>
          <w:i/>
        </w:rPr>
        <w:t>mashal</w:t>
      </w:r>
      <w:r>
        <w:t xml:space="preserve"> of the master who says </w:t>
      </w:r>
      <w:r>
        <w:rPr>
          <w:i/>
        </w:rPr>
        <w:t>“</w:t>
      </w:r>
      <w:r>
        <w:rPr>
          <w:rFonts w:ascii="David" w:hAnsi="David"/>
          <w:i/>
        </w:rPr>
        <w:t>המתינו לו עד שיצטער ואחר כך תנו לו</w:t>
      </w:r>
      <w:r>
        <w:rPr>
          <w:i/>
        </w:rPr>
        <w:t>”</w:t>
      </w:r>
      <w:r>
        <w:t xml:space="preserve">. The </w:t>
      </w:r>
      <w:r>
        <w:rPr>
          <w:i/>
        </w:rPr>
        <w:t>Gemara</w:t>
      </w:r>
      <w:r>
        <w:t xml:space="preserve"> then asks what, according to </w:t>
      </w:r>
      <w:r>
        <w:rPr>
          <w:i/>
        </w:rPr>
        <w:t>Shmuel HaKatan</w:t>
      </w:r>
      <w:r>
        <w:t xml:space="preserve">, would be </w:t>
      </w:r>
      <w:r>
        <w:rPr>
          <w:i/>
        </w:rPr>
        <w:t>“</w:t>
      </w:r>
      <w:r>
        <w:rPr>
          <w:rFonts w:ascii="David" w:hAnsi="David"/>
          <w:i/>
        </w:rPr>
        <w:t>שבחן של צבור</w:t>
      </w:r>
      <w:r>
        <w:rPr>
          <w:i/>
        </w:rPr>
        <w:t>”</w:t>
      </w:r>
      <w:r>
        <w:t xml:space="preserve">, and answers: when the </w:t>
      </w:r>
      <w:r>
        <w:rPr>
          <w:i/>
        </w:rPr>
        <w:t>shaliach tzibbur</w:t>
      </w:r>
      <w:r>
        <w:t xml:space="preserve"> says </w:t>
      </w:r>
      <w:r>
        <w:rPr>
          <w:i/>
        </w:rPr>
        <w:t>“</w:t>
      </w:r>
      <w:r>
        <w:rPr>
          <w:rFonts w:ascii="David" w:hAnsi="David"/>
          <w:i/>
        </w:rPr>
        <w:t>משיב הרוח</w:t>
      </w:r>
      <w:r>
        <w:rPr>
          <w:i/>
        </w:rPr>
        <w:t>”</w:t>
      </w:r>
      <w:r>
        <w:t xml:space="preserve"> and the wind blows, and </w:t>
      </w:r>
      <w:r>
        <w:rPr>
          <w:i/>
        </w:rPr>
        <w:t>“</w:t>
      </w:r>
      <w:r>
        <w:rPr>
          <w:rFonts w:ascii="David" w:hAnsi="David"/>
          <w:i/>
        </w:rPr>
        <w:t>מוריד הגשם</w:t>
      </w:r>
      <w:r>
        <w:rPr>
          <w:i/>
        </w:rPr>
        <w:t>”</w:t>
      </w:r>
      <w:r>
        <w:t xml:space="preserve"> and the rain falls. The attribution of </w:t>
      </w:r>
      <w:r>
        <w:rPr>
          <w:i/>
        </w:rPr>
        <w:t>Birkas HaMinim</w:t>
      </w:r>
      <w:r>
        <w:t xml:space="preserve"> to </w:t>
      </w:r>
      <w:r>
        <w:rPr>
          <w:i/>
        </w:rPr>
        <w:t>Shmuel HaKatan</w:t>
      </w:r>
      <w:r>
        <w:t xml:space="preserve"> is recorded in </w:t>
      </w:r>
      <w:r>
        <w:rPr>
          <w:i/>
        </w:rPr>
        <w:t>Berachos</w:t>
      </w:r>
      <w:r>
        <w:t xml:space="preserve"> 28b (not re-checked in this pass).</w:t>
      </w:r>
    </w:p>
    <w:p>
      <w:r>
        <w:rPr>
          <w:b/>
          <w:color w:val="1E3A8A"/>
        </w:rPr>
        <w:t xml:space="preserve">7. </w:t>
      </w:r>
    </w:p>
    <w:p>
      <w:pPr>
        <w:ind w:left="432"/>
      </w:pPr>
      <w:r>
        <w:rPr>
          <w:b/>
          <w:color w:val="D4A017"/>
          <w:sz w:val="18"/>
        </w:rPr>
        <w:t xml:space="preserve">[Note] </w:t>
      </w:r>
      <w:r>
        <w:rPr>
          <w:b/>
          <w:color w:val="5A4B1A"/>
          <w:sz w:val="18"/>
        </w:rPr>
        <w:t xml:space="preserve">The </w:t>
      </w:r>
      <w:r>
        <w:rPr>
          <w:b/>
          <w:i/>
          <w:color w:val="5A4B1A"/>
          <w:sz w:val="18"/>
        </w:rPr>
        <w:t>Baal Shem Tov</w:t>
      </w:r>
      <w:r>
        <w:rPr>
          <w:b/>
          <w:color w:val="5A4B1A"/>
          <w:sz w:val="18"/>
        </w:rPr>
        <w:t xml:space="preserve"> tradition</w:t>
      </w:r>
      <w:r>
        <w:rPr>
          <w:color w:val="5A4B1A"/>
          <w:sz w:val="18"/>
        </w:rPr>
        <w:t xml:space="preserve"> (</w:t>
      </w:r>
      <w:r>
        <w:rPr>
          <w:rFonts w:ascii="David" w:hAnsi="David"/>
          <w:color w:val="5A4B1A"/>
          <w:sz w:val="18"/>
        </w:rPr>
        <w:t>רבי ישראל בן אליעזר</w:t>
      </w:r>
      <w:r>
        <w:rPr>
          <w:color w:val="5A4B1A"/>
          <w:sz w:val="18"/>
        </w:rPr>
        <w:t xml:space="preserve">, c. 1698–1760, founder of </w:t>
      </w:r>
      <w:r>
        <w:rPr>
          <w:i/>
          <w:color w:val="5A4B1A"/>
          <w:sz w:val="18"/>
        </w:rPr>
        <w:t>chassidus</w:t>
      </w:r>
      <w:r>
        <w:rPr>
          <w:color w:val="5A4B1A"/>
          <w:sz w:val="18"/>
        </w:rPr>
        <w:t xml:space="preserve">) — the </w:t>
      </w:r>
      <w:r>
        <w:rPr>
          <w:i/>
          <w:color w:val="5A4B1A"/>
          <w:sz w:val="18"/>
        </w:rPr>
        <w:t>ma’aseh</w:t>
      </w:r>
      <w:r>
        <w:rPr>
          <w:color w:val="5A4B1A"/>
          <w:sz w:val="18"/>
        </w:rPr>
        <w:t xml:space="preserve"> of his entering a </w:t>
      </w:r>
      <w:r>
        <w:rPr>
          <w:i/>
          <w:color w:val="5A4B1A"/>
          <w:sz w:val="18"/>
        </w:rPr>
        <w:t>beis medrash</w:t>
      </w:r>
      <w:r>
        <w:rPr>
          <w:color w:val="5A4B1A"/>
          <w:sz w:val="18"/>
        </w:rPr>
        <w:t xml:space="preserve"> and remarking that it was “full of Torah and prayer,” then clarifying that this was a problem rather than a compliment: the prayers had not ascended. The weekly write-up reports that the story circulates in </w:t>
      </w:r>
      <w:r>
        <w:rPr>
          <w:i/>
          <w:color w:val="5A4B1A"/>
          <w:sz w:val="18"/>
        </w:rPr>
        <w:t>chassidic</w:t>
      </w:r>
      <w:r>
        <w:rPr>
          <w:color w:val="5A4B1A"/>
          <w:sz w:val="18"/>
        </w:rPr>
        <w:t xml:space="preserve"> sources (</w:t>
      </w:r>
      <w:r>
        <w:rPr>
          <w:i/>
          <w:color w:val="5A4B1A"/>
          <w:sz w:val="18"/>
        </w:rPr>
        <w:t>Degel Machaneh Ephraim</w:t>
      </w:r>
      <w:r>
        <w:rPr>
          <w:color w:val="5A4B1A"/>
          <w:sz w:val="18"/>
        </w:rPr>
        <w:t xml:space="preserve">, </w:t>
      </w:r>
      <w:r>
        <w:rPr>
          <w:i/>
          <w:color w:val="5A4B1A"/>
          <w:sz w:val="18"/>
        </w:rPr>
        <w:t>Toldos Yaakov Yosef</w:t>
      </w:r>
      <w:r>
        <w:rPr>
          <w:color w:val="5A4B1A"/>
          <w:sz w:val="18"/>
        </w:rPr>
        <w:t xml:space="preserve">, and parallel collections) as a paradigmatic teaching on the relationship between the moral state of the worshipper and the ascent of his prayer. </w:t>
      </w:r>
      <w:r>
        <w:rPr>
          <w:i/>
          <w:color w:val="5A4B1A"/>
          <w:sz w:val="18"/>
        </w:rPr>
        <w:t>Caveat:</w:t>
      </w:r>
      <w:r>
        <w:rPr>
          <w:color w:val="5A4B1A"/>
          <w:sz w:val="18"/>
        </w:rPr>
        <w:t xml:space="preserve"> no specific locus was given; not verifiable on Sefaria; retained as a </w:t>
      </w:r>
      <w:r>
        <w:rPr>
          <w:i/>
          <w:color w:val="5A4B1A"/>
          <w:sz w:val="18"/>
        </w:rPr>
        <w:t>chassidic</w:t>
      </w:r>
      <w:r>
        <w:rPr>
          <w:color w:val="5A4B1A"/>
          <w:sz w:val="18"/>
        </w:rPr>
        <w:t xml:space="preserve"> tradition and not as a documented episode.</w:t>
      </w:r>
    </w:p>
    <w:p>
      <w:r>
        <w:rPr>
          <w:b/>
          <w:color w:val="1E3A8A"/>
        </w:rPr>
        <w:t xml:space="preserve">8. </w:t>
      </w:r>
      <w:r>
        <w:rPr>
          <w:b/>
          <w:i/>
          <w:color w:val="1E3A8A"/>
        </w:rPr>
        <w:t>Avodah Zarah</w:t>
      </w:r>
      <w:r>
        <w:rPr>
          <w:b/>
          <w:color w:val="1E3A8A"/>
        </w:rPr>
        <w:t xml:space="preserve"> 8a (</w:t>
      </w:r>
      <w:r>
        <w:rPr>
          <w:rFonts w:ascii="David" w:hAnsi="David"/>
          <w:b/>
          <w:color w:val="1E3A8A"/>
        </w:rPr>
        <w:t>עבודה זרה ח׳ ע״א</w:t>
      </w:r>
      <w:r>
        <w:rPr>
          <w:b/>
          <w:color w:val="1E3A8A"/>
        </w:rPr>
        <w:t xml:space="preserve">; the </w:t>
      </w:r>
      <w:r>
        <w:rPr>
          <w:b/>
          <w:i/>
          <w:color w:val="1E3A8A"/>
        </w:rPr>
        <w:t>sugya</w:t>
      </w:r>
      <w:r>
        <w:rPr>
          <w:b/>
          <w:color w:val="1E3A8A"/>
        </w:rPr>
        <w:t xml:space="preserve"> begins at 7b) — adding personal </w:t>
      </w:r>
      <w:r>
        <w:rPr>
          <w:b/>
          <w:i/>
          <w:color w:val="1E3A8A"/>
        </w:rPr>
        <w:t>bakashos</w:t>
      </w:r>
      <w:r>
        <w:rPr>
          <w:b/>
          <w:color w:val="1E3A8A"/>
        </w:rPr>
        <w:t xml:space="preserve">; </w:t>
      </w:r>
      <w:r>
        <w:rPr>
          <w:b/>
          <w:i/>
          <w:color w:val="1E3A8A"/>
        </w:rPr>
        <w:t>me’ein haberachah</w:t>
      </w:r>
      <w:r>
        <w:rPr>
          <w:b/>
          <w:color w:val="1E3A8A"/>
        </w:rPr>
        <w:t>.</w:t>
      </w:r>
      <w:r>
        <w:t xml:space="preserve"> </w:t>
      </w:r>
      <w:r>
        <w:t xml:space="preserve">— </w:t>
      </w:r>
      <w:r>
        <w:rPr>
          <w:b/>
        </w:rPr>
        <w:t>Verified against Sefaria, with a correction.</w:t>
      </w:r>
      <w:r>
        <w:t xml:space="preserve"> The </w:t>
      </w:r>
      <w:r>
        <w:rPr>
          <w:i/>
        </w:rPr>
        <w:t>Rabbanan</w:t>
      </w:r>
      <w:r>
        <w:t xml:space="preserve"> rule that a person asks his own needs in </w:t>
      </w:r>
      <w:r>
        <w:rPr>
          <w:i/>
        </w:rPr>
        <w:t>Shomea Tefillah</w:t>
      </w:r>
      <w:r>
        <w:t xml:space="preserve"> (7b–8a). </w:t>
      </w:r>
      <w:r>
        <w:rPr>
          <w:i/>
        </w:rPr>
        <w:t>Rav Yehudah</w:t>
      </w:r>
      <w:r>
        <w:t xml:space="preserve"> in the name of </w:t>
      </w:r>
      <w:r>
        <w:rPr>
          <w:i/>
        </w:rPr>
        <w:t>Shmuel</w:t>
      </w:r>
      <w:r>
        <w:t xml:space="preserve">: the </w:t>
      </w:r>
      <w:r>
        <w:rPr>
          <w:i/>
        </w:rPr>
        <w:t>halachah</w:t>
      </w:r>
      <w:r>
        <w:t xml:space="preserve"> is that one asks his needs in </w:t>
      </w:r>
      <w:r>
        <w:rPr>
          <w:i/>
        </w:rPr>
        <w:t>Shomea Tefillah</w:t>
      </w:r>
      <w:r>
        <w:t xml:space="preserve">. </w:t>
      </w:r>
      <w:r>
        <w:rPr>
          <w:i/>
        </w:rPr>
        <w:t>Rav Yehudah the son of Rav Shmuel bar Sheilat</w:t>
      </w:r>
      <w:r>
        <w:t xml:space="preserve"> in the name of </w:t>
      </w:r>
      <w:r>
        <w:rPr>
          <w:i/>
        </w:rPr>
        <w:t>Rav</w:t>
      </w:r>
      <w:r>
        <w:t xml:space="preserve">: if one wishes, at the end of each </w:t>
      </w:r>
      <w:r>
        <w:rPr>
          <w:i/>
        </w:rPr>
        <w:t>berachah</w:t>
      </w:r>
      <w:r>
        <w:t xml:space="preserve"> he may add what reflects its nature (</w:t>
      </w:r>
      <w:r>
        <w:rPr>
          <w:i/>
        </w:rPr>
        <w:t>“</w:t>
      </w:r>
      <w:r>
        <w:rPr>
          <w:rFonts w:ascii="David" w:hAnsi="David"/>
          <w:i/>
        </w:rPr>
        <w:t>מעין כל ברכה וברכה</w:t>
      </w:r>
      <w:r>
        <w:rPr>
          <w:i/>
        </w:rPr>
        <w:t>”</w:t>
      </w:r>
      <w:r>
        <w:t xml:space="preserve">). </w:t>
      </w:r>
      <w:r>
        <w:rPr>
          <w:i/>
        </w:rPr>
        <w:t>Rav Chiyya bar Ashi</w:t>
      </w:r>
      <w:r>
        <w:t xml:space="preserve"> in the name of </w:t>
      </w:r>
      <w:r>
        <w:rPr>
          <w:i/>
        </w:rPr>
        <w:t>Rav</w:t>
      </w:r>
      <w:r>
        <w:t xml:space="preserve">: a sick person in the house, in the </w:t>
      </w:r>
      <w:r>
        <w:rPr>
          <w:i/>
        </w:rPr>
        <w:t>berachah</w:t>
      </w:r>
      <w:r>
        <w:t xml:space="preserve"> of the sick; </w:t>
      </w:r>
      <w:r>
        <w:rPr>
          <w:i/>
        </w:rPr>
        <w:t>parnasah</w:t>
      </w:r>
      <w:r>
        <w:t xml:space="preserve">, in </w:t>
      </w:r>
      <w:r>
        <w:rPr>
          <w:i/>
        </w:rPr>
        <w:t>Birkas HaShanim</w:t>
      </w:r>
      <w:r>
        <w:t xml:space="preserve">. </w:t>
      </w:r>
      <w:r>
        <w:rPr>
          <w:i/>
        </w:rPr>
        <w:t>Rabbi Yehoshua ben Levi</w:t>
      </w:r>
      <w:r>
        <w:t xml:space="preserve">: after his </w:t>
      </w:r>
      <w:r>
        <w:rPr>
          <w:i/>
        </w:rPr>
        <w:t>tefillah</w:t>
      </w:r>
      <w:r>
        <w:t xml:space="preserve"> one may add prayers and supplications, even as long as the order of the </w:t>
      </w:r>
      <w:r>
        <w:rPr>
          <w:i/>
        </w:rPr>
        <w:t>viduy</w:t>
      </w:r>
      <w:r>
        <w:t xml:space="preserve"> of </w:t>
      </w:r>
      <w:r>
        <w:rPr>
          <w:i/>
        </w:rPr>
        <w:t>Yom Kippur</w:t>
      </w:r>
      <w:r>
        <w:t>.</w:t>
      </w:r>
    </w:p>
    <w:p>
      <w:pPr>
        <w:ind w:left="432"/>
      </w:pPr>
      <w:r>
        <w:rPr>
          <w:b/>
          <w:color w:val="D4A017"/>
          <w:sz w:val="18"/>
        </w:rPr>
        <w:t xml:space="preserve">[Note] </w:t>
      </w:r>
      <w:r>
        <w:rPr>
          <w:b/>
          <w:color w:val="5A4B1A"/>
          <w:sz w:val="18"/>
        </w:rPr>
        <w:t>Flag:</w:t>
      </w:r>
      <w:r>
        <w:rPr>
          <w:color w:val="5A4B1A"/>
          <w:sz w:val="18"/>
        </w:rPr>
        <w:t xml:space="preserve"> the weekly write-up’s statement that the </w:t>
      </w:r>
      <w:r>
        <w:rPr>
          <w:i/>
          <w:color w:val="5A4B1A"/>
          <w:sz w:val="18"/>
        </w:rPr>
        <w:t>sugya</w:t>
      </w:r>
      <w:r>
        <w:rPr>
          <w:color w:val="5A4B1A"/>
          <w:sz w:val="18"/>
        </w:rPr>
        <w:t xml:space="preserve"> itself distinguishes </w:t>
      </w:r>
      <w:r>
        <w:rPr>
          <w:i/>
          <w:color w:val="5A4B1A"/>
          <w:sz w:val="18"/>
        </w:rPr>
        <w:t>be’arai</w:t>
      </w:r>
      <w:r>
        <w:rPr>
          <w:color w:val="5A4B1A"/>
          <w:sz w:val="18"/>
        </w:rPr>
        <w:t xml:space="preserve"> from </w:t>
      </w:r>
      <w:r>
        <w:rPr>
          <w:i/>
          <w:color w:val="5A4B1A"/>
          <w:sz w:val="18"/>
        </w:rPr>
        <w:t>bekviyus</w:t>
      </w:r>
      <w:r>
        <w:rPr>
          <w:color w:val="5A4B1A"/>
          <w:sz w:val="18"/>
        </w:rPr>
        <w:t xml:space="preserve"> is not found in the </w:t>
      </w:r>
      <w:r>
        <w:rPr>
          <w:i/>
          <w:color w:val="5A4B1A"/>
          <w:sz w:val="18"/>
        </w:rPr>
        <w:t>Gemara</w:t>
      </w:r>
      <w:r>
        <w:rPr>
          <w:color w:val="5A4B1A"/>
          <w:sz w:val="18"/>
        </w:rPr>
        <w:t xml:space="preserve">; the distinction is the </w:t>
      </w:r>
      <w:r>
        <w:rPr>
          <w:i/>
          <w:color w:val="5A4B1A"/>
          <w:sz w:val="18"/>
        </w:rPr>
        <w:t>Taz</w:t>
      </w:r>
      <w:r>
        <w:rPr>
          <w:color w:val="5A4B1A"/>
          <w:sz w:val="18"/>
        </w:rPr>
        <w:t xml:space="preserve">’s and the </w:t>
      </w:r>
      <w:r>
        <w:rPr>
          <w:i/>
          <w:color w:val="5A4B1A"/>
          <w:sz w:val="18"/>
        </w:rPr>
        <w:t>Aruch HaShulchan</w:t>
      </w:r>
      <w:r>
        <w:rPr>
          <w:color w:val="5A4B1A"/>
          <w:sz w:val="18"/>
        </w:rPr>
        <w:t>’s reading as presented by the Rav (see notes 11 and 13). It has been removed from this note.</w:t>
      </w:r>
    </w:p>
    <w:p>
      <w:r>
        <w:rPr>
          <w:b/>
          <w:color w:val="1E3A8A"/>
        </w:rPr>
        <w:t xml:space="preserve">9. </w:t>
      </w:r>
      <w:r>
        <w:rPr>
          <w:b/>
          <w:i/>
          <w:color w:val="1E3A8A"/>
        </w:rPr>
        <w:t>Arizal</w:t>
      </w:r>
      <w:r>
        <w:rPr>
          <w:b/>
          <w:color w:val="1E3A8A"/>
        </w:rPr>
        <w:t xml:space="preserve"> and </w:t>
      </w:r>
      <w:r>
        <w:rPr>
          <w:b/>
          <w:i/>
          <w:color w:val="1E3A8A"/>
        </w:rPr>
        <w:t>Zohar</w:t>
      </w:r>
      <w:r>
        <w:rPr>
          <w:b/>
          <w:color w:val="1E3A8A"/>
        </w:rPr>
        <w:t xml:space="preserve"> — the </w:t>
      </w:r>
      <w:r>
        <w:rPr>
          <w:b/>
          <w:i/>
          <w:color w:val="1E3A8A"/>
        </w:rPr>
        <w:t>viduy</w:t>
      </w:r>
      <w:r>
        <w:rPr>
          <w:b/>
          <w:color w:val="1E3A8A"/>
        </w:rPr>
        <w:t xml:space="preserve"> in </w:t>
      </w:r>
      <w:r>
        <w:rPr>
          <w:b/>
          <w:i/>
          <w:color w:val="1E3A8A"/>
        </w:rPr>
        <w:t>Shema Koleinu</w:t>
      </w:r>
      <w:r>
        <w:rPr>
          <w:b/>
          <w:color w:val="1E3A8A"/>
        </w:rPr>
        <w:t xml:space="preserve">, specifying the </w:t>
      </w:r>
      <w:r>
        <w:rPr>
          <w:b/>
          <w:i/>
          <w:color w:val="1E3A8A"/>
        </w:rPr>
        <w:t>cheit</w:t>
      </w:r>
      <w:r>
        <w:rPr>
          <w:b/>
          <w:color w:val="1E3A8A"/>
        </w:rPr>
        <w:t>.</w:t>
      </w:r>
      <w:r>
        <w:t xml:space="preserve"> </w:t>
      </w:r>
      <w:r>
        <w:t xml:space="preserve">— The </w:t>
      </w:r>
      <w:r>
        <w:rPr>
          <w:i/>
        </w:rPr>
        <w:t>Mishnah Berurah</w:t>
      </w:r>
      <w:r>
        <w:t xml:space="preserve"> (</w:t>
      </w:r>
      <w:r>
        <w:rPr>
          <w:rFonts w:ascii="David" w:hAnsi="David"/>
        </w:rPr>
        <w:t>משנה ברורה קי״ט</w:t>
      </w:r>
      <w:r>
        <w:t xml:space="preserve">) 119:4 rules that it is good to confess in </w:t>
      </w:r>
      <w:r>
        <w:rPr>
          <w:i/>
        </w:rPr>
        <w:t>Shomea Tefillah</w:t>
      </w:r>
      <w:r>
        <w:t xml:space="preserve"> (</w:t>
      </w:r>
      <w:r>
        <w:rPr>
          <w:i/>
        </w:rPr>
        <w:t>“</w:t>
      </w:r>
      <w:r>
        <w:rPr>
          <w:rFonts w:ascii="David" w:hAnsi="David"/>
          <w:i/>
        </w:rPr>
        <w:t>חטאתי עויתי פשעתי</w:t>
      </w:r>
      <w:r>
        <w:rPr>
          <w:i/>
        </w:rPr>
        <w:t>”</w:t>
      </w:r>
      <w:r>
        <w:t xml:space="preserve">), and that if one has a fresh </w:t>
      </w:r>
      <w:r>
        <w:rPr>
          <w:i/>
        </w:rPr>
        <w:t>aveirah</w:t>
      </w:r>
      <w:r>
        <w:t xml:space="preserve"> he should mention it explicitly in the </w:t>
      </w:r>
      <w:r>
        <w:rPr>
          <w:i/>
        </w:rPr>
        <w:t>tefillah</w:t>
      </w:r>
      <w:r>
        <w:t xml:space="preserve"> and say it with submission, and at least in a weeping voice. At 119:2 the </w:t>
      </w:r>
      <w:r>
        <w:rPr>
          <w:i/>
        </w:rPr>
        <w:t>Mishnah Berurah</w:t>
      </w:r>
      <w:r>
        <w:t xml:space="preserve"> brings the </w:t>
      </w:r>
      <w:r>
        <w:rPr>
          <w:i/>
        </w:rPr>
        <w:t>Pri Chadash</w:t>
      </w:r>
      <w:r>
        <w:t xml:space="preserve">, citing the </w:t>
      </w:r>
      <w:r>
        <w:rPr>
          <w:i/>
        </w:rPr>
        <w:t>Zohar</w:t>
      </w:r>
      <w:r>
        <w:t xml:space="preserve"> (</w:t>
      </w:r>
      <w:r>
        <w:rPr>
          <w:i/>
        </w:rPr>
        <w:t>Parshas Vayishlach</w:t>
      </w:r>
      <w:r>
        <w:t xml:space="preserve">, </w:t>
      </w:r>
      <w:r>
        <w:rPr>
          <w:i/>
        </w:rPr>
        <w:t>“</w:t>
      </w:r>
      <w:r>
        <w:rPr>
          <w:rFonts w:ascii="David" w:hAnsi="David"/>
          <w:i/>
        </w:rPr>
        <w:t>הצילני נא</w:t>
      </w:r>
      <w:r>
        <w:rPr>
          <w:i/>
        </w:rPr>
        <w:t>”</w:t>
      </w:r>
      <w:r>
        <w:t>), that in prayer one must specify matters properly. (Verified against Sefaria.)</w:t>
      </w:r>
    </w:p>
    <w:p>
      <w:pPr>
        <w:ind w:left="432"/>
      </w:pPr>
      <w:r>
        <w:rPr>
          <w:b/>
          <w:color w:val="D4A017"/>
          <w:sz w:val="18"/>
        </w:rPr>
        <w:t xml:space="preserve">[Note] </w:t>
      </w:r>
      <w:r>
        <w:rPr>
          <w:b/>
          <w:color w:val="5A4B1A"/>
          <w:sz w:val="18"/>
        </w:rPr>
        <w:t>Caveat:</w:t>
      </w:r>
      <w:r>
        <w:rPr>
          <w:color w:val="5A4B1A"/>
          <w:sz w:val="18"/>
        </w:rPr>
        <w:t xml:space="preserve"> the </w:t>
      </w:r>
      <w:r>
        <w:rPr>
          <w:i/>
          <w:color w:val="5A4B1A"/>
          <w:sz w:val="18"/>
        </w:rPr>
        <w:t>Arizal</w:t>
      </w:r>
      <w:r>
        <w:rPr>
          <w:color w:val="5A4B1A"/>
          <w:sz w:val="18"/>
        </w:rPr>
        <w:t xml:space="preserve">’s own instruction to add a </w:t>
      </w:r>
      <w:r>
        <w:rPr>
          <w:i/>
          <w:color w:val="5A4B1A"/>
          <w:sz w:val="18"/>
        </w:rPr>
        <w:t>viduy</w:t>
      </w:r>
      <w:r>
        <w:rPr>
          <w:color w:val="5A4B1A"/>
          <w:sz w:val="18"/>
        </w:rPr>
        <w:t xml:space="preserve"> at </w:t>
      </w:r>
      <w:r>
        <w:rPr>
          <w:i/>
          <w:color w:val="5A4B1A"/>
          <w:sz w:val="18"/>
        </w:rPr>
        <w:t>Shema Koleinu</w:t>
      </w:r>
      <w:r>
        <w:rPr>
          <w:color w:val="5A4B1A"/>
          <w:sz w:val="18"/>
        </w:rPr>
        <w:t xml:space="preserve">, and its derivation from the </w:t>
      </w:r>
      <w:r>
        <w:rPr>
          <w:i/>
          <w:color w:val="5A4B1A"/>
          <w:sz w:val="18"/>
        </w:rPr>
        <w:t>Zohar</w:t>
      </w:r>
      <w:r>
        <w:rPr>
          <w:color w:val="5A4B1A"/>
          <w:sz w:val="18"/>
        </w:rPr>
        <w:t xml:space="preserve">, are the Rav’s presentation; the precise </w:t>
      </w:r>
      <w:r>
        <w:rPr>
          <w:i/>
          <w:color w:val="5A4B1A"/>
          <w:sz w:val="18"/>
        </w:rPr>
        <w:t>Zohar</w:t>
      </w:r>
      <w:r>
        <w:rPr>
          <w:color w:val="5A4B1A"/>
          <w:sz w:val="18"/>
        </w:rPr>
        <w:t xml:space="preserve"> locus is not pinned and is not located on Sefaria.</w:t>
      </w:r>
    </w:p>
    <w:p>
      <w:r>
        <w:rPr>
          <w:b/>
          <w:color w:val="1E3A8A"/>
        </w:rPr>
        <w:t xml:space="preserve">10. </w:t>
      </w:r>
      <w:r>
        <w:rPr>
          <w:b/>
          <w:i/>
          <w:color w:val="1E3A8A"/>
        </w:rPr>
        <w:t>Shulchan Aruch Orach Chaim</w:t>
      </w:r>
      <w:r>
        <w:rPr>
          <w:b/>
          <w:color w:val="1E3A8A"/>
        </w:rPr>
        <w:t xml:space="preserve"> 119:1–2 (</w:t>
      </w:r>
      <w:r>
        <w:rPr>
          <w:rFonts w:ascii="David" w:hAnsi="David"/>
          <w:b/>
          <w:color w:val="1E3A8A"/>
        </w:rPr>
        <w:t>שולחן ערוך אורח חיים סימן קי״ט סעיף א׳–ב׳</w:t>
      </w:r>
      <w:r>
        <w:rPr>
          <w:b/>
          <w:color w:val="1E3A8A"/>
        </w:rPr>
        <w:t xml:space="preserve">) — adding personal </w:t>
      </w:r>
      <w:r>
        <w:rPr>
          <w:b/>
          <w:i/>
          <w:color w:val="1E3A8A"/>
        </w:rPr>
        <w:t>bakashos</w:t>
      </w:r>
      <w:r>
        <w:rPr>
          <w:b/>
          <w:color w:val="1E3A8A"/>
        </w:rPr>
        <w:t xml:space="preserve"> in </w:t>
      </w:r>
      <w:r>
        <w:rPr>
          <w:b/>
          <w:i/>
          <w:color w:val="1E3A8A"/>
        </w:rPr>
        <w:t>Shema Koleinu</w:t>
      </w:r>
      <w:r>
        <w:rPr>
          <w:b/>
          <w:color w:val="1E3A8A"/>
        </w:rPr>
        <w:t>.</w:t>
      </w:r>
      <w:r>
        <w:t xml:space="preserve"> </w:t>
      </w:r>
      <w:r>
        <w:t xml:space="preserve">— </w:t>
      </w:r>
      <w:r>
        <w:rPr>
          <w:b/>
        </w:rPr>
        <w:t>Verified against Sefaria.</w:t>
      </w:r>
      <w:r>
        <w:t xml:space="preserve"> </w:t>
      </w:r>
      <w:r>
        <w:rPr>
          <w:i/>
        </w:rPr>
        <w:t>Seif</w:t>
      </w:r>
      <w:r>
        <w:t xml:space="preserve"> 1: one may add in each of the middle </w:t>
      </w:r>
      <w:r>
        <w:rPr>
          <w:i/>
        </w:rPr>
        <w:t>berachos</w:t>
      </w:r>
      <w:r>
        <w:t xml:space="preserve"> something similar to its theme — for a sick person in </w:t>
      </w:r>
      <w:r>
        <w:rPr>
          <w:i/>
        </w:rPr>
        <w:t>Refaeinu</w:t>
      </w:r>
      <w:r>
        <w:t xml:space="preserve">, for livelihood in </w:t>
      </w:r>
      <w:r>
        <w:rPr>
          <w:i/>
        </w:rPr>
        <w:t>Birkas HaShanim</w:t>
      </w:r>
      <w:r>
        <w:t xml:space="preserve"> — and in </w:t>
      </w:r>
      <w:r>
        <w:rPr>
          <w:i/>
        </w:rPr>
        <w:t>Shomea Tefillah</w:t>
      </w:r>
      <w:r>
        <w:t xml:space="preserve"> one may ask any of one’s needs, </w:t>
      </w:r>
      <w:r>
        <w:rPr>
          <w:i/>
        </w:rPr>
        <w:t>“</w:t>
      </w:r>
      <w:r>
        <w:rPr>
          <w:rFonts w:ascii="David" w:hAnsi="David"/>
          <w:i/>
        </w:rPr>
        <w:t>שהיא כוללת כל הבקשות</w:t>
      </w:r>
      <w:r>
        <w:rPr>
          <w:i/>
        </w:rPr>
        <w:t>”</w:t>
      </w:r>
      <w:r>
        <w:t xml:space="preserve">; the </w:t>
      </w:r>
      <w:r>
        <w:rPr>
          <w:i/>
        </w:rPr>
        <w:t>Rama</w:t>
      </w:r>
      <w:r>
        <w:t xml:space="preserve">’s gloss and </w:t>
      </w:r>
      <w:r>
        <w:rPr>
          <w:i/>
        </w:rPr>
        <w:t>Rabbeinu Yonah</w:t>
      </w:r>
      <w:r>
        <w:t xml:space="preserve">’s rules (plural and singular language; the end of the </w:t>
      </w:r>
      <w:r>
        <w:rPr>
          <w:i/>
        </w:rPr>
        <w:t>berachah</w:t>
      </w:r>
      <w:r>
        <w:t xml:space="preserve"> and not the middle) follow. </w:t>
      </w:r>
      <w:r>
        <w:rPr>
          <w:i/>
        </w:rPr>
        <w:t>Seif</w:t>
      </w:r>
      <w:r>
        <w:t xml:space="preserve"> 2: one authority holds that one adding for individual needs should not make it lengthy. The </w:t>
      </w:r>
      <w:r>
        <w:rPr>
          <w:i/>
        </w:rPr>
        <w:t>Mishnah Berurah</w:t>
      </w:r>
      <w:r>
        <w:t xml:space="preserve"> (119:4) develops the practice of </w:t>
      </w:r>
      <w:r>
        <w:rPr>
          <w:i/>
        </w:rPr>
        <w:t>viduy</w:t>
      </w:r>
      <w:r>
        <w:t xml:space="preserve"> and the request for sustenance, even if wealthy.</w:t>
      </w:r>
    </w:p>
    <w:p>
      <w:pPr>
        <w:ind w:left="432"/>
      </w:pPr>
      <w:r>
        <w:rPr>
          <w:b/>
          <w:color w:val="D4A017"/>
          <w:sz w:val="18"/>
        </w:rPr>
        <w:t xml:space="preserve">[Note] </w:t>
      </w:r>
      <w:r>
        <w:rPr>
          <w:b/>
          <w:color w:val="5A4B1A"/>
          <w:sz w:val="18"/>
        </w:rPr>
        <w:t>Caveat:</w:t>
      </w:r>
      <w:r>
        <w:rPr>
          <w:color w:val="5A4B1A"/>
          <w:sz w:val="18"/>
        </w:rPr>
        <w:t xml:space="preserve"> that most contemporary </w:t>
      </w:r>
      <w:r>
        <w:rPr>
          <w:i/>
          <w:color w:val="5A4B1A"/>
          <w:sz w:val="18"/>
        </w:rPr>
        <w:t>poskim</w:t>
      </w:r>
      <w:r>
        <w:rPr>
          <w:color w:val="5A4B1A"/>
          <w:sz w:val="18"/>
        </w:rPr>
        <w:t xml:space="preserve"> permit daily recitation, with the </w:t>
      </w:r>
      <w:r>
        <w:rPr>
          <w:i/>
          <w:color w:val="5A4B1A"/>
          <w:sz w:val="18"/>
        </w:rPr>
        <w:t>Taz</w:t>
      </w:r>
      <w:r>
        <w:rPr>
          <w:color w:val="5A4B1A"/>
          <w:sz w:val="18"/>
        </w:rPr>
        <w:t xml:space="preserve"> and </w:t>
      </w:r>
      <w:r>
        <w:rPr>
          <w:i/>
          <w:color w:val="5A4B1A"/>
          <w:sz w:val="18"/>
        </w:rPr>
        <w:t>Aruch HaShulchan</w:t>
      </w:r>
      <w:r>
        <w:rPr>
          <w:color w:val="5A4B1A"/>
          <w:sz w:val="18"/>
        </w:rPr>
        <w:t xml:space="preserve"> as minority voices, is the Rav’s characterization and was not located in the text of </w:t>
      </w:r>
      <w:r>
        <w:rPr>
          <w:i/>
          <w:color w:val="5A4B1A"/>
          <w:sz w:val="18"/>
        </w:rPr>
        <w:t>siman</w:t>
      </w:r>
      <w:r>
        <w:rPr>
          <w:color w:val="5A4B1A"/>
          <w:sz w:val="18"/>
        </w:rPr>
        <w:t xml:space="preserve"> 119.</w:t>
      </w:r>
    </w:p>
    <w:p>
      <w:r>
        <w:rPr>
          <w:b/>
          <w:color w:val="1E3A8A"/>
        </w:rPr>
        <w:t xml:space="preserve">11. </w:t>
      </w:r>
    </w:p>
    <w:p>
      <w:pPr>
        <w:ind w:left="432"/>
      </w:pPr>
      <w:r>
        <w:rPr>
          <w:b/>
          <w:color w:val="D4A017"/>
          <w:sz w:val="18"/>
        </w:rPr>
        <w:t xml:space="preserve">[Note] </w:t>
      </w:r>
      <w:r>
        <w:rPr>
          <w:b/>
          <w:i/>
          <w:color w:val="5A4B1A"/>
          <w:sz w:val="18"/>
        </w:rPr>
        <w:t>Taz</w:t>
      </w:r>
      <w:r>
        <w:rPr>
          <w:b/>
          <w:color w:val="5A4B1A"/>
          <w:sz w:val="18"/>
        </w:rPr>
        <w:t xml:space="preserve"> on </w:t>
      </w:r>
      <w:r>
        <w:rPr>
          <w:b/>
          <w:i/>
          <w:color w:val="5A4B1A"/>
          <w:sz w:val="18"/>
        </w:rPr>
        <w:t>Orach Chaim</w:t>
      </w:r>
      <w:r>
        <w:rPr>
          <w:b/>
          <w:color w:val="5A4B1A"/>
          <w:sz w:val="18"/>
        </w:rPr>
        <w:t xml:space="preserve"> 119</w:t>
      </w:r>
      <w:r>
        <w:rPr>
          <w:color w:val="5A4B1A"/>
          <w:sz w:val="18"/>
        </w:rPr>
        <w:t xml:space="preserve"> (</w:t>
      </w:r>
      <w:r>
        <w:rPr>
          <w:rFonts w:ascii="David" w:hAnsi="David"/>
          <w:color w:val="5A4B1A"/>
          <w:sz w:val="18"/>
        </w:rPr>
        <w:t>ט״ז על שולחן ערוך אורח חיים סימן קי״ט</w:t>
      </w:r>
      <w:r>
        <w:rPr>
          <w:color w:val="5A4B1A"/>
          <w:sz w:val="18"/>
        </w:rPr>
        <w:t xml:space="preserve">) — </w:t>
      </w:r>
      <w:r>
        <w:rPr>
          <w:i/>
          <w:color w:val="5A4B1A"/>
          <w:sz w:val="18"/>
        </w:rPr>
        <w:t>Rabbi David HaLevi Segal</w:t>
      </w:r>
      <w:r>
        <w:rPr>
          <w:color w:val="5A4B1A"/>
          <w:sz w:val="18"/>
        </w:rPr>
        <w:t xml:space="preserve"> (1586–1667), in his commentary on the </w:t>
      </w:r>
      <w:r>
        <w:rPr>
          <w:i/>
          <w:color w:val="5A4B1A"/>
          <w:sz w:val="18"/>
        </w:rPr>
        <w:t>Shulchan Aruch</w:t>
      </w:r>
      <w:r>
        <w:rPr>
          <w:color w:val="5A4B1A"/>
          <w:sz w:val="18"/>
        </w:rPr>
        <w:t xml:space="preserve">. As presented by the Rav, the </w:t>
      </w:r>
      <w:r>
        <w:rPr>
          <w:i/>
          <w:color w:val="5A4B1A"/>
          <w:sz w:val="18"/>
        </w:rPr>
        <w:t>Taz</w:t>
      </w:r>
      <w:r>
        <w:rPr>
          <w:color w:val="5A4B1A"/>
          <w:sz w:val="18"/>
        </w:rPr>
        <w:t xml:space="preserve"> holds that the </w:t>
      </w:r>
      <w:r>
        <w:rPr>
          <w:i/>
          <w:color w:val="5A4B1A"/>
          <w:sz w:val="18"/>
        </w:rPr>
        <w:t>Gemara</w:t>
      </w:r>
      <w:r>
        <w:rPr>
          <w:color w:val="5A4B1A"/>
          <w:sz w:val="18"/>
        </w:rPr>
        <w:t xml:space="preserve"> permits adding only </w:t>
      </w:r>
      <w:r>
        <w:rPr>
          <w:i/>
          <w:color w:val="5A4B1A"/>
          <w:sz w:val="18"/>
        </w:rPr>
        <w:t>be’arai</w:t>
      </w:r>
      <w:r>
        <w:rPr>
          <w:color w:val="5A4B1A"/>
          <w:sz w:val="18"/>
        </w:rPr>
        <w:t xml:space="preserve">, not </w:t>
      </w:r>
      <w:r>
        <w:rPr>
          <w:i/>
          <w:color w:val="5A4B1A"/>
          <w:sz w:val="18"/>
        </w:rPr>
        <w:t>bekviyus</w:t>
      </w:r>
      <w:r>
        <w:rPr>
          <w:color w:val="5A4B1A"/>
          <w:sz w:val="18"/>
        </w:rPr>
        <w:t xml:space="preserve">. </w:t>
      </w:r>
      <w:r>
        <w:rPr>
          <w:i/>
          <w:color w:val="5A4B1A"/>
          <w:sz w:val="18"/>
        </w:rPr>
        <w:t>Caveat (Sefaria check):</w:t>
      </w:r>
      <w:r>
        <w:rPr>
          <w:color w:val="5A4B1A"/>
          <w:sz w:val="18"/>
        </w:rPr>
        <w:t xml:space="preserve"> </w:t>
      </w:r>
      <w:r>
        <w:rPr>
          <w:i/>
          <w:color w:val="5A4B1A"/>
          <w:sz w:val="18"/>
        </w:rPr>
        <w:t>Taz</w:t>
      </w:r>
      <w:r>
        <w:rPr>
          <w:color w:val="5A4B1A"/>
          <w:sz w:val="18"/>
        </w:rPr>
        <w:t xml:space="preserve"> 119:1 as found contains </w:t>
      </w:r>
      <w:r>
        <w:rPr>
          <w:i/>
          <w:color w:val="5A4B1A"/>
          <w:sz w:val="18"/>
        </w:rPr>
        <w:t>Rabbeinu Yonah</w:t>
      </w:r>
      <w:r>
        <w:rPr>
          <w:color w:val="5A4B1A"/>
          <w:sz w:val="18"/>
        </w:rPr>
        <w:t xml:space="preserve">’s fourfold framework and the </w:t>
      </w:r>
      <w:r>
        <w:rPr>
          <w:i/>
          <w:color w:val="5A4B1A"/>
          <w:sz w:val="18"/>
        </w:rPr>
        <w:t>Taz</w:t>
      </w:r>
      <w:r>
        <w:rPr>
          <w:color w:val="5A4B1A"/>
          <w:sz w:val="18"/>
        </w:rPr>
        <w:t>’s own concern that one make the standard text instituted by the Sages primary and one’s request secondary (</w:t>
      </w:r>
      <w:r>
        <w:rPr>
          <w:i/>
          <w:color w:val="5A4B1A"/>
          <w:sz w:val="18"/>
        </w:rPr>
        <w:t>“</w:t>
      </w:r>
      <w:r>
        <w:rPr>
          <w:rFonts w:ascii="David" w:hAnsi="David"/>
          <w:i/>
          <w:color w:val="5A4B1A"/>
          <w:sz w:val="18"/>
        </w:rPr>
        <w:t>ובקשה שלו תהיה טפלה</w:t>
      </w:r>
      <w:r>
        <w:rPr>
          <w:i/>
          <w:color w:val="5A4B1A"/>
          <w:sz w:val="18"/>
        </w:rPr>
        <w:t>”</w:t>
      </w:r>
      <w:r>
        <w:rPr>
          <w:color w:val="5A4B1A"/>
          <w:sz w:val="18"/>
        </w:rPr>
        <w:t xml:space="preserve">), but the explicit </w:t>
      </w:r>
      <w:r>
        <w:rPr>
          <w:i/>
          <w:color w:val="5A4B1A"/>
          <w:sz w:val="18"/>
        </w:rPr>
        <w:t>be’arai</w:t>
      </w:r>
      <w:r>
        <w:rPr>
          <w:color w:val="5A4B1A"/>
          <w:sz w:val="18"/>
        </w:rPr>
        <w:t xml:space="preserve"> / </w:t>
      </w:r>
      <w:r>
        <w:rPr>
          <w:i/>
          <w:color w:val="5A4B1A"/>
          <w:sz w:val="18"/>
        </w:rPr>
        <w:t>bekviyus</w:t>
      </w:r>
      <w:r>
        <w:rPr>
          <w:color w:val="5A4B1A"/>
          <w:sz w:val="18"/>
        </w:rPr>
        <w:t xml:space="preserve"> prohibition and the quoted rebuke were not found there. The attribution is retained as the Rav presented it; the precise source is unconfirmed.</w:t>
      </w:r>
    </w:p>
    <w:p>
      <w:r>
        <w:rPr>
          <w:b/>
          <w:color w:val="1E3A8A"/>
        </w:rPr>
        <w:t xml:space="preserve">12. </w:t>
      </w:r>
      <w:r>
        <w:rPr>
          <w:b/>
          <w:i/>
          <w:color w:val="1E3A8A"/>
        </w:rPr>
        <w:t>Mishnah Berurah</w:t>
      </w:r>
      <w:r>
        <w:rPr>
          <w:b/>
          <w:color w:val="1E3A8A"/>
        </w:rPr>
        <w:t xml:space="preserve"> 119 (</w:t>
      </w:r>
      <w:r>
        <w:rPr>
          <w:rFonts w:ascii="David" w:hAnsi="David"/>
          <w:b/>
          <w:color w:val="1E3A8A"/>
        </w:rPr>
        <w:t>משנה ברורה סימן קי״ט</w:t>
      </w:r>
      <w:r>
        <w:rPr>
          <w:b/>
          <w:color w:val="1E3A8A"/>
        </w:rPr>
        <w:t>) — the balance of personal additions.</w:t>
      </w:r>
      <w:r>
        <w:t xml:space="preserve"> </w:t>
      </w:r>
      <w:r>
        <w:t xml:space="preserve">— </w:t>
      </w:r>
      <w:r>
        <w:rPr>
          <w:b/>
        </w:rPr>
        <w:t>Verified in part against Sefaria.</w:t>
      </w:r>
      <w:r>
        <w:t xml:space="preserve"> </w:t>
      </w:r>
      <w:r>
        <w:rPr>
          <w:i/>
        </w:rPr>
        <w:t>Se’if katan</w:t>
      </w:r>
      <w:r>
        <w:t xml:space="preserve"> 3: one begins with the </w:t>
      </w:r>
      <w:r>
        <w:rPr>
          <w:i/>
        </w:rPr>
        <w:t>berachah</w:t>
      </w:r>
      <w:r>
        <w:t xml:space="preserve"> proper, so that the standard text is primary and the personal request secondary; 4: </w:t>
      </w:r>
      <w:r>
        <w:rPr>
          <w:i/>
        </w:rPr>
        <w:t>viduy</w:t>
      </w:r>
      <w:r>
        <w:t xml:space="preserve">, </w:t>
      </w:r>
      <w:r>
        <w:rPr>
          <w:i/>
        </w:rPr>
        <w:t>mezonos</w:t>
      </w:r>
      <w:r>
        <w:t xml:space="preserve"> even if wealthy, specifying a new </w:t>
      </w:r>
      <w:r>
        <w:rPr>
          <w:i/>
        </w:rPr>
        <w:t>aveirah</w:t>
      </w:r>
      <w:r>
        <w:t xml:space="preserve">; 12: one must not lengthen within the </w:t>
      </w:r>
      <w:r>
        <w:rPr>
          <w:i/>
        </w:rPr>
        <w:t>berachah</w:t>
      </w:r>
      <w:r>
        <w:t xml:space="preserve">, but after the </w:t>
      </w:r>
      <w:r>
        <w:rPr>
          <w:i/>
        </w:rPr>
        <w:t>tefillah</w:t>
      </w:r>
      <w:r>
        <w:t xml:space="preserve"> one may lengthen freely.</w:t>
      </w:r>
    </w:p>
    <w:p>
      <w:pPr>
        <w:ind w:left="432"/>
      </w:pPr>
      <w:r>
        <w:rPr>
          <w:b/>
          <w:color w:val="D4A017"/>
          <w:sz w:val="18"/>
        </w:rPr>
        <w:t xml:space="preserve">[Note] </w:t>
      </w:r>
      <w:r>
        <w:rPr>
          <w:b/>
          <w:color w:val="5A4B1A"/>
          <w:sz w:val="18"/>
        </w:rPr>
        <w:t>Flag:</w:t>
      </w:r>
      <w:r>
        <w:rPr>
          <w:color w:val="5A4B1A"/>
          <w:sz w:val="18"/>
        </w:rPr>
        <w:t xml:space="preserve"> the weekly write-up’s statement that the </w:t>
      </w:r>
      <w:r>
        <w:rPr>
          <w:i/>
          <w:color w:val="5A4B1A"/>
          <w:sz w:val="18"/>
        </w:rPr>
        <w:t>Mishnah Berurah</w:t>
      </w:r>
      <w:r>
        <w:rPr>
          <w:color w:val="5A4B1A"/>
          <w:sz w:val="18"/>
        </w:rPr>
        <w:t xml:space="preserve"> presents the </w:t>
      </w:r>
      <w:r>
        <w:rPr>
          <w:i/>
          <w:color w:val="5A4B1A"/>
          <w:sz w:val="18"/>
        </w:rPr>
        <w:t>Taz</w:t>
      </w:r>
      <w:r>
        <w:rPr>
          <w:color w:val="5A4B1A"/>
          <w:sz w:val="18"/>
        </w:rPr>
        <w:t xml:space="preserve">’s </w:t>
      </w:r>
      <w:r>
        <w:rPr>
          <w:i/>
          <w:color w:val="5A4B1A"/>
          <w:sz w:val="18"/>
        </w:rPr>
        <w:t>be’arai</w:t>
      </w:r>
      <w:r>
        <w:rPr>
          <w:color w:val="5A4B1A"/>
          <w:sz w:val="18"/>
        </w:rPr>
        <w:t xml:space="preserve"> / </w:t>
      </w:r>
      <w:r>
        <w:rPr>
          <w:i/>
          <w:color w:val="5A4B1A"/>
          <w:sz w:val="18"/>
        </w:rPr>
        <w:t>bekviyus</w:t>
      </w:r>
      <w:r>
        <w:rPr>
          <w:color w:val="5A4B1A"/>
          <w:sz w:val="18"/>
        </w:rPr>
        <w:t xml:space="preserve"> position and the majority position permitting daily recitation was not located in </w:t>
      </w:r>
      <w:r>
        <w:rPr>
          <w:i/>
          <w:color w:val="5A4B1A"/>
          <w:sz w:val="18"/>
        </w:rPr>
        <w:t>Mishnah Berurah</w:t>
      </w:r>
      <w:r>
        <w:rPr>
          <w:color w:val="5A4B1A"/>
          <w:sz w:val="18"/>
        </w:rPr>
        <w:t xml:space="preserve"> 119, and the warning against missing </w:t>
      </w:r>
      <w:r>
        <w:rPr>
          <w:i/>
          <w:color w:val="5A4B1A"/>
          <w:sz w:val="18"/>
        </w:rPr>
        <w:t>Kedushah</w:t>
      </w:r>
      <w:r>
        <w:rPr>
          <w:color w:val="5A4B1A"/>
          <w:sz w:val="18"/>
        </w:rPr>
        <w:t xml:space="preserve"> was not located there either (se’ifim 4 and 11 cross-reference </w:t>
      </w:r>
      <w:r>
        <w:rPr>
          <w:i/>
          <w:color w:val="5A4B1A"/>
          <w:sz w:val="18"/>
        </w:rPr>
        <w:t>siman</w:t>
      </w:r>
      <w:r>
        <w:rPr>
          <w:color w:val="5A4B1A"/>
          <w:sz w:val="18"/>
        </w:rPr>
        <w:t xml:space="preserve"> 122). Both are retained as the Rav presented them, unconfirmed.</w:t>
      </w:r>
    </w:p>
    <w:p>
      <w:r>
        <w:rPr>
          <w:b/>
          <w:color w:val="1E3A8A"/>
        </w:rPr>
        <w:t xml:space="preserve">13. </w:t>
      </w:r>
    </w:p>
    <w:p>
      <w:pPr>
        <w:ind w:left="432"/>
      </w:pPr>
      <w:r>
        <w:rPr>
          <w:b/>
          <w:color w:val="D4A017"/>
          <w:sz w:val="18"/>
        </w:rPr>
        <w:t xml:space="preserve">[Note] </w:t>
      </w:r>
      <w:r>
        <w:rPr>
          <w:b/>
          <w:i/>
          <w:color w:val="5A4B1A"/>
          <w:sz w:val="18"/>
        </w:rPr>
        <w:t>Aruch HaShulchan Orach Chaim</w:t>
      </w:r>
      <w:r>
        <w:rPr>
          <w:b/>
          <w:color w:val="5A4B1A"/>
          <w:sz w:val="18"/>
        </w:rPr>
        <w:t xml:space="preserve"> 119</w:t>
      </w:r>
      <w:r>
        <w:rPr>
          <w:color w:val="5A4B1A"/>
          <w:sz w:val="18"/>
        </w:rPr>
        <w:t xml:space="preserve"> (</w:t>
      </w:r>
      <w:r>
        <w:rPr>
          <w:rFonts w:ascii="David" w:hAnsi="David"/>
          <w:color w:val="5A4B1A"/>
          <w:sz w:val="18"/>
        </w:rPr>
        <w:t>ערוך השלחן אורח חיים סימן קי״ט</w:t>
      </w:r>
      <w:r>
        <w:rPr>
          <w:color w:val="5A4B1A"/>
          <w:sz w:val="18"/>
        </w:rPr>
        <w:t xml:space="preserve">) — </w:t>
      </w:r>
      <w:r>
        <w:rPr>
          <w:i/>
          <w:color w:val="5A4B1A"/>
          <w:sz w:val="18"/>
        </w:rPr>
        <w:t>Rabbi Yechiel Michel Epstein</w:t>
      </w:r>
      <w:r>
        <w:rPr>
          <w:color w:val="5A4B1A"/>
          <w:sz w:val="18"/>
        </w:rPr>
        <w:t xml:space="preserve"> (1829–1908). As presented by the Rav, he escalates the </w:t>
      </w:r>
      <w:r>
        <w:rPr>
          <w:i/>
          <w:color w:val="5A4B1A"/>
          <w:sz w:val="18"/>
        </w:rPr>
        <w:t>Taz</w:t>
      </w:r>
      <w:r>
        <w:rPr>
          <w:color w:val="5A4B1A"/>
          <w:sz w:val="18"/>
        </w:rPr>
        <w:t xml:space="preserve">’s caution into a polemic against the printers of </w:t>
      </w:r>
      <w:r>
        <w:rPr>
          <w:i/>
          <w:color w:val="5A4B1A"/>
          <w:sz w:val="18"/>
        </w:rPr>
        <w:t>siddurim</w:t>
      </w:r>
      <w:r>
        <w:rPr>
          <w:color w:val="5A4B1A"/>
          <w:sz w:val="18"/>
        </w:rPr>
        <w:t xml:space="preserve">: by inserting personal prayers as standard daily text they corrupt the </w:t>
      </w:r>
      <w:r>
        <w:rPr>
          <w:i/>
          <w:color w:val="5A4B1A"/>
          <w:sz w:val="18"/>
        </w:rPr>
        <w:t>nusach</w:t>
      </w:r>
      <w:r>
        <w:rPr>
          <w:color w:val="5A4B1A"/>
          <w:sz w:val="18"/>
        </w:rPr>
        <w:t xml:space="preserve"> instituted by the </w:t>
      </w:r>
      <w:r>
        <w:rPr>
          <w:i/>
          <w:color w:val="5A4B1A"/>
          <w:sz w:val="18"/>
        </w:rPr>
        <w:t>Anshei Knesses HaGedolah</w:t>
      </w:r>
      <w:r>
        <w:rPr>
          <w:color w:val="5A4B1A"/>
          <w:sz w:val="18"/>
        </w:rPr>
        <w:t xml:space="preserve">; he frames the </w:t>
      </w:r>
      <w:r>
        <w:rPr>
          <w:i/>
          <w:color w:val="5A4B1A"/>
          <w:sz w:val="18"/>
        </w:rPr>
        <w:t>takanah</w:t>
      </w:r>
      <w:r>
        <w:rPr>
          <w:color w:val="5A4B1A"/>
          <w:sz w:val="18"/>
        </w:rPr>
        <w:t xml:space="preserve"> as </w:t>
      </w:r>
      <w:r>
        <w:rPr>
          <w:i/>
          <w:color w:val="5A4B1A"/>
          <w:sz w:val="18"/>
        </w:rPr>
        <w:t>kodesh kodashim</w:t>
      </w:r>
      <w:r>
        <w:rPr>
          <w:color w:val="5A4B1A"/>
          <w:sz w:val="18"/>
        </w:rPr>
        <w:t xml:space="preserve"> and fixed daily additions as </w:t>
      </w:r>
      <w:r>
        <w:rPr>
          <w:i/>
          <w:color w:val="5A4B1A"/>
          <w:sz w:val="18"/>
        </w:rPr>
        <w:t>chutzpah</w:t>
      </w:r>
      <w:r>
        <w:rPr>
          <w:color w:val="5A4B1A"/>
          <w:sz w:val="18"/>
        </w:rPr>
        <w:t xml:space="preserve">. The Shiur Review observes that the underlying reasoning is conceptual rather than merely stringent: the permission of </w:t>
      </w:r>
      <w:r>
        <w:rPr>
          <w:i/>
          <w:color w:val="5A4B1A"/>
          <w:sz w:val="18"/>
        </w:rPr>
        <w:t>Avodah Zarah</w:t>
      </w:r>
      <w:r>
        <w:rPr>
          <w:color w:val="5A4B1A"/>
          <w:sz w:val="18"/>
        </w:rPr>
        <w:t xml:space="preserve"> is a license to </w:t>
      </w:r>
      <w:r>
        <w:rPr>
          <w:i/>
          <w:color w:val="5A4B1A"/>
          <w:sz w:val="18"/>
        </w:rPr>
        <w:t>add a request</w:t>
      </w:r>
      <w:r>
        <w:rPr>
          <w:color w:val="5A4B1A"/>
          <w:sz w:val="18"/>
        </w:rPr>
        <w:t xml:space="preserve">, not a license to install one into the permanent </w:t>
      </w:r>
      <w:r>
        <w:rPr>
          <w:i/>
          <w:color w:val="5A4B1A"/>
          <w:sz w:val="18"/>
        </w:rPr>
        <w:t>nusach</w:t>
      </w:r>
      <w:r>
        <w:rPr>
          <w:color w:val="5A4B1A"/>
          <w:sz w:val="18"/>
        </w:rPr>
        <w:t xml:space="preserve">. </w:t>
      </w:r>
      <w:r>
        <w:rPr>
          <w:i/>
          <w:color w:val="5A4B1A"/>
          <w:sz w:val="18"/>
        </w:rPr>
        <w:t>Caveat:</w:t>
      </w:r>
      <w:r>
        <w:rPr>
          <w:color w:val="5A4B1A"/>
          <w:sz w:val="18"/>
        </w:rPr>
        <w:t xml:space="preserve"> the </w:t>
      </w:r>
      <w:r>
        <w:rPr>
          <w:i/>
          <w:color w:val="5A4B1A"/>
          <w:sz w:val="18"/>
        </w:rPr>
        <w:t>Aruch HaShulchan</w:t>
      </w:r>
      <w:r>
        <w:rPr>
          <w:color w:val="5A4B1A"/>
          <w:sz w:val="18"/>
        </w:rPr>
        <w:t xml:space="preserve"> text for this </w:t>
      </w:r>
      <w:r>
        <w:rPr>
          <w:i/>
          <w:color w:val="5A4B1A"/>
          <w:sz w:val="18"/>
        </w:rPr>
        <w:t>siman</w:t>
      </w:r>
      <w:r>
        <w:rPr>
          <w:color w:val="5A4B1A"/>
          <w:sz w:val="18"/>
        </w:rPr>
        <w:t xml:space="preserve"> could not be retrieved from Sefaria; the quotations (</w:t>
      </w:r>
      <w:r>
        <w:rPr>
          <w:i/>
          <w:color w:val="5A4B1A"/>
          <w:sz w:val="18"/>
        </w:rPr>
        <w:t>“they are guilty”</w:t>
      </w:r>
      <w:r>
        <w:rPr>
          <w:color w:val="5A4B1A"/>
          <w:sz w:val="18"/>
        </w:rPr>
        <w:t xml:space="preserve">, the printers, the corruption of the </w:t>
      </w:r>
      <w:r>
        <w:rPr>
          <w:i/>
          <w:color w:val="5A4B1A"/>
          <w:sz w:val="18"/>
        </w:rPr>
        <w:t>siddurim</w:t>
      </w:r>
      <w:r>
        <w:rPr>
          <w:color w:val="5A4B1A"/>
          <w:sz w:val="18"/>
        </w:rPr>
        <w:t>) and the characterization that no community follows him are preserved as the Rav presented them.</w:t>
      </w:r>
    </w:p>
    <w:p>
      <w:r>
        <w:rPr>
          <w:b/>
          <w:color w:val="1E3A8A"/>
        </w:rPr>
        <w:t xml:space="preserve">14. </w:t>
      </w:r>
    </w:p>
    <w:p>
      <w:pPr>
        <w:ind w:left="432"/>
      </w:pPr>
      <w:r>
        <w:rPr>
          <w:b/>
          <w:color w:val="D4A017"/>
          <w:sz w:val="18"/>
        </w:rPr>
        <w:t xml:space="preserve">[Note] </w:t>
      </w:r>
      <w:r>
        <w:rPr>
          <w:b/>
          <w:color w:val="5A4B1A"/>
          <w:sz w:val="18"/>
        </w:rPr>
        <w:t xml:space="preserve">The </w:t>
      </w:r>
      <w:r>
        <w:rPr>
          <w:b/>
          <w:i/>
          <w:color w:val="5A4B1A"/>
          <w:sz w:val="18"/>
        </w:rPr>
        <w:t>Yaavetz</w:t>
      </w:r>
      <w:r>
        <w:rPr>
          <w:color w:val="5A4B1A"/>
          <w:sz w:val="18"/>
        </w:rPr>
        <w:t xml:space="preserve"> (</w:t>
      </w:r>
      <w:r>
        <w:rPr>
          <w:rFonts w:ascii="David" w:hAnsi="David"/>
          <w:color w:val="5A4B1A"/>
          <w:sz w:val="18"/>
        </w:rPr>
        <w:t>רבי יעקב עמדן</w:t>
      </w:r>
      <w:r>
        <w:rPr>
          <w:color w:val="5A4B1A"/>
          <w:sz w:val="18"/>
        </w:rPr>
        <w:t xml:space="preserve">, 1697–1776; son of the </w:t>
      </w:r>
      <w:r>
        <w:rPr>
          <w:i/>
          <w:color w:val="5A4B1A"/>
          <w:sz w:val="18"/>
        </w:rPr>
        <w:t>Chacham Tzvi</w:t>
      </w:r>
      <w:r>
        <w:rPr>
          <w:color w:val="5A4B1A"/>
          <w:sz w:val="18"/>
        </w:rPr>
        <w:t xml:space="preserve">), in his </w:t>
      </w:r>
      <w:r>
        <w:rPr>
          <w:i/>
          <w:color w:val="5A4B1A"/>
          <w:sz w:val="18"/>
        </w:rPr>
        <w:t>siddur</w:t>
      </w:r>
      <w:r>
        <w:rPr>
          <w:color w:val="5A4B1A"/>
          <w:sz w:val="18"/>
        </w:rPr>
        <w:t xml:space="preserve"> (</w:t>
      </w:r>
      <w:r>
        <w:rPr>
          <w:i/>
          <w:color w:val="5A4B1A"/>
          <w:sz w:val="18"/>
        </w:rPr>
        <w:t>Siddur Beis Yaakov</w:t>
      </w:r>
      <w:r>
        <w:rPr>
          <w:color w:val="5A4B1A"/>
          <w:sz w:val="18"/>
        </w:rPr>
        <w:t xml:space="preserve">), and parallel teachings of </w:t>
      </w:r>
      <w:r>
        <w:rPr>
          <w:b/>
          <w:i/>
          <w:color w:val="5A4B1A"/>
          <w:sz w:val="18"/>
        </w:rPr>
        <w:t>Rabbi Yonah Landsofer</w:t>
      </w:r>
      <w:r>
        <w:rPr>
          <w:color w:val="5A4B1A"/>
          <w:sz w:val="18"/>
        </w:rPr>
        <w:t xml:space="preserve"> (</w:t>
      </w:r>
      <w:r>
        <w:rPr>
          <w:rFonts w:ascii="David" w:hAnsi="David"/>
          <w:color w:val="5A4B1A"/>
          <w:sz w:val="18"/>
        </w:rPr>
        <w:t>רבי יונה לנדסופר</w:t>
      </w:r>
      <w:r>
        <w:rPr>
          <w:color w:val="5A4B1A"/>
          <w:sz w:val="18"/>
        </w:rPr>
        <w:t xml:space="preserve">, 1678–1712, Prague) — develop the principle that the most powerful additions to </w:t>
      </w:r>
      <w:r>
        <w:rPr>
          <w:i/>
          <w:color w:val="5A4B1A"/>
          <w:sz w:val="18"/>
        </w:rPr>
        <w:t>Shema Koleinu</w:t>
      </w:r>
      <w:r>
        <w:rPr>
          <w:color w:val="5A4B1A"/>
          <w:sz w:val="18"/>
        </w:rPr>
        <w:t xml:space="preserve"> are those formulated in one’s own words. The </w:t>
      </w:r>
      <w:r>
        <w:rPr>
          <w:i/>
          <w:color w:val="5A4B1A"/>
          <w:sz w:val="18"/>
        </w:rPr>
        <w:t>Yaavetz</w:t>
      </w:r>
      <w:r>
        <w:rPr>
          <w:color w:val="5A4B1A"/>
          <w:sz w:val="18"/>
        </w:rPr>
        <w:t xml:space="preserve"> writes openly of the difficulty of finding </w:t>
      </w:r>
      <w:r>
        <w:rPr>
          <w:i/>
          <w:color w:val="5A4B1A"/>
          <w:sz w:val="18"/>
        </w:rPr>
        <w:t>shidduchim</w:t>
      </w:r>
      <w:r>
        <w:rPr>
          <w:color w:val="5A4B1A"/>
          <w:sz w:val="18"/>
        </w:rPr>
        <w:t xml:space="preserve"> for children and grandchildren and recommends specific in-the-moment </w:t>
      </w:r>
      <w:r>
        <w:rPr>
          <w:i/>
          <w:color w:val="5A4B1A"/>
          <w:sz w:val="18"/>
        </w:rPr>
        <w:t>bakashos</w:t>
      </w:r>
      <w:r>
        <w:rPr>
          <w:color w:val="5A4B1A"/>
          <w:sz w:val="18"/>
        </w:rPr>
        <w:t xml:space="preserve">; the </w:t>
      </w:r>
      <w:r>
        <w:rPr>
          <w:i/>
          <w:color w:val="5A4B1A"/>
          <w:sz w:val="18"/>
        </w:rPr>
        <w:t>Chida</w:t>
      </w:r>
      <w:r>
        <w:rPr>
          <w:color w:val="5A4B1A"/>
          <w:sz w:val="18"/>
        </w:rPr>
        <w:t xml:space="preserve"> (</w:t>
      </w:r>
      <w:r>
        <w:rPr>
          <w:rFonts w:ascii="David" w:hAnsi="David"/>
          <w:color w:val="5A4B1A"/>
          <w:sz w:val="18"/>
        </w:rPr>
        <w:t>חיד״א</w:t>
      </w:r>
      <w:r>
        <w:rPr>
          <w:color w:val="5A4B1A"/>
          <w:sz w:val="18"/>
        </w:rPr>
        <w:t xml:space="preserve">) in his </w:t>
      </w:r>
      <w:r>
        <w:rPr>
          <w:i/>
          <w:color w:val="5A4B1A"/>
          <w:sz w:val="18"/>
        </w:rPr>
        <w:t>derashos</w:t>
      </w:r>
      <w:r>
        <w:rPr>
          <w:color w:val="5A4B1A"/>
          <w:sz w:val="18"/>
        </w:rPr>
        <w:t xml:space="preserve"> on </w:t>
      </w:r>
      <w:r>
        <w:rPr>
          <w:i/>
          <w:color w:val="5A4B1A"/>
          <w:sz w:val="18"/>
        </w:rPr>
        <w:t>tefillah</w:t>
      </w:r>
      <w:r>
        <w:rPr>
          <w:color w:val="5A4B1A"/>
          <w:sz w:val="18"/>
        </w:rPr>
        <w:t xml:space="preserve"> is reported to echo the same teaching.</w:t>
        <w:br/>
        <w:t xml:space="preserve">  </w:t>
      </w:r>
      <w:r>
        <w:br/>
      </w:r>
      <w:r>
        <w:rPr>
          <w:i/>
          <w:color w:val="5A4B1A"/>
          <w:sz w:val="18"/>
        </w:rPr>
        <w:t>Caveat:</w:t>
      </w:r>
      <w:r>
        <w:rPr>
          <w:color w:val="5A4B1A"/>
          <w:sz w:val="18"/>
        </w:rPr>
        <w:t xml:space="preserve"> the </w:t>
      </w:r>
      <w:r>
        <w:rPr>
          <w:i/>
          <w:color w:val="5A4B1A"/>
          <w:sz w:val="18"/>
        </w:rPr>
        <w:t>Yaavetz</w:t>
      </w:r>
      <w:r>
        <w:rPr>
          <w:color w:val="5A4B1A"/>
          <w:sz w:val="18"/>
        </w:rPr>
        <w:t xml:space="preserve"> was based in Altona (and Emden), whereas the </w:t>
      </w:r>
      <w:r>
        <w:rPr>
          <w:i/>
          <w:color w:val="5A4B1A"/>
          <w:sz w:val="18"/>
        </w:rPr>
        <w:t>derashos</w:t>
      </w:r>
      <w:r>
        <w:rPr>
          <w:color w:val="5A4B1A"/>
          <w:sz w:val="18"/>
        </w:rPr>
        <w:t xml:space="preserve"> from a Prague pulpit point to </w:t>
      </w:r>
      <w:r>
        <w:rPr>
          <w:i/>
          <w:color w:val="5A4B1A"/>
          <w:sz w:val="18"/>
        </w:rPr>
        <w:t>Rabbi Yonah Landsofer</w:t>
      </w:r>
      <w:r>
        <w:rPr>
          <w:color w:val="5A4B1A"/>
          <w:sz w:val="18"/>
        </w:rPr>
        <w:t>; the Rav’s “</w:t>
      </w:r>
      <w:r>
        <w:rPr>
          <w:i/>
          <w:color w:val="5A4B1A"/>
          <w:sz w:val="18"/>
        </w:rPr>
        <w:t>derashah</w:t>
      </w:r>
      <w:r>
        <w:rPr>
          <w:color w:val="5A4B1A"/>
          <w:sz w:val="18"/>
        </w:rPr>
        <w:t xml:space="preserve"> in Prague” may therefore belong to the latter, and the two sources are not to be read as one. The Editorial Review notes that the </w:t>
      </w:r>
      <w:r>
        <w:rPr>
          <w:i/>
          <w:color w:val="5A4B1A"/>
          <w:sz w:val="18"/>
        </w:rPr>
        <w:t>Yaavetz</w:t>
      </w:r>
      <w:r>
        <w:rPr>
          <w:color w:val="5A4B1A"/>
          <w:sz w:val="18"/>
        </w:rPr>
        <w:t xml:space="preserve">’s </w:t>
      </w:r>
      <w:r>
        <w:rPr>
          <w:i/>
          <w:color w:val="5A4B1A"/>
          <w:sz w:val="18"/>
        </w:rPr>
        <w:t>chiddush</w:t>
      </w:r>
      <w:r>
        <w:rPr>
          <w:color w:val="5A4B1A"/>
          <w:sz w:val="18"/>
        </w:rPr>
        <w:t xml:space="preserve"> is the primary source, with </w:t>
      </w:r>
      <w:r>
        <w:rPr>
          <w:i/>
          <w:color w:val="5A4B1A"/>
          <w:sz w:val="18"/>
        </w:rPr>
        <w:t>Rabbi Yonah Landsofer</w:t>
      </w:r>
      <w:r>
        <w:rPr>
          <w:color w:val="5A4B1A"/>
          <w:sz w:val="18"/>
        </w:rPr>
        <w:t xml:space="preserve"> and the </w:t>
      </w:r>
      <w:r>
        <w:rPr>
          <w:i/>
          <w:color w:val="5A4B1A"/>
          <w:sz w:val="18"/>
        </w:rPr>
        <w:t>Chida</w:t>
      </w:r>
      <w:r>
        <w:rPr>
          <w:color w:val="5A4B1A"/>
          <w:sz w:val="18"/>
        </w:rPr>
        <w:t xml:space="preserve"> brought as corroboration. No published reference was specified in the shiur; not verifiable on Sefaria.</w:t>
      </w:r>
    </w:p>
    <w:p>
      <w:r>
        <w:rPr>
          <w:b/>
          <w:color w:val="1E3A8A"/>
        </w:rPr>
        <w:t xml:space="preserve">15. </w:t>
      </w:r>
    </w:p>
    <w:p>
      <w:pPr>
        <w:ind w:left="432"/>
      </w:pPr>
      <w:r>
        <w:rPr>
          <w:b/>
          <w:color w:val="D4A017"/>
          <w:sz w:val="18"/>
        </w:rPr>
        <w:t xml:space="preserve">[Note] </w:t>
      </w:r>
      <w:r>
        <w:rPr>
          <w:b/>
          <w:color w:val="5A4B1A"/>
          <w:sz w:val="18"/>
        </w:rPr>
        <w:t>The Brisker Rav</w:t>
      </w:r>
      <w:r>
        <w:rPr>
          <w:color w:val="5A4B1A"/>
          <w:sz w:val="18"/>
        </w:rPr>
        <w:t xml:space="preserve"> (</w:t>
      </w:r>
      <w:r>
        <w:rPr>
          <w:rFonts w:ascii="David" w:hAnsi="David"/>
          <w:color w:val="5A4B1A"/>
          <w:sz w:val="18"/>
        </w:rPr>
        <w:t>רבי יצחק זאב הלוי סולובייצ׳יק זצ״ל</w:t>
      </w:r>
      <w:r>
        <w:rPr>
          <w:color w:val="5A4B1A"/>
          <w:sz w:val="18"/>
        </w:rPr>
        <w:t xml:space="preserve">, 1886–1959; son of </w:t>
      </w:r>
      <w:r>
        <w:rPr>
          <w:i/>
          <w:color w:val="5A4B1A"/>
          <w:sz w:val="18"/>
        </w:rPr>
        <w:t>Rav Chaim Soloveitchik</w:t>
      </w:r>
      <w:r>
        <w:rPr>
          <w:color w:val="5A4B1A"/>
          <w:sz w:val="18"/>
        </w:rPr>
        <w:t xml:space="preserve">; </w:t>
      </w:r>
      <w:r>
        <w:rPr>
          <w:i/>
          <w:color w:val="5A4B1A"/>
          <w:sz w:val="18"/>
        </w:rPr>
        <w:t>rav</w:t>
      </w:r>
      <w:r>
        <w:rPr>
          <w:color w:val="5A4B1A"/>
          <w:sz w:val="18"/>
        </w:rPr>
        <w:t xml:space="preserve"> of Brisk and later of Jerusalem) — a tradition on adding a brief personal request in </w:t>
      </w:r>
      <w:r>
        <w:rPr>
          <w:i/>
          <w:color w:val="5A4B1A"/>
          <w:sz w:val="18"/>
        </w:rPr>
        <w:t>Shema Koleinu</w:t>
      </w:r>
      <w:r>
        <w:rPr>
          <w:color w:val="5A4B1A"/>
          <w:sz w:val="18"/>
        </w:rPr>
        <w:t xml:space="preserve"> for an immediate practical concern of the day, such as a major business meeting. The weekly write-up frames it as the point at which </w:t>
      </w:r>
      <w:r>
        <w:rPr>
          <w:i/>
          <w:color w:val="5A4B1A"/>
          <w:sz w:val="18"/>
        </w:rPr>
        <w:t>hishtadlus</w:t>
      </w:r>
      <w:r>
        <w:rPr>
          <w:color w:val="5A4B1A"/>
          <w:sz w:val="18"/>
        </w:rPr>
        <w:t xml:space="preserve"> (</w:t>
      </w:r>
      <w:r>
        <w:rPr>
          <w:rFonts w:ascii="David" w:hAnsi="David"/>
          <w:color w:val="5A4B1A"/>
          <w:sz w:val="18"/>
        </w:rPr>
        <w:t>השתדלות</w:t>
      </w:r>
      <w:r>
        <w:rPr>
          <w:color w:val="5A4B1A"/>
          <w:sz w:val="18"/>
        </w:rPr>
        <w:t xml:space="preserve">) and </w:t>
      </w:r>
      <w:r>
        <w:rPr>
          <w:i/>
          <w:color w:val="5A4B1A"/>
          <w:sz w:val="18"/>
        </w:rPr>
        <w:t>bitachon</w:t>
      </w:r>
      <w:r>
        <w:rPr>
          <w:color w:val="5A4B1A"/>
          <w:sz w:val="18"/>
        </w:rPr>
        <w:t xml:space="preserve"> (</w:t>
      </w:r>
      <w:r>
        <w:rPr>
          <w:rFonts w:ascii="David" w:hAnsi="David"/>
          <w:color w:val="5A4B1A"/>
          <w:sz w:val="18"/>
        </w:rPr>
        <w:t>בטחון</w:t>
      </w:r>
      <w:r>
        <w:rPr>
          <w:color w:val="5A4B1A"/>
          <w:sz w:val="18"/>
        </w:rPr>
        <w:t xml:space="preserve">) meet; the Editorial Review observes that this is not the kind of ruling associated with the Brisker </w:t>
      </w:r>
      <w:r>
        <w:rPr>
          <w:i/>
          <w:color w:val="5A4B1A"/>
          <w:sz w:val="18"/>
        </w:rPr>
        <w:t>derech</w:t>
      </w:r>
      <w:r>
        <w:rPr>
          <w:color w:val="5A4B1A"/>
          <w:sz w:val="18"/>
        </w:rPr>
        <w:t xml:space="preserve">’s published </w:t>
      </w:r>
      <w:r>
        <w:rPr>
          <w:i/>
          <w:color w:val="5A4B1A"/>
          <w:sz w:val="18"/>
        </w:rPr>
        <w:t>chiddushim</w:t>
      </w:r>
      <w:r>
        <w:rPr>
          <w:color w:val="5A4B1A"/>
          <w:sz w:val="18"/>
        </w:rPr>
        <w:t xml:space="preserve">. </w:t>
      </w:r>
      <w:r>
        <w:rPr>
          <w:i/>
          <w:color w:val="5A4B1A"/>
          <w:sz w:val="18"/>
        </w:rPr>
        <w:t>Caveat:</w:t>
      </w:r>
      <w:r>
        <w:rPr>
          <w:color w:val="5A4B1A"/>
          <w:sz w:val="18"/>
        </w:rPr>
        <w:t xml:space="preserve"> an oral </w:t>
      </w:r>
      <w:r>
        <w:rPr>
          <w:i/>
          <w:color w:val="5A4B1A"/>
          <w:sz w:val="18"/>
        </w:rPr>
        <w:t>mesorah</w:t>
      </w:r>
      <w:r>
        <w:rPr>
          <w:color w:val="5A4B1A"/>
          <w:sz w:val="18"/>
        </w:rPr>
        <w:t>; no published source specified; not verifiable on Sefaria.</w:t>
      </w:r>
    </w:p>
    <w:p>
      <w:r>
        <w:rPr>
          <w:b/>
          <w:color w:val="1E3A8A"/>
        </w:rPr>
        <w:t xml:space="preserve">16. </w:t>
      </w:r>
    </w:p>
    <w:p>
      <w:pPr>
        <w:ind w:left="432"/>
      </w:pPr>
      <w:r>
        <w:rPr>
          <w:b/>
          <w:color w:val="D4A017"/>
          <w:sz w:val="18"/>
        </w:rPr>
        <w:t xml:space="preserve">[Note] </w:t>
      </w:r>
      <w:r>
        <w:rPr>
          <w:b/>
          <w:i/>
          <w:color w:val="5A4B1A"/>
          <w:sz w:val="18"/>
        </w:rPr>
        <w:t>Zohar HaKadosh</w:t>
      </w:r>
      <w:r>
        <w:rPr>
          <w:b/>
          <w:color w:val="5A4B1A"/>
          <w:sz w:val="18"/>
        </w:rPr>
        <w:t xml:space="preserve"> on </w:t>
      </w:r>
      <w:r>
        <w:rPr>
          <w:b/>
          <w:i/>
          <w:color w:val="5A4B1A"/>
          <w:sz w:val="18"/>
        </w:rPr>
        <w:t>Rav Yeiva Sava</w:t>
      </w:r>
      <w:r>
        <w:rPr>
          <w:color w:val="5A4B1A"/>
          <w:sz w:val="18"/>
        </w:rPr>
        <w:t xml:space="preserve"> (</w:t>
      </w:r>
      <w:r>
        <w:rPr>
          <w:rFonts w:ascii="David" w:hAnsi="David"/>
          <w:color w:val="5A4B1A"/>
          <w:sz w:val="18"/>
        </w:rPr>
        <w:t>רב ייבא סבא</w:t>
      </w:r>
      <w:r>
        <w:rPr>
          <w:color w:val="5A4B1A"/>
          <w:sz w:val="18"/>
        </w:rPr>
        <w:t xml:space="preserve">) — a </w:t>
      </w:r>
      <w:r>
        <w:rPr>
          <w:i/>
          <w:color w:val="5A4B1A"/>
          <w:sz w:val="18"/>
        </w:rPr>
        <w:t>tanna</w:t>
      </w:r>
      <w:r>
        <w:rPr>
          <w:color w:val="5A4B1A"/>
          <w:sz w:val="18"/>
        </w:rPr>
        <w:t xml:space="preserve"> appearing in </w:t>
      </w:r>
      <w:r>
        <w:rPr>
          <w:i/>
          <w:color w:val="5A4B1A"/>
          <w:sz w:val="18"/>
        </w:rPr>
        <w:t>Zohar</w:t>
      </w:r>
      <w:r>
        <w:rPr>
          <w:color w:val="5A4B1A"/>
          <w:sz w:val="18"/>
        </w:rPr>
        <w:t xml:space="preserve"> passages, who would not begin any meal without first praying that the next meal be granted; a model of constant </w:t>
      </w:r>
      <w:r>
        <w:rPr>
          <w:i/>
          <w:color w:val="5A4B1A"/>
          <w:sz w:val="18"/>
        </w:rPr>
        <w:t>tefillah</w:t>
      </w:r>
      <w:r>
        <w:rPr>
          <w:color w:val="5A4B1A"/>
          <w:sz w:val="18"/>
        </w:rPr>
        <w:t xml:space="preserve"> that the Rav brings as the spirit behind daily personal additions in </w:t>
      </w:r>
      <w:r>
        <w:rPr>
          <w:i/>
          <w:color w:val="5A4B1A"/>
          <w:sz w:val="18"/>
        </w:rPr>
        <w:t>Shema Koleinu</w:t>
      </w:r>
      <w:r>
        <w:rPr>
          <w:color w:val="5A4B1A"/>
          <w:sz w:val="18"/>
        </w:rPr>
        <w:t xml:space="preserve">. </w:t>
      </w:r>
      <w:r>
        <w:rPr>
          <w:i/>
          <w:color w:val="5A4B1A"/>
          <w:sz w:val="18"/>
        </w:rPr>
        <w:t>Caveat:</w:t>
      </w:r>
      <w:r>
        <w:rPr>
          <w:color w:val="5A4B1A"/>
          <w:sz w:val="18"/>
        </w:rPr>
        <w:t xml:space="preserve"> the specific </w:t>
      </w:r>
      <w:r>
        <w:rPr>
          <w:i/>
          <w:color w:val="5A4B1A"/>
          <w:sz w:val="18"/>
        </w:rPr>
        <w:t>Zohar</w:t>
      </w:r>
      <w:r>
        <w:rPr>
          <w:color w:val="5A4B1A"/>
          <w:sz w:val="18"/>
        </w:rPr>
        <w:t xml:space="preserve"> locus (the weekly write-up suggests it is a recurring motif, for example in </w:t>
      </w:r>
      <w:r>
        <w:rPr>
          <w:i/>
          <w:color w:val="5A4B1A"/>
          <w:sz w:val="18"/>
        </w:rPr>
        <w:t>Parshas Mishpatim</w:t>
      </w:r>
      <w:r>
        <w:rPr>
          <w:color w:val="5A4B1A"/>
          <w:sz w:val="18"/>
        </w:rPr>
        <w:t>) was not given and is not pinned; not verifiable on Sefaria.</w:t>
      </w:r>
    </w:p>
    <w:p>
      <w:r>
        <w:rPr>
          <w:b/>
          <w:color w:val="1E3A8A"/>
        </w:rPr>
        <w:t xml:space="preserve">17. </w:t>
      </w:r>
      <w:r>
        <w:rPr>
          <w:b/>
          <w:i/>
          <w:color w:val="1E3A8A"/>
        </w:rPr>
        <w:t>Rashi</w:t>
      </w:r>
      <w:r>
        <w:rPr>
          <w:b/>
          <w:color w:val="1E3A8A"/>
        </w:rPr>
        <w:t xml:space="preserve"> on </w:t>
      </w:r>
      <w:r>
        <w:rPr>
          <w:b/>
          <w:i/>
          <w:color w:val="1E3A8A"/>
        </w:rPr>
        <w:t>Bereishis</w:t>
      </w:r>
      <w:r>
        <w:rPr>
          <w:b/>
          <w:color w:val="1E3A8A"/>
        </w:rPr>
        <w:t xml:space="preserve"> 30:8 (</w:t>
      </w:r>
      <w:r>
        <w:rPr>
          <w:rFonts w:ascii="David" w:hAnsi="David"/>
          <w:b/>
          <w:color w:val="1E3A8A"/>
        </w:rPr>
        <w:t>רש״י על בראשית ל׳:ח׳</w:t>
      </w:r>
      <w:r>
        <w:rPr>
          <w:b/>
          <w:color w:val="1E3A8A"/>
        </w:rPr>
        <w:t xml:space="preserve">) — </w:t>
      </w:r>
      <w:r>
        <w:rPr>
          <w:b/>
          <w:i/>
          <w:color w:val="1E3A8A"/>
        </w:rPr>
        <w:t>niftulei Elokim</w:t>
      </w:r>
      <w:r>
        <w:rPr>
          <w:b/>
          <w:color w:val="1E3A8A"/>
        </w:rPr>
        <w:t xml:space="preserve">; </w:t>
      </w:r>
      <w:r>
        <w:rPr>
          <w:b/>
          <w:i/>
          <w:color w:val="1E3A8A"/>
        </w:rPr>
        <w:t>Naftali</w:t>
      </w:r>
      <w:r>
        <w:rPr>
          <w:b/>
          <w:color w:val="1E3A8A"/>
        </w:rPr>
        <w:t xml:space="preserve"> as </w:t>
      </w:r>
      <w:r>
        <w:rPr>
          <w:b/>
          <w:i/>
          <w:color w:val="1E3A8A"/>
        </w:rPr>
        <w:t>chibbur</w:t>
      </w:r>
      <w:r>
        <w:rPr>
          <w:b/>
          <w:color w:val="1E3A8A"/>
        </w:rPr>
        <w:t>.</w:t>
      </w:r>
      <w:r>
        <w:t xml:space="preserve"> </w:t>
      </w:r>
      <w:r>
        <w:t xml:space="preserve">— </w:t>
      </w:r>
      <w:r>
        <w:rPr>
          <w:i/>
        </w:rPr>
        <w:t>Rashi</w:t>
      </w:r>
      <w:r>
        <w:t xml:space="preserve"> brings </w:t>
      </w:r>
      <w:r>
        <w:rPr>
          <w:i/>
        </w:rPr>
        <w:t>Menachem ben Saruk</w:t>
      </w:r>
      <w:r>
        <w:t xml:space="preserve">, who derives </w:t>
      </w:r>
      <w:r>
        <w:rPr>
          <w:i/>
        </w:rPr>
        <w:t>niftulei</w:t>
      </w:r>
      <w:r>
        <w:t xml:space="preserve"> from </w:t>
      </w:r>
      <w:r>
        <w:rPr>
          <w:i/>
        </w:rPr>
        <w:t>pesil</w:t>
      </w:r>
      <w:r>
        <w:t xml:space="preserve">: </w:t>
      </w:r>
      <w:r>
        <w:rPr>
          <w:i/>
        </w:rPr>
        <w:t>“</w:t>
      </w:r>
      <w:r>
        <w:rPr>
          <w:rFonts w:ascii="David" w:hAnsi="David"/>
          <w:i/>
        </w:rPr>
        <w:t>חיבורים מאת המקום נתחברתי עם אחותי</w:t>
      </w:r>
      <w:r>
        <w:rPr>
          <w:i/>
        </w:rPr>
        <w:t>”</w:t>
      </w:r>
      <w:r>
        <w:t xml:space="preserve">; </w:t>
      </w:r>
      <w:r>
        <w:rPr>
          <w:i/>
        </w:rPr>
        <w:t>Rashi</w:t>
      </w:r>
      <w:r>
        <w:t xml:space="preserve"> then gives his own reading: </w:t>
      </w:r>
      <w:r>
        <w:rPr>
          <w:i/>
        </w:rPr>
        <w:t>“</w:t>
      </w:r>
      <w:r>
        <w:rPr>
          <w:rFonts w:ascii="David" w:hAnsi="David"/>
          <w:i/>
        </w:rPr>
        <w:t>נתעקשתי והפצרתי פצירות ונפתולים הרבה למקום</w:t>
      </w:r>
      <w:r>
        <w:rPr>
          <w:i/>
        </w:rPr>
        <w:t>”</w:t>
      </w:r>
      <w:r>
        <w:t>, persistent wrestling with Hashem.</w:t>
      </w:r>
    </w:p>
    <w:p>
      <w:pPr>
        <w:ind w:left="432"/>
      </w:pPr>
      <w:r>
        <w:rPr>
          <w:b/>
          <w:color w:val="D4A017"/>
          <w:sz w:val="18"/>
        </w:rPr>
        <w:t xml:space="preserve">[Note] </w:t>
      </w:r>
      <w:r>
        <w:rPr>
          <w:b/>
          <w:color w:val="5A4B1A"/>
          <w:sz w:val="18"/>
        </w:rPr>
        <w:t>Corrected after Sefaria check:</w:t>
      </w:r>
      <w:r>
        <w:rPr>
          <w:color w:val="5A4B1A"/>
          <w:sz w:val="18"/>
        </w:rPr>
        <w:t xml:space="preserve"> the sense of </w:t>
      </w:r>
      <w:r>
        <w:rPr>
          <w:i/>
          <w:color w:val="5A4B1A"/>
          <w:sz w:val="18"/>
        </w:rPr>
        <w:t>chibbur</w:t>
      </w:r>
      <w:r>
        <w:rPr>
          <w:color w:val="5A4B1A"/>
          <w:sz w:val="18"/>
        </w:rPr>
        <w:t xml:space="preserve"> is </w:t>
      </w:r>
      <w:r>
        <w:rPr>
          <w:i/>
          <w:color w:val="5A4B1A"/>
          <w:sz w:val="18"/>
        </w:rPr>
        <w:t>Menachem</w:t>
      </w:r>
      <w:r>
        <w:rPr>
          <w:color w:val="5A4B1A"/>
          <w:sz w:val="18"/>
        </w:rPr>
        <w:t xml:space="preserve">’s, cited by </w:t>
      </w:r>
      <w:r>
        <w:rPr>
          <w:i/>
          <w:color w:val="5A4B1A"/>
          <w:sz w:val="18"/>
        </w:rPr>
        <w:t>Rashi</w:t>
      </w:r>
      <w:r>
        <w:rPr>
          <w:color w:val="5A4B1A"/>
          <w:sz w:val="18"/>
        </w:rPr>
        <w:t xml:space="preserve">, not </w:t>
      </w:r>
      <w:r>
        <w:rPr>
          <w:i/>
          <w:color w:val="5A4B1A"/>
          <w:sz w:val="18"/>
        </w:rPr>
        <w:t>Rashi</w:t>
      </w:r>
      <w:r>
        <w:rPr>
          <w:color w:val="5A4B1A"/>
          <w:sz w:val="18"/>
        </w:rPr>
        <w:t xml:space="preserve">’s own preferred reading, which is wrestling and importuning — itself fitting for </w:t>
      </w:r>
      <w:r>
        <w:rPr>
          <w:i/>
          <w:color w:val="5A4B1A"/>
          <w:sz w:val="18"/>
        </w:rPr>
        <w:t>tefillah</w:t>
      </w:r>
      <w:r>
        <w:rPr>
          <w:color w:val="5A4B1A"/>
          <w:sz w:val="18"/>
        </w:rPr>
        <w:t>. The Rav’s point is retained as presented.</w:t>
      </w:r>
    </w:p>
    <w:p>
      <w:r>
        <w:rPr>
          <w:b/>
          <w:color w:val="1E3A8A"/>
        </w:rPr>
        <w:t xml:space="preserve">18. </w:t>
      </w:r>
    </w:p>
    <w:p>
      <w:pPr>
        <w:ind w:left="432"/>
      </w:pPr>
      <w:r>
        <w:rPr>
          <w:b/>
          <w:color w:val="D4A017"/>
          <w:sz w:val="18"/>
        </w:rPr>
        <w:t xml:space="preserve">[Note] </w:t>
      </w:r>
      <w:r>
        <w:rPr>
          <w:b/>
          <w:i/>
          <w:color w:val="5A4B1A"/>
          <w:sz w:val="18"/>
        </w:rPr>
        <w:t>Rav Shimshon Raphael Schwab</w:t>
      </w:r>
      <w:r>
        <w:rPr>
          <w:color w:val="5A4B1A"/>
          <w:sz w:val="18"/>
        </w:rPr>
        <w:t xml:space="preserve"> (</w:t>
      </w:r>
      <w:r>
        <w:rPr>
          <w:rFonts w:ascii="David" w:hAnsi="David"/>
          <w:color w:val="5A4B1A"/>
          <w:sz w:val="18"/>
        </w:rPr>
        <w:t>רב שמשון רפאל שוואב זצ״ל</w:t>
      </w:r>
      <w:r>
        <w:rPr>
          <w:color w:val="5A4B1A"/>
          <w:sz w:val="18"/>
        </w:rPr>
        <w:t xml:space="preserve">, 1908–1995, </w:t>
      </w:r>
      <w:r>
        <w:rPr>
          <w:i/>
          <w:color w:val="5A4B1A"/>
          <w:sz w:val="18"/>
        </w:rPr>
        <w:t>rav</w:t>
      </w:r>
      <w:r>
        <w:rPr>
          <w:color w:val="5A4B1A"/>
          <w:sz w:val="18"/>
        </w:rPr>
        <w:t xml:space="preserve"> of </w:t>
      </w:r>
      <w:r>
        <w:rPr>
          <w:i/>
          <w:color w:val="5A4B1A"/>
          <w:sz w:val="18"/>
        </w:rPr>
        <w:t>Khal Adath Jeshurun</w:t>
      </w:r>
      <w:r>
        <w:rPr>
          <w:color w:val="5A4B1A"/>
          <w:sz w:val="18"/>
        </w:rPr>
        <w:t xml:space="preserve"> in Washington Heights), </w:t>
      </w:r>
      <w:r>
        <w:rPr>
          <w:i/>
          <w:color w:val="5A4B1A"/>
          <w:sz w:val="18"/>
        </w:rPr>
        <w:t>Iyun Tefillah</w:t>
      </w:r>
      <w:r>
        <w:rPr>
          <w:color w:val="5A4B1A"/>
          <w:sz w:val="18"/>
        </w:rPr>
        <w:t xml:space="preserve"> (</w:t>
      </w:r>
      <w:r>
        <w:rPr>
          <w:rFonts w:ascii="David" w:hAnsi="David"/>
          <w:color w:val="5A4B1A"/>
          <w:sz w:val="18"/>
        </w:rPr>
        <w:t>עיון תפילה</w:t>
      </w:r>
      <w:r>
        <w:rPr>
          <w:color w:val="5A4B1A"/>
          <w:sz w:val="18"/>
        </w:rPr>
        <w:t xml:space="preserve">; in English, </w:t>
      </w:r>
      <w:r>
        <w:rPr>
          <w:i/>
          <w:color w:val="5A4B1A"/>
          <w:sz w:val="18"/>
        </w:rPr>
        <w:t>Rav Schwab on Prayer</w:t>
      </w:r>
      <w:r>
        <w:rPr>
          <w:color w:val="5A4B1A"/>
          <w:sz w:val="18"/>
        </w:rPr>
        <w:t xml:space="preserve">) — a personal reading of </w:t>
      </w:r>
      <w:r>
        <w:rPr>
          <w:i/>
          <w:color w:val="5A4B1A"/>
          <w:sz w:val="18"/>
        </w:rPr>
        <w:t>“</w:t>
      </w:r>
      <w:r>
        <w:rPr>
          <w:rFonts w:ascii="David" w:hAnsi="David"/>
          <w:i/>
          <w:color w:val="5A4B1A"/>
          <w:sz w:val="18"/>
        </w:rPr>
        <w:t>ריקם אל תשיבנו</w:t>
      </w:r>
      <w:r>
        <w:rPr>
          <w:i/>
          <w:color w:val="5A4B1A"/>
          <w:sz w:val="18"/>
        </w:rPr>
        <w:t>”</w:t>
      </w:r>
      <w:r>
        <w:rPr>
          <w:color w:val="5A4B1A"/>
          <w:sz w:val="18"/>
        </w:rPr>
        <w:t xml:space="preserve">: the request is not only that Hashem grant the substance of our requests but that we not </w:t>
      </w:r>
      <w:r>
        <w:rPr>
          <w:i/>
          <w:color w:val="5A4B1A"/>
          <w:sz w:val="18"/>
        </w:rPr>
        <w:t>feel</w:t>
      </w:r>
      <w:r>
        <w:rPr>
          <w:color w:val="5A4B1A"/>
          <w:sz w:val="18"/>
        </w:rPr>
        <w:t xml:space="preserve"> abandoned when He does not. He grounds it in his childhood memory of his mother in Germany in the First World War, the tear falling on the loaf of black bread, and the dawning recognition that her sharpness was love. </w:t>
      </w:r>
      <w:r>
        <w:rPr>
          <w:i/>
          <w:color w:val="5A4B1A"/>
          <w:sz w:val="18"/>
        </w:rPr>
        <w:t>Caveat:</w:t>
      </w:r>
      <w:r>
        <w:rPr>
          <w:color w:val="5A4B1A"/>
          <w:sz w:val="18"/>
        </w:rPr>
        <w:t xml:space="preserve"> </w:t>
      </w:r>
      <w:r>
        <w:rPr>
          <w:i/>
          <w:color w:val="5A4B1A"/>
          <w:sz w:val="18"/>
        </w:rPr>
        <w:t>Iyun Tefillah</w:t>
      </w:r>
      <w:r>
        <w:rPr>
          <w:color w:val="5A4B1A"/>
          <w:sz w:val="18"/>
        </w:rPr>
        <w:t xml:space="preserve"> is not on Sefaria; the exact page or chapter of this passage is not pinned. (The Shiur Review notes that an earlier summary mis-attributed the story to </w:t>
      </w:r>
      <w:r>
        <w:rPr>
          <w:i/>
          <w:color w:val="5A4B1A"/>
          <w:sz w:val="18"/>
        </w:rPr>
        <w:t>Rav Shimshon Raphael Hirsch</w:t>
      </w:r>
      <w:r>
        <w:rPr>
          <w:color w:val="5A4B1A"/>
          <w:sz w:val="18"/>
        </w:rPr>
        <w:t xml:space="preserve">; the attribution to </w:t>
      </w:r>
      <w:r>
        <w:rPr>
          <w:i/>
          <w:color w:val="5A4B1A"/>
          <w:sz w:val="18"/>
        </w:rPr>
        <w:t>Rav Schwab</w:t>
      </w:r>
      <w:r>
        <w:rPr>
          <w:color w:val="5A4B1A"/>
          <w:sz w:val="18"/>
        </w:rPr>
        <w:t xml:space="preserve"> is correct.)</w:t>
      </w:r>
    </w:p>
    <w:p>
      <w:r>
        <w:rPr>
          <w:b/>
          <w:color w:val="1E3A8A"/>
        </w:rPr>
        <w:t xml:space="preserve">19. </w:t>
      </w:r>
      <w:r>
        <w:rPr>
          <w:b/>
          <w:i/>
          <w:color w:val="1E3A8A"/>
        </w:rPr>
        <w:t>Tehillim</w:t>
      </w:r>
      <w:r>
        <w:rPr>
          <w:b/>
          <w:color w:val="1E3A8A"/>
        </w:rPr>
        <w:t xml:space="preserve"> 37:25 (</w:t>
      </w:r>
      <w:r>
        <w:rPr>
          <w:rFonts w:ascii="David" w:hAnsi="David"/>
          <w:b/>
          <w:color w:val="1E3A8A"/>
        </w:rPr>
        <w:t>תהלים ל״ז:כ״ה</w:t>
      </w:r>
      <w:r>
        <w:rPr>
          <w:b/>
          <w:color w:val="1E3A8A"/>
        </w:rPr>
        <w:t xml:space="preserve">) — </w:t>
      </w:r>
      <w:r>
        <w:rPr>
          <w:b/>
          <w:i/>
          <w:color w:val="1E3A8A"/>
        </w:rPr>
        <w:t>“</w:t>
      </w:r>
      <w:r>
        <w:rPr>
          <w:rFonts w:ascii="David" w:hAnsi="David"/>
          <w:b/>
          <w:i/>
          <w:color w:val="1E3A8A"/>
        </w:rPr>
        <w:t>נער הייתי גם זקנתי ולא ראיתי צדיק נעזב וזרעו מבקש לחם</w:t>
      </w:r>
      <w:r>
        <w:rPr>
          <w:b/>
          <w:i/>
          <w:color w:val="1E3A8A"/>
        </w:rPr>
        <w:t>”</w:t>
      </w:r>
      <w:r>
        <w:rPr>
          <w:b/>
          <w:color w:val="1E3A8A"/>
        </w:rPr>
        <w:t>.</w:t>
      </w:r>
      <w:r>
        <w:t xml:space="preserve"> </w:t>
      </w:r>
      <w:r>
        <w:t xml:space="preserve">— </w:t>
      </w:r>
      <w:r>
        <w:rPr>
          <w:b/>
        </w:rPr>
        <w:t>Verified against Sefaria.</w:t>
      </w:r>
      <w:r>
        <w:t xml:space="preserve"> </w:t>
      </w:r>
      <w:r>
        <w:rPr>
          <w:i/>
        </w:rPr>
        <w:t>David HaMelech</w:t>
      </w:r>
      <w:r>
        <w:t xml:space="preserve">’s declaration in the thirty-seventh </w:t>
      </w:r>
      <w:r>
        <w:rPr>
          <w:i/>
        </w:rPr>
        <w:t>mizmor</w:t>
      </w:r>
      <w:r>
        <w:t xml:space="preserve">. The verse is recited at the close of </w:t>
      </w:r>
      <w:r>
        <w:rPr>
          <w:i/>
        </w:rPr>
        <w:t>Birkas HaMazon</w:t>
      </w:r>
      <w:r>
        <w:t xml:space="preserve"> and is one of the foundational verses of </w:t>
      </w:r>
      <w:r>
        <w:rPr>
          <w:i/>
        </w:rPr>
        <w:t>bitachon</w:t>
      </w:r>
      <w:r>
        <w:t xml:space="preserve"> in prayer. </w:t>
      </w:r>
      <w:r>
        <w:rPr>
          <w:i/>
        </w:rPr>
        <w:t>Rav Schwab</w:t>
      </w:r>
      <w:r>
        <w:t xml:space="preserve">’s reading takes </w:t>
      </w:r>
      <w:r>
        <w:rPr>
          <w:i/>
        </w:rPr>
        <w:t>“</w:t>
      </w:r>
      <w:r>
        <w:rPr>
          <w:rFonts w:ascii="David" w:hAnsi="David"/>
          <w:i/>
        </w:rPr>
        <w:t>נעזב</w:t>
      </w:r>
      <w:r>
        <w:rPr>
          <w:i/>
        </w:rPr>
        <w:t>”</w:t>
      </w:r>
      <w:r>
        <w:t xml:space="preserve"> as </w:t>
      </w:r>
      <w:r>
        <w:rPr>
          <w:i/>
        </w:rPr>
        <w:t>experiencing oneself as abandoned</w:t>
      </w:r>
      <w:r>
        <w:t xml:space="preserve">. The Shiur Review notes that this is a reading of </w:t>
      </w:r>
      <w:r>
        <w:rPr>
          <w:i/>
        </w:rPr>
        <w:t>mussar</w:t>
      </w:r>
      <w:r>
        <w:t xml:space="preserve"> force more than strict </w:t>
      </w:r>
      <w:r>
        <w:rPr>
          <w:i/>
        </w:rPr>
        <w:t>peshat</w:t>
      </w:r>
      <w:r>
        <w:t xml:space="preserve">, since </w:t>
      </w:r>
      <w:r>
        <w:rPr>
          <w:i/>
        </w:rPr>
        <w:t>nifal</w:t>
      </w:r>
      <w:r>
        <w:t xml:space="preserve"> forms in </w:t>
      </w:r>
      <w:r>
        <w:rPr>
          <w:i/>
        </w:rPr>
        <w:t>Tanach</w:t>
      </w:r>
      <w:r>
        <w:t xml:space="preserve"> are not typically experiential, and that the verse is generally read more literally; it is accordingly presented as </w:t>
      </w:r>
      <w:r>
        <w:rPr>
          <w:i/>
        </w:rPr>
        <w:t>Rav Schwab</w:t>
      </w:r>
      <w:r>
        <w:t xml:space="preserve">’s reading and not as the </w:t>
      </w:r>
      <w:r>
        <w:rPr>
          <w:i/>
        </w:rPr>
        <w:t>peshat</w:t>
      </w:r>
      <w:r>
        <w:t>.</w:t>
      </w:r>
    </w:p>
    <w:p>
      <w:r>
        <w:rPr>
          <w:b/>
          <w:color w:val="1E3A8A"/>
        </w:rPr>
        <w:t xml:space="preserve">20. </w:t>
      </w:r>
    </w:p>
    <w:p>
      <w:pPr>
        <w:ind w:left="432"/>
      </w:pPr>
      <w:r>
        <w:rPr>
          <w:b/>
          <w:color w:val="D4A017"/>
          <w:sz w:val="18"/>
        </w:rPr>
        <w:t xml:space="preserve">[Note] </w:t>
      </w:r>
      <w:r>
        <w:rPr>
          <w:b/>
          <w:color w:val="5A4B1A"/>
          <w:sz w:val="18"/>
        </w:rPr>
        <w:t>Rabbi Avraham Schorr</w:t>
      </w:r>
      <w:r>
        <w:rPr>
          <w:color w:val="5A4B1A"/>
          <w:sz w:val="18"/>
        </w:rPr>
        <w:t xml:space="preserve"> (</w:t>
      </w:r>
      <w:r>
        <w:rPr>
          <w:rFonts w:ascii="David" w:hAnsi="David"/>
          <w:color w:val="5A4B1A"/>
          <w:sz w:val="18"/>
        </w:rPr>
        <w:t>שליט״א</w:t>
      </w:r>
      <w:r>
        <w:rPr>
          <w:color w:val="5A4B1A"/>
          <w:sz w:val="18"/>
        </w:rPr>
        <w:t xml:space="preserve">) — the Flatbush </w:t>
      </w:r>
      <w:r>
        <w:rPr>
          <w:i/>
          <w:color w:val="5A4B1A"/>
          <w:sz w:val="18"/>
        </w:rPr>
        <w:t>rav</w:t>
      </w:r>
      <w:r>
        <w:rPr>
          <w:color w:val="5A4B1A"/>
          <w:sz w:val="18"/>
        </w:rPr>
        <w:t xml:space="preserve"> of </w:t>
      </w:r>
      <w:r>
        <w:rPr>
          <w:i/>
          <w:color w:val="5A4B1A"/>
          <w:sz w:val="18"/>
        </w:rPr>
        <w:t>Kehal Tiferes Rachmiel Avraham</w:t>
      </w:r>
      <w:r>
        <w:rPr>
          <w:color w:val="5A4B1A"/>
          <w:sz w:val="18"/>
        </w:rPr>
        <w:t xml:space="preserve">; a </w:t>
      </w:r>
      <w:r>
        <w:rPr>
          <w:i/>
          <w:color w:val="5A4B1A"/>
          <w:sz w:val="18"/>
        </w:rPr>
        <w:t>talmid</w:t>
      </w:r>
      <w:r>
        <w:rPr>
          <w:color w:val="5A4B1A"/>
          <w:sz w:val="18"/>
        </w:rPr>
        <w:t xml:space="preserve"> of </w:t>
      </w:r>
      <w:r>
        <w:rPr>
          <w:i/>
          <w:color w:val="5A4B1A"/>
          <w:sz w:val="18"/>
        </w:rPr>
        <w:t>Rav Avraham Pam zt”l</w:t>
      </w:r>
      <w:r>
        <w:rPr>
          <w:color w:val="5A4B1A"/>
          <w:sz w:val="18"/>
        </w:rPr>
        <w:t xml:space="preserve"> at Torah Vodaath; author of </w:t>
      </w:r>
      <w:r>
        <w:rPr>
          <w:i/>
          <w:color w:val="5A4B1A"/>
          <w:sz w:val="18"/>
        </w:rPr>
        <w:t>HaLekach VeHaLibuv</w:t>
      </w:r>
      <w:r>
        <w:rPr>
          <w:color w:val="5A4B1A"/>
          <w:sz w:val="18"/>
        </w:rPr>
        <w:t xml:space="preserve"> on Torah and the festivals. His public remark about the Rav’s father, that he was the only person in their </w:t>
      </w:r>
      <w:r>
        <w:rPr>
          <w:i/>
          <w:color w:val="5A4B1A"/>
          <w:sz w:val="18"/>
        </w:rPr>
        <w:t>beis knesses</w:t>
      </w:r>
      <w:r>
        <w:rPr>
          <w:color w:val="5A4B1A"/>
          <w:sz w:val="18"/>
        </w:rPr>
        <w:t xml:space="preserve"> who cried during a regular weekday </w:t>
      </w:r>
      <w:r>
        <w:rPr>
          <w:i/>
          <w:color w:val="5A4B1A"/>
          <w:sz w:val="18"/>
        </w:rPr>
        <w:t>Shemoneh Esrei</w:t>
      </w:r>
      <w:r>
        <w:rPr>
          <w:color w:val="5A4B1A"/>
          <w:sz w:val="18"/>
        </w:rPr>
        <w:t xml:space="preserve">, is brought as testimony to a time when prayer on an ordinary Tuesday could still draw real tears. </w:t>
      </w:r>
      <w:r>
        <w:rPr>
          <w:i/>
          <w:color w:val="5A4B1A"/>
          <w:sz w:val="18"/>
        </w:rPr>
        <w:t>Caveat:</w:t>
      </w:r>
      <w:r>
        <w:rPr>
          <w:color w:val="5A4B1A"/>
          <w:sz w:val="18"/>
        </w:rPr>
        <w:t xml:space="preserve"> the biographical particulars are from the weekly write-up and are unverified; the Editorial Review asks that the geography (the Rav’s father davening with him “on the East Side”) and the honorific be confirmed.</w:t>
      </w:r>
    </w:p>
    <w:p>
      <w:r>
        <w:rPr>
          <w:b/>
          <w:color w:val="1E3A8A"/>
        </w:rPr>
        <w:t xml:space="preserve">21. </w:t>
      </w:r>
    </w:p>
    <w:p>
      <w:pPr>
        <w:ind w:left="432"/>
      </w:pPr>
      <w:r>
        <w:rPr>
          <w:b/>
          <w:color w:val="D4A017"/>
          <w:sz w:val="18"/>
        </w:rPr>
        <w:t xml:space="preserve">[Note] </w:t>
      </w:r>
      <w:r>
        <w:rPr>
          <w:b/>
          <w:color w:val="5A4B1A"/>
          <w:sz w:val="18"/>
        </w:rPr>
        <w:t xml:space="preserve">The quoted phrases </w:t>
      </w:r>
      <w:r>
        <w:rPr>
          <w:b/>
          <w:i/>
          <w:color w:val="5A4B1A"/>
          <w:sz w:val="18"/>
        </w:rPr>
        <w:t>“</w:t>
      </w:r>
      <w:r>
        <w:rPr>
          <w:rFonts w:ascii="David" w:hAnsi="David"/>
          <w:b/>
          <w:i/>
          <w:color w:val="5A4B1A"/>
          <w:sz w:val="18"/>
        </w:rPr>
        <w:t>השיבנו בחיים</w:t>
      </w:r>
      <w:r>
        <w:rPr>
          <w:b/>
          <w:i/>
          <w:color w:val="5A4B1A"/>
          <w:sz w:val="18"/>
        </w:rPr>
        <w:t>”</w:t>
      </w:r>
      <w:r>
        <w:rPr>
          <w:b/>
          <w:color w:val="5A4B1A"/>
          <w:sz w:val="18"/>
        </w:rPr>
        <w:t xml:space="preserve"> and </w:t>
      </w:r>
      <w:r>
        <w:rPr>
          <w:b/>
          <w:i/>
          <w:color w:val="5A4B1A"/>
          <w:sz w:val="18"/>
        </w:rPr>
        <w:t>“</w:t>
      </w:r>
      <w:r>
        <w:rPr>
          <w:rFonts w:ascii="David" w:hAnsi="David"/>
          <w:b/>
          <w:i/>
          <w:color w:val="5A4B1A"/>
          <w:sz w:val="18"/>
        </w:rPr>
        <w:t>בא נשלום</w:t>
      </w:r>
      <w:r>
        <w:rPr>
          <w:b/>
          <w:i/>
          <w:color w:val="5A4B1A"/>
          <w:sz w:val="18"/>
        </w:rPr>
        <w:t>”</w:t>
      </w:r>
      <w:r>
        <w:rPr>
          <w:color w:val="5A4B1A"/>
          <w:sz w:val="18"/>
        </w:rPr>
        <w:t xml:space="preserve"> are retained as transcribed. </w:t>
      </w:r>
      <w:r>
        <w:rPr>
          <w:i/>
          <w:color w:val="5A4B1A"/>
          <w:sz w:val="18"/>
        </w:rPr>
        <w:t>Caveat:</w:t>
      </w:r>
      <w:r>
        <w:rPr>
          <w:color w:val="5A4B1A"/>
          <w:sz w:val="18"/>
        </w:rPr>
        <w:t xml:space="preserve"> the Editorial Review observes that they appear to be transcription artifacts: the weekday </w:t>
      </w:r>
      <w:r>
        <w:rPr>
          <w:i/>
          <w:color w:val="5A4B1A"/>
          <w:sz w:val="18"/>
        </w:rPr>
        <w:t>Shemoneh Esrei</w:t>
      </w:r>
      <w:r>
        <w:rPr>
          <w:color w:val="5A4B1A"/>
          <w:sz w:val="18"/>
        </w:rPr>
        <w:t xml:space="preserve"> reads </w:t>
      </w:r>
      <w:r>
        <w:rPr>
          <w:i/>
          <w:color w:val="5A4B1A"/>
          <w:sz w:val="18"/>
        </w:rPr>
        <w:t>“</w:t>
      </w:r>
      <w:r>
        <w:rPr>
          <w:rFonts w:ascii="David" w:hAnsi="David"/>
          <w:i/>
          <w:color w:val="5A4B1A"/>
          <w:sz w:val="18"/>
        </w:rPr>
        <w:t>השיבנו אבינו לתורתך</w:t>
      </w:r>
      <w:r>
        <w:rPr>
          <w:i/>
          <w:color w:val="5A4B1A"/>
          <w:sz w:val="18"/>
        </w:rPr>
        <w:t>”</w:t>
      </w:r>
      <w:r>
        <w:rPr>
          <w:color w:val="5A4B1A"/>
          <w:sz w:val="18"/>
        </w:rPr>
        <w:t xml:space="preserve"> and </w:t>
      </w:r>
      <w:r>
        <w:rPr>
          <w:i/>
          <w:color w:val="5A4B1A"/>
          <w:sz w:val="18"/>
        </w:rPr>
        <w:t>“</w:t>
      </w:r>
      <w:r>
        <w:rPr>
          <w:rFonts w:ascii="David" w:hAnsi="David"/>
          <w:i/>
          <w:color w:val="5A4B1A"/>
          <w:sz w:val="18"/>
        </w:rPr>
        <w:t>שים שלום</w:t>
      </w:r>
      <w:r>
        <w:rPr>
          <w:i/>
          <w:color w:val="5A4B1A"/>
          <w:sz w:val="18"/>
        </w:rPr>
        <w:t>”</w:t>
      </w:r>
      <w:r>
        <w:rPr>
          <w:color w:val="5A4B1A"/>
          <w:sz w:val="18"/>
        </w:rPr>
        <w:t xml:space="preserve">, while </w:t>
      </w:r>
      <w:r>
        <w:rPr>
          <w:i/>
          <w:color w:val="5A4B1A"/>
          <w:sz w:val="18"/>
        </w:rPr>
        <w:t>“</w:t>
      </w:r>
      <w:r>
        <w:rPr>
          <w:rFonts w:ascii="David" w:hAnsi="David"/>
          <w:i/>
          <w:color w:val="5A4B1A"/>
          <w:sz w:val="18"/>
        </w:rPr>
        <w:t>השיבנו בחיים</w:t>
      </w:r>
      <w:r>
        <w:rPr>
          <w:i/>
          <w:color w:val="5A4B1A"/>
          <w:sz w:val="18"/>
        </w:rPr>
        <w:t>”</w:t>
      </w:r>
      <w:r>
        <w:rPr>
          <w:color w:val="5A4B1A"/>
          <w:sz w:val="18"/>
        </w:rPr>
        <w:t xml:space="preserve"> belongs to the </w:t>
      </w:r>
      <w:r>
        <w:rPr>
          <w:i/>
          <w:color w:val="5A4B1A"/>
          <w:sz w:val="18"/>
        </w:rPr>
        <w:t>tefillah zakah</w:t>
      </w:r>
      <w:r>
        <w:rPr>
          <w:color w:val="5A4B1A"/>
          <w:sz w:val="18"/>
        </w:rPr>
        <w:t xml:space="preserve">, and </w:t>
      </w:r>
      <w:r>
        <w:rPr>
          <w:i/>
          <w:color w:val="5A4B1A"/>
          <w:sz w:val="18"/>
        </w:rPr>
        <w:t>“</w:t>
      </w:r>
      <w:r>
        <w:rPr>
          <w:rFonts w:ascii="David" w:hAnsi="David"/>
          <w:i/>
          <w:color w:val="5A4B1A"/>
          <w:sz w:val="18"/>
        </w:rPr>
        <w:t>בואי בשלום</w:t>
      </w:r>
      <w:r>
        <w:rPr>
          <w:i/>
          <w:color w:val="5A4B1A"/>
          <w:sz w:val="18"/>
        </w:rPr>
        <w:t>”</w:t>
      </w:r>
      <w:r>
        <w:rPr>
          <w:color w:val="5A4B1A"/>
          <w:sz w:val="18"/>
        </w:rPr>
        <w:t xml:space="preserve"> to </w:t>
      </w:r>
      <w:r>
        <w:rPr>
          <w:i/>
          <w:color w:val="5A4B1A"/>
          <w:sz w:val="18"/>
        </w:rPr>
        <w:t>Lecha Dodi</w:t>
      </w:r>
      <w:r>
        <w:rPr>
          <w:color w:val="5A4B1A"/>
          <w:sz w:val="18"/>
        </w:rPr>
        <w:t xml:space="preserve">. What the Rav actually said, and which words of the </w:t>
      </w:r>
      <w:r>
        <w:rPr>
          <w:i/>
          <w:color w:val="5A4B1A"/>
          <w:sz w:val="18"/>
        </w:rPr>
        <w:t>tefillah</w:t>
      </w:r>
      <w:r>
        <w:rPr>
          <w:color w:val="5A4B1A"/>
          <w:sz w:val="18"/>
        </w:rPr>
        <w:t xml:space="preserve"> he meant, is to be confirmed.</w:t>
      </w:r>
    </w:p>
    <w:p>
      <w:r>
        <w:rPr>
          <w:b/>
          <w:color w:val="1E3A8A"/>
        </w:rPr>
        <w:t xml:space="preserve">22. </w:t>
      </w:r>
    </w:p>
    <w:p>
      <w:pPr>
        <w:ind w:left="432"/>
      </w:pPr>
      <w:r>
        <w:rPr>
          <w:b/>
          <w:color w:val="D4A017"/>
          <w:sz w:val="18"/>
        </w:rPr>
        <w:t xml:space="preserve">[Note] </w:t>
      </w:r>
      <w:r>
        <w:rPr>
          <w:b/>
          <w:color w:val="5A4B1A"/>
          <w:sz w:val="18"/>
        </w:rPr>
        <w:t xml:space="preserve">The </w:t>
      </w:r>
      <w:r>
        <w:rPr>
          <w:b/>
          <w:i/>
          <w:color w:val="5A4B1A"/>
          <w:sz w:val="18"/>
        </w:rPr>
        <w:t>Bach</w:t>
      </w:r>
      <w:r>
        <w:rPr>
          <w:b/>
          <w:color w:val="5A4B1A"/>
          <w:sz w:val="18"/>
        </w:rPr>
        <w:t xml:space="preserve"> on the </w:t>
      </w:r>
      <w:r>
        <w:rPr>
          <w:b/>
          <w:i/>
          <w:color w:val="5A4B1A"/>
          <w:sz w:val="18"/>
        </w:rPr>
        <w:t>Tur Orach Chaim</w:t>
      </w:r>
      <w:r>
        <w:rPr>
          <w:color w:val="5A4B1A"/>
          <w:sz w:val="18"/>
        </w:rPr>
        <w:t xml:space="preserve"> (</w:t>
      </w:r>
      <w:r>
        <w:rPr>
          <w:rFonts w:ascii="David" w:hAnsi="David"/>
          <w:color w:val="5A4B1A"/>
          <w:sz w:val="18"/>
        </w:rPr>
        <w:t>ב״ח על טור אורח חיים</w:t>
      </w:r>
      <w:r>
        <w:rPr>
          <w:color w:val="5A4B1A"/>
          <w:sz w:val="18"/>
        </w:rPr>
        <w:t xml:space="preserve">; </w:t>
      </w:r>
      <w:r>
        <w:rPr>
          <w:i/>
          <w:color w:val="5A4B1A"/>
          <w:sz w:val="18"/>
        </w:rPr>
        <w:t>Rabbi Yoel Sirkes</w:t>
      </w:r>
      <w:r>
        <w:rPr>
          <w:color w:val="5A4B1A"/>
          <w:sz w:val="18"/>
        </w:rPr>
        <w:t xml:space="preserve">, 1561–1640, Krakow) — as presented by the Rav, a </w:t>
      </w:r>
      <w:r>
        <w:rPr>
          <w:i/>
          <w:color w:val="5A4B1A"/>
          <w:sz w:val="18"/>
        </w:rPr>
        <w:t>yachid</w:t>
      </w:r>
      <w:r>
        <w:rPr>
          <w:color w:val="5A4B1A"/>
          <w:sz w:val="18"/>
        </w:rPr>
        <w:t xml:space="preserve"> may insert </w:t>
      </w:r>
      <w:r>
        <w:rPr>
          <w:i/>
          <w:color w:val="5A4B1A"/>
          <w:sz w:val="18"/>
        </w:rPr>
        <w:t>sheilas geshamim</w:t>
      </w:r>
      <w:r>
        <w:rPr>
          <w:color w:val="5A4B1A"/>
          <w:sz w:val="18"/>
        </w:rPr>
        <w:t xml:space="preserve"> in </w:t>
      </w:r>
      <w:r>
        <w:rPr>
          <w:i/>
          <w:color w:val="5A4B1A"/>
          <w:sz w:val="18"/>
        </w:rPr>
        <w:t>Shema Koleinu</w:t>
      </w:r>
      <w:r>
        <w:rPr>
          <w:color w:val="5A4B1A"/>
          <w:sz w:val="18"/>
        </w:rPr>
        <w:t xml:space="preserve">, but the </w:t>
      </w:r>
      <w:r>
        <w:rPr>
          <w:i/>
          <w:color w:val="5A4B1A"/>
          <w:sz w:val="18"/>
        </w:rPr>
        <w:t>tzibbur</w:t>
      </w:r>
      <w:r>
        <w:rPr>
          <w:color w:val="5A4B1A"/>
          <w:sz w:val="18"/>
        </w:rPr>
        <w:t xml:space="preserve"> may not; two </w:t>
      </w:r>
      <w:r>
        <w:rPr>
          <w:i/>
          <w:color w:val="5A4B1A"/>
          <w:sz w:val="18"/>
        </w:rPr>
        <w:t>gedolim</w:t>
      </w:r>
      <w:r>
        <w:rPr>
          <w:color w:val="5A4B1A"/>
          <w:sz w:val="18"/>
        </w:rPr>
        <w:t xml:space="preserve"> who instituted it communally, when rain was needed and no </w:t>
      </w:r>
      <w:r>
        <w:rPr>
          <w:i/>
          <w:color w:val="5A4B1A"/>
          <w:sz w:val="18"/>
        </w:rPr>
        <w:t>taanis</w:t>
      </w:r>
      <w:r>
        <w:rPr>
          <w:color w:val="5A4B1A"/>
          <w:sz w:val="18"/>
        </w:rPr>
        <w:t xml:space="preserve"> was declared, both died within the year, read as a sign of the gravity of structural deviation in </w:t>
      </w:r>
      <w:r>
        <w:rPr>
          <w:i/>
          <w:color w:val="5A4B1A"/>
          <w:sz w:val="18"/>
        </w:rPr>
        <w:t>tefillah</w:t>
      </w:r>
      <w:r>
        <w:rPr>
          <w:color w:val="5A4B1A"/>
          <w:sz w:val="18"/>
        </w:rPr>
        <w:t xml:space="preserve">. </w:t>
      </w:r>
      <w:r>
        <w:rPr>
          <w:i/>
          <w:color w:val="5A4B1A"/>
          <w:sz w:val="18"/>
        </w:rPr>
        <w:t>Caveat:</w:t>
      </w:r>
      <w:r>
        <w:rPr>
          <w:color w:val="5A4B1A"/>
          <w:sz w:val="18"/>
        </w:rPr>
        <w:t xml:space="preserve"> the </w:t>
      </w:r>
      <w:r>
        <w:rPr>
          <w:i/>
          <w:color w:val="5A4B1A"/>
          <w:sz w:val="18"/>
        </w:rPr>
        <w:t>Bach</w:t>
      </w:r>
      <w:r>
        <w:rPr>
          <w:color w:val="5A4B1A"/>
          <w:sz w:val="18"/>
        </w:rPr>
        <w:t xml:space="preserve"> text could not be retrieved from Sefaria; the exact </w:t>
      </w:r>
      <w:r>
        <w:rPr>
          <w:i/>
          <w:color w:val="5A4B1A"/>
          <w:sz w:val="18"/>
        </w:rPr>
        <w:t>siman</w:t>
      </w:r>
      <w:r>
        <w:rPr>
          <w:color w:val="5A4B1A"/>
          <w:sz w:val="18"/>
        </w:rPr>
        <w:t xml:space="preserve"> is not pinned; the </w:t>
      </w:r>
      <w:r>
        <w:rPr>
          <w:i/>
          <w:color w:val="5A4B1A"/>
          <w:sz w:val="18"/>
        </w:rPr>
        <w:t>gedolim</w:t>
      </w:r>
      <w:r>
        <w:rPr>
          <w:color w:val="5A4B1A"/>
          <w:sz w:val="18"/>
        </w:rPr>
        <w:t xml:space="preserve"> are not named, and the account carries the shape of a </w:t>
      </w:r>
      <w:r>
        <w:rPr>
          <w:i/>
          <w:color w:val="5A4B1A"/>
          <w:sz w:val="18"/>
        </w:rPr>
        <w:t>mussar</w:t>
      </w:r>
      <w:r>
        <w:rPr>
          <w:color w:val="5A4B1A"/>
          <w:sz w:val="18"/>
        </w:rPr>
        <w:t xml:space="preserve"> tradition, so it is reported as a tradition the </w:t>
      </w:r>
      <w:r>
        <w:rPr>
          <w:i/>
          <w:color w:val="5A4B1A"/>
          <w:sz w:val="18"/>
        </w:rPr>
        <w:t>Bach</w:t>
      </w:r>
      <w:r>
        <w:rPr>
          <w:color w:val="5A4B1A"/>
          <w:sz w:val="18"/>
        </w:rPr>
        <w:t xml:space="preserve"> records. (</w:t>
      </w:r>
      <w:r>
        <w:rPr>
          <w:i/>
          <w:color w:val="5A4B1A"/>
          <w:sz w:val="18"/>
        </w:rPr>
        <w:t>Mishnah Berurah</w:t>
      </w:r>
      <w:r>
        <w:rPr>
          <w:color w:val="5A4B1A"/>
          <w:sz w:val="18"/>
        </w:rPr>
        <w:t xml:space="preserve"> 119:10 does cite a </w:t>
      </w:r>
      <w:r>
        <w:rPr>
          <w:i/>
          <w:color w:val="5A4B1A"/>
          <w:sz w:val="18"/>
        </w:rPr>
        <w:t>Bach</w:t>
      </w:r>
      <w:r>
        <w:rPr>
          <w:color w:val="5A4B1A"/>
          <w:sz w:val="18"/>
        </w:rPr>
        <w:t xml:space="preserve"> on </w:t>
      </w:r>
      <w:r>
        <w:rPr>
          <w:i/>
          <w:color w:val="5A4B1A"/>
          <w:sz w:val="18"/>
        </w:rPr>
        <w:t>Rabbeinu Yonah</w:t>
      </w:r>
      <w:r>
        <w:rPr>
          <w:color w:val="5A4B1A"/>
          <w:sz w:val="18"/>
        </w:rPr>
        <w:t xml:space="preserve">’s framework for </w:t>
      </w:r>
      <w:r>
        <w:rPr>
          <w:i/>
          <w:color w:val="5A4B1A"/>
          <w:sz w:val="18"/>
        </w:rPr>
        <w:t>Shomea Tefillah</w:t>
      </w:r>
      <w:r>
        <w:rPr>
          <w:color w:val="5A4B1A"/>
          <w:sz w:val="18"/>
        </w:rPr>
        <w:t>, but not this account.)</w:t>
      </w:r>
    </w:p>
    <w:p>
      <w:r>
        <w:rPr>
          <w:b/>
          <w:color w:val="1E3A8A"/>
        </w:rPr>
        <w:t xml:space="preserve">23. </w:t>
      </w:r>
    </w:p>
    <w:p>
      <w:pPr>
        <w:ind w:left="432"/>
      </w:pPr>
      <w:r>
        <w:rPr>
          <w:b/>
          <w:color w:val="D4A017"/>
          <w:sz w:val="18"/>
        </w:rPr>
        <w:t xml:space="preserve">[Note] </w:t>
      </w:r>
      <w:r>
        <w:rPr>
          <w:b/>
          <w:color w:val="5A4B1A"/>
          <w:sz w:val="18"/>
        </w:rPr>
        <w:t xml:space="preserve">The </w:t>
      </w:r>
      <w:r>
        <w:rPr>
          <w:b/>
          <w:i/>
          <w:color w:val="5A4B1A"/>
          <w:sz w:val="18"/>
        </w:rPr>
        <w:t>Aruch HaShulchan</w:t>
      </w:r>
      <w:r>
        <w:rPr>
          <w:b/>
          <w:color w:val="5A4B1A"/>
          <w:sz w:val="18"/>
        </w:rPr>
        <w:t xml:space="preserve">, the </w:t>
      </w:r>
      <w:r>
        <w:rPr>
          <w:b/>
          <w:i/>
          <w:color w:val="5A4B1A"/>
          <w:sz w:val="18"/>
        </w:rPr>
        <w:t>Shaarei Tziyon</w:t>
      </w:r>
      <w:r>
        <w:rPr>
          <w:b/>
          <w:color w:val="5A4B1A"/>
          <w:sz w:val="18"/>
        </w:rPr>
        <w:t xml:space="preserve"> and the </w:t>
      </w:r>
      <w:r>
        <w:rPr>
          <w:b/>
          <w:i/>
          <w:color w:val="5A4B1A"/>
          <w:sz w:val="18"/>
        </w:rPr>
        <w:t>Mishnah Berurah</w:t>
      </w:r>
      <w:r>
        <w:rPr>
          <w:color w:val="5A4B1A"/>
          <w:sz w:val="18"/>
        </w:rPr>
        <w:t xml:space="preserve"> on saying these insertions at </w:t>
      </w:r>
      <w:r>
        <w:rPr>
          <w:i/>
          <w:color w:val="5A4B1A"/>
          <w:sz w:val="18"/>
        </w:rPr>
        <w:t>Minchah</w:t>
      </w:r>
      <w:r>
        <w:rPr>
          <w:color w:val="5A4B1A"/>
          <w:sz w:val="18"/>
        </w:rPr>
        <w:t xml:space="preserve"> and </w:t>
      </w:r>
      <w:r>
        <w:rPr>
          <w:i/>
          <w:color w:val="5A4B1A"/>
          <w:sz w:val="18"/>
        </w:rPr>
        <w:t>Maariv</w:t>
      </w:r>
      <w:r>
        <w:rPr>
          <w:color w:val="5A4B1A"/>
          <w:sz w:val="18"/>
        </w:rPr>
        <w:t xml:space="preserve"> — the more and less permissive positions as the Rav stated them. </w:t>
      </w:r>
      <w:r>
        <w:rPr>
          <w:i/>
          <w:color w:val="5A4B1A"/>
          <w:sz w:val="18"/>
        </w:rPr>
        <w:t>Caveat:</w:t>
      </w:r>
      <w:r>
        <w:rPr>
          <w:color w:val="5A4B1A"/>
          <w:sz w:val="18"/>
        </w:rPr>
        <w:t xml:space="preserve"> no </w:t>
      </w:r>
      <w:r>
        <w:rPr>
          <w:i/>
          <w:color w:val="5A4B1A"/>
          <w:sz w:val="18"/>
        </w:rPr>
        <w:t>siman</w:t>
      </w:r>
      <w:r>
        <w:rPr>
          <w:color w:val="5A4B1A"/>
          <w:sz w:val="18"/>
        </w:rPr>
        <w:t xml:space="preserve"> was cited and none is pinned here; not verified.</w:t>
      </w:r>
    </w:p>
    <w:p>
      <w:pPr>
        <w:pBdr>
          <w:bottom w:val="single" w:sz="6" w:space="1" w:color="B8860B"/>
        </w:pBdr>
      </w:pPr>
    </w:p>
    <w:p>
      <w:pPr>
        <w:jc w:val="center"/>
      </w:pPr>
      <w:r>
        <w:rPr>
          <w:i/>
          <w:color w:val="5A4B1A"/>
          <w:sz w:val="18"/>
        </w:rPr>
        <w:br/>
        <w:t xml:space="preserve">  Sefer Edition of Rabbi Ephrati’s Sunday-morning shiur on </w:t>
      </w:r>
      <w:r>
        <w:rPr>
          <w:i/>
          <w:color w:val="5A4B1A"/>
          <w:sz w:val="18"/>
        </w:rPr>
        <w:t>Tefillah</w:t>
      </w:r>
      <w:r>
        <w:rPr>
          <w:i/>
          <w:color w:val="5A4B1A"/>
          <w:sz w:val="18"/>
        </w:rPr>
        <w:t xml:space="preserve">, recorded </w:t>
      </w:r>
      <w:r>
        <w:rPr>
          <w:rFonts w:ascii="David" w:hAnsi="David"/>
          <w:i/>
          <w:color w:val="5A4B1A"/>
          <w:sz w:val="18"/>
        </w:rPr>
        <w:t>כ״ד תמוז תשפ״ה</w:t>
      </w:r>
      <w:r>
        <w:rPr>
          <w:i/>
          <w:color w:val="5A4B1A"/>
          <w:sz w:val="18"/>
        </w:rPr>
        <w:t xml:space="preserve"> · 20 July 2025. This edition rewrites the delivered shiur in the classical sefer voice; corrects the </w:t>
      </w:r>
      <w:r>
        <w:rPr>
          <w:i/>
          <w:color w:val="5A4B1A"/>
          <w:sz w:val="18"/>
        </w:rPr>
        <w:t>Megillah</w:t>
      </w:r>
      <w:r>
        <w:rPr>
          <w:i/>
          <w:color w:val="5A4B1A"/>
          <w:sz w:val="18"/>
        </w:rPr>
        <w:t xml:space="preserve"> citation to 17b–18a and the sequence of the verses; corrects the source of the 1,800 count to </w:t>
      </w:r>
      <w:r>
        <w:rPr>
          <w:i/>
          <w:color w:val="5A4B1A"/>
          <w:sz w:val="18"/>
        </w:rPr>
        <w:t>Tur</w:t>
      </w:r>
      <w:r>
        <w:rPr>
          <w:i/>
          <w:color w:val="5A4B1A"/>
          <w:sz w:val="18"/>
        </w:rPr>
        <w:t xml:space="preserve"> 118 (the </w:t>
      </w:r>
      <w:r>
        <w:rPr>
          <w:i/>
          <w:color w:val="5A4B1A"/>
          <w:sz w:val="18"/>
        </w:rPr>
        <w:t>Midrash Dorshei Reshumos</w:t>
      </w:r>
      <w:r>
        <w:rPr>
          <w:i/>
          <w:color w:val="5A4B1A"/>
          <w:sz w:val="18"/>
        </w:rPr>
        <w:t xml:space="preserve">, with the </w:t>
      </w:r>
      <w:r>
        <w:rPr>
          <w:i/>
          <w:color w:val="5A4B1A"/>
          <w:sz w:val="18"/>
        </w:rPr>
        <w:t>Zohar</w:t>
      </w:r>
      <w:r>
        <w:rPr>
          <w:i/>
          <w:color w:val="5A4B1A"/>
          <w:sz w:val="18"/>
        </w:rPr>
        <w:t xml:space="preserve"> as the Rav’s link); corrects </w:t>
      </w:r>
      <w:r>
        <w:rPr>
          <w:i/>
          <w:color w:val="5A4B1A"/>
          <w:sz w:val="18"/>
        </w:rPr>
        <w:t>Avodah Zarah</w:t>
      </w:r>
      <w:r>
        <w:rPr>
          <w:i/>
          <w:color w:val="5A4B1A"/>
          <w:sz w:val="18"/>
        </w:rPr>
        <w:t xml:space="preserve"> to 8a and removes the </w:t>
      </w:r>
      <w:r>
        <w:rPr>
          <w:i/>
          <w:color w:val="5A4B1A"/>
          <w:sz w:val="18"/>
        </w:rPr>
        <w:t>be’arai</w:t>
      </w:r>
      <w:r>
        <w:rPr>
          <w:i/>
          <w:color w:val="5A4B1A"/>
          <w:sz w:val="18"/>
        </w:rPr>
        <w:t xml:space="preserve"> / </w:t>
      </w:r>
      <w:r>
        <w:rPr>
          <w:i/>
          <w:color w:val="5A4B1A"/>
          <w:sz w:val="18"/>
        </w:rPr>
        <w:t>bekviyus</w:t>
      </w:r>
      <w:r>
        <w:rPr>
          <w:i/>
          <w:color w:val="5A4B1A"/>
          <w:sz w:val="18"/>
        </w:rPr>
        <w:t xml:space="preserve"> distinction from the </w:t>
      </w:r>
      <w:r>
        <w:rPr>
          <w:i/>
          <w:color w:val="5A4B1A"/>
          <w:sz w:val="18"/>
        </w:rPr>
        <w:t>Gemara</w:t>
      </w:r>
      <w:r>
        <w:rPr>
          <w:i/>
          <w:color w:val="5A4B1A"/>
          <w:sz w:val="18"/>
        </w:rPr>
        <w:t xml:space="preserve">; corrects </w:t>
      </w:r>
      <w:r>
        <w:rPr>
          <w:i/>
          <w:color w:val="5A4B1A"/>
          <w:sz w:val="18"/>
        </w:rPr>
        <w:t>Rashi</w:t>
      </w:r>
      <w:r>
        <w:rPr>
          <w:i/>
          <w:color w:val="5A4B1A"/>
          <w:sz w:val="18"/>
        </w:rPr>
        <w:t xml:space="preserve"> on </w:t>
      </w:r>
      <w:r>
        <w:rPr>
          <w:i/>
          <w:color w:val="5A4B1A"/>
          <w:sz w:val="18"/>
        </w:rPr>
        <w:t>Naftali</w:t>
      </w:r>
      <w:r>
        <w:rPr>
          <w:i/>
          <w:color w:val="5A4B1A"/>
          <w:sz w:val="18"/>
        </w:rPr>
        <w:t xml:space="preserve">; adds the </w:t>
      </w:r>
      <w:r>
        <w:rPr>
          <w:i/>
          <w:color w:val="5A4B1A"/>
          <w:sz w:val="18"/>
        </w:rPr>
        <w:t>Gemara</w:t>
      </w:r>
      <w:r>
        <w:rPr>
          <w:i/>
          <w:color w:val="5A4B1A"/>
          <w:sz w:val="18"/>
        </w:rPr>
        <w:t xml:space="preserve">’s own account of the praise of the congregation; moves the aside on the </w:t>
      </w:r>
      <w:r>
        <w:rPr>
          <w:i/>
          <w:color w:val="5A4B1A"/>
          <w:sz w:val="18"/>
        </w:rPr>
        <w:t>Aruch HaShulchan</w:t>
      </w:r>
      <w:r>
        <w:rPr>
          <w:i/>
          <w:color w:val="5A4B1A"/>
          <w:sz w:val="18"/>
        </w:rPr>
        <w:t xml:space="preserve">’s stature beside the polemic; restores the texture of the opening on Rabbi Yaakov Yosef, the </w:t>
      </w:r>
      <w:r>
        <w:rPr>
          <w:i/>
          <w:color w:val="5A4B1A"/>
          <w:sz w:val="18"/>
        </w:rPr>
        <w:t>Toiv Hashem lakol</w:t>
      </w:r>
      <w:r>
        <w:rPr>
          <w:i/>
          <w:color w:val="5A4B1A"/>
          <w:sz w:val="18"/>
        </w:rPr>
        <w:t xml:space="preserve"> framing, the batei din letter from </w:t>
      </w:r>
      <w:r>
        <w:rPr>
          <w:i/>
          <w:color w:val="5A4B1A"/>
          <w:sz w:val="18"/>
        </w:rPr>
        <w:t>Eretz Yisrael</w:t>
      </w:r>
      <w:r>
        <w:rPr>
          <w:i/>
          <w:color w:val="5A4B1A"/>
          <w:sz w:val="18"/>
        </w:rPr>
        <w:t xml:space="preserve"> and the father’s </w:t>
      </w:r>
      <w:r>
        <w:rPr>
          <w:i/>
          <w:color w:val="5A4B1A"/>
          <w:sz w:val="18"/>
        </w:rPr>
        <w:t>siddur</w:t>
      </w:r>
      <w:r>
        <w:rPr>
          <w:i/>
          <w:color w:val="5A4B1A"/>
          <w:sz w:val="18"/>
        </w:rPr>
        <w:t xml:space="preserve">; replaces the writeup’s “bear licking honey” image, which the Rav did not say in this shiur, with plain prose; and adds, as an editorial bracket, the closing sentence returning to the </w:t>
      </w:r>
      <w:r>
        <w:rPr>
          <w:i/>
          <w:color w:val="5A4B1A"/>
          <w:sz w:val="18"/>
        </w:rPr>
        <w:t>yahrzeit</w:t>
      </w:r>
      <w:r>
        <w:rPr>
          <w:i/>
          <w:color w:val="5A4B1A"/>
          <w:sz w:val="18"/>
        </w:rPr>
        <w:t xml:space="preserve">. The </w:t>
      </w:r>
      <w:r>
        <w:rPr>
          <w:i/>
          <w:color w:val="5A4B1A"/>
          <w:sz w:val="18"/>
        </w:rPr>
        <w:t>Retzei</w:t>
      </w:r>
      <w:r>
        <w:rPr>
          <w:i/>
          <w:color w:val="5A4B1A"/>
          <w:sz w:val="18"/>
        </w:rPr>
        <w:t xml:space="preserve"> appendix on </w:t>
      </w:r>
      <w:r>
        <w:rPr>
          <w:i/>
          <w:color w:val="5A4B1A"/>
          <w:sz w:val="18"/>
        </w:rPr>
        <w:t>Michoel sar hagadol</w:t>
      </w:r>
      <w:r>
        <w:rPr>
          <w:i/>
          <w:color w:val="5A4B1A"/>
          <w:sz w:val="18"/>
        </w:rPr>
        <w:t xml:space="preserve"> and the Wikisource aside are omitted as belonging elsewhere. The </w:t>
      </w:r>
      <w:r>
        <w:rPr>
          <w:i/>
          <w:color w:val="5A4B1A"/>
          <w:sz w:val="18"/>
        </w:rPr>
        <w:t>Mareh Mekomos</w:t>
      </w:r>
      <w:r>
        <w:rPr>
          <w:i/>
          <w:color w:val="5A4B1A"/>
          <w:sz w:val="18"/>
        </w:rPr>
        <w:t xml:space="preserve"> is renumbered in body order.</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