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תְּפִלַּת נַחֵם וּבִרְכַּת מוֹדִים</w:t>
      </w:r>
    </w:p>
    <w:p>
      <w:pPr>
        <w:pBdr>
          <w:bottom w:val="single" w:sz="6" w:space="1" w:color="B8860B"/>
        </w:pBdr>
      </w:pPr>
    </w:p>
    <w:p>
      <w:r>
        <w:rPr>
          <w:rFonts w:ascii="David" w:hAnsi="David"/>
          <w:i/>
        </w:rPr>
        <w:t>לעילוי נשמת רבינו ר' נחמן מנדל בן ר' נחמן מנדל הלוי זצ"ל</w:t>
      </w:r>
    </w:p>
    <w:p>
      <w:r>
        <w:rPr>
          <w:i/>
          <w:color w:val="3B3B3B"/>
        </w:rPr>
        <w:t xml:space="preserve">A treatise in two parts. The first concerns </w:t>
      </w:r>
      <w:r>
        <w:rPr>
          <w:i/>
          <w:color w:val="3B3B3B"/>
        </w:rPr>
        <w:t>Tefillas Nachem</w:t>
      </w:r>
      <w:r>
        <w:rPr>
          <w:i/>
          <w:color w:val="3B3B3B"/>
        </w:rPr>
        <w:t xml:space="preserve"> (</w:t>
      </w:r>
      <w:r>
        <w:rPr>
          <w:rFonts w:ascii="David" w:hAnsi="David"/>
          <w:i/>
          <w:color w:val="3B3B3B"/>
        </w:rPr>
        <w:t>תפילת נחם</w:t>
      </w:r>
      <w:r>
        <w:rPr>
          <w:i/>
          <w:color w:val="3B3B3B"/>
        </w:rPr>
        <w:t xml:space="preserve">), the one </w:t>
      </w:r>
      <w:r>
        <w:rPr>
          <w:i/>
          <w:color w:val="3B3B3B"/>
        </w:rPr>
        <w:t>berachah</w:t>
      </w:r>
      <w:r>
        <w:rPr>
          <w:i/>
          <w:color w:val="3B3B3B"/>
        </w:rPr>
        <w:t xml:space="preserve"> whose </w:t>
      </w:r>
      <w:r>
        <w:rPr>
          <w:i/>
          <w:color w:val="3B3B3B"/>
        </w:rPr>
        <w:t>chasimah</w:t>
      </w:r>
      <w:r>
        <w:rPr>
          <w:i/>
          <w:color w:val="3B3B3B"/>
        </w:rPr>
        <w:t xml:space="preserve"> (</w:t>
      </w:r>
      <w:r>
        <w:rPr>
          <w:rFonts w:ascii="David" w:hAnsi="David"/>
          <w:i/>
          <w:color w:val="3B3B3B"/>
        </w:rPr>
        <w:t>חתימה</w:t>
      </w:r>
      <w:r>
        <w:rPr>
          <w:i/>
          <w:color w:val="3B3B3B"/>
        </w:rPr>
        <w:t xml:space="preserve">) is said once a year: its single source in the </w:t>
      </w:r>
      <w:r>
        <w:rPr>
          <w:i/>
          <w:color w:val="3B3B3B"/>
        </w:rPr>
        <w:t>Yerushalmi</w:t>
      </w:r>
      <w:r>
        <w:rPr>
          <w:i/>
          <w:color w:val="3B3B3B"/>
        </w:rPr>
        <w:t xml:space="preserve"> (</w:t>
      </w:r>
      <w:r>
        <w:rPr>
          <w:rFonts w:ascii="David" w:hAnsi="David"/>
          <w:i/>
          <w:color w:val="3B3B3B"/>
        </w:rPr>
        <w:t>ירושלמי</w:t>
      </w:r>
      <w:r>
        <w:rPr>
          <w:i/>
          <w:color w:val="3B3B3B"/>
        </w:rPr>
        <w:t xml:space="preserve">), the structural rule of </w:t>
      </w:r>
      <w:r>
        <w:rPr>
          <w:i/>
          <w:color w:val="3B3B3B"/>
        </w:rPr>
        <w:t>Rav Muna</w:t>
      </w:r>
      <w:r>
        <w:rPr>
          <w:i/>
          <w:color w:val="3B3B3B"/>
        </w:rPr>
        <w:t xml:space="preserve"> (</w:t>
      </w:r>
      <w:r>
        <w:rPr>
          <w:rFonts w:ascii="David" w:hAnsi="David"/>
          <w:i/>
          <w:color w:val="3B3B3B"/>
        </w:rPr>
        <w:t>רב מונא</w:t>
      </w:r>
      <w:r>
        <w:rPr>
          <w:i/>
          <w:color w:val="3B3B3B"/>
        </w:rPr>
        <w:t xml:space="preserve">) and the placement of the </w:t>
      </w:r>
      <w:r>
        <w:rPr>
          <w:i/>
          <w:color w:val="3B3B3B"/>
        </w:rPr>
        <w:t>Rif</w:t>
      </w:r>
      <w:r>
        <w:rPr>
          <w:i/>
          <w:color w:val="3B3B3B"/>
        </w:rPr>
        <w:t xml:space="preserve"> (</w:t>
      </w:r>
      <w:r>
        <w:rPr>
          <w:rFonts w:ascii="David" w:hAnsi="David"/>
          <w:i/>
          <w:color w:val="3B3B3B"/>
        </w:rPr>
        <w:t>רי"ף</w:t>
      </w:r>
      <w:r>
        <w:rPr>
          <w:i/>
          <w:color w:val="3B3B3B"/>
        </w:rPr>
        <w:t xml:space="preserve">), the laws of one who forgot it, the prohibition against altering its </w:t>
      </w:r>
      <w:r>
        <w:rPr>
          <w:i/>
          <w:color w:val="3B3B3B"/>
        </w:rPr>
        <w:t>nusach</w:t>
      </w:r>
      <w:r>
        <w:rPr>
          <w:i/>
          <w:color w:val="3B3B3B"/>
        </w:rPr>
        <w:t xml:space="preserve"> (</w:t>
      </w:r>
      <w:r>
        <w:rPr>
          <w:rFonts w:ascii="David" w:hAnsi="David"/>
          <w:i/>
          <w:color w:val="3B3B3B"/>
        </w:rPr>
        <w:t>נוסח</w:t>
      </w:r>
      <w:r>
        <w:rPr>
          <w:i/>
          <w:color w:val="3B3B3B"/>
        </w:rPr>
        <w:t xml:space="preserve">), the question of why it is said only at </w:t>
      </w:r>
      <w:r>
        <w:rPr>
          <w:i/>
          <w:color w:val="3B3B3B"/>
        </w:rPr>
        <w:t>Minchah</w:t>
      </w:r>
      <w:r>
        <w:rPr>
          <w:i/>
          <w:color w:val="3B3B3B"/>
        </w:rPr>
        <w:t xml:space="preserve"> (</w:t>
      </w:r>
      <w:r>
        <w:rPr>
          <w:rFonts w:ascii="David" w:hAnsi="David"/>
          <w:i/>
          <w:color w:val="3B3B3B"/>
        </w:rPr>
        <w:t>מנחה</w:t>
      </w:r>
      <w:r>
        <w:rPr>
          <w:i/>
          <w:color w:val="3B3B3B"/>
        </w:rPr>
        <w:t xml:space="preserve">), and the dates of the </w:t>
      </w:r>
      <w:r>
        <w:rPr>
          <w:i/>
          <w:color w:val="3B3B3B"/>
        </w:rPr>
        <w:t>churban</w:t>
      </w:r>
      <w:r>
        <w:rPr>
          <w:i/>
          <w:color w:val="3B3B3B"/>
        </w:rPr>
        <w:t xml:space="preserve"> (</w:t>
      </w:r>
      <w:r>
        <w:rPr>
          <w:rFonts w:ascii="David" w:hAnsi="David"/>
          <w:i/>
          <w:color w:val="3B3B3B"/>
        </w:rPr>
        <w:t>חורבן</w:t>
      </w:r>
      <w:r>
        <w:rPr>
          <w:i/>
          <w:color w:val="3B3B3B"/>
        </w:rPr>
        <w:t xml:space="preserve">) from the seventh through the tenth of </w:t>
      </w:r>
      <w:r>
        <w:rPr>
          <w:i/>
          <w:color w:val="3B3B3B"/>
        </w:rPr>
        <w:t>Av</w:t>
      </w:r>
      <w:r>
        <w:rPr>
          <w:i/>
          <w:color w:val="3B3B3B"/>
        </w:rPr>
        <w:t xml:space="preserve"> (</w:t>
      </w:r>
      <w:r>
        <w:rPr>
          <w:rFonts w:ascii="David" w:hAnsi="David"/>
          <w:i/>
          <w:color w:val="3B3B3B"/>
        </w:rPr>
        <w:t>אב</w:t>
      </w:r>
      <w:r>
        <w:rPr>
          <w:i/>
          <w:color w:val="3B3B3B"/>
        </w:rPr>
        <w:t xml:space="preserve">) with the position of </w:t>
      </w:r>
      <w:r>
        <w:rPr>
          <w:i/>
          <w:color w:val="3B3B3B"/>
        </w:rPr>
        <w:t>Rebbi Yochanan</w:t>
      </w:r>
      <w:r>
        <w:rPr>
          <w:i/>
          <w:color w:val="3B3B3B"/>
        </w:rPr>
        <w:t xml:space="preserve"> (</w:t>
      </w:r>
      <w:r>
        <w:rPr>
          <w:rFonts w:ascii="David" w:hAnsi="David"/>
          <w:i/>
          <w:color w:val="3B3B3B"/>
        </w:rPr>
        <w:t>רבי יוחנן</w:t>
      </w:r>
      <w:r>
        <w:rPr>
          <w:i/>
          <w:color w:val="3B3B3B"/>
        </w:rPr>
        <w:t xml:space="preserve">). The second concerns </w:t>
      </w:r>
      <w:r>
        <w:rPr>
          <w:i/>
          <w:color w:val="3B3B3B"/>
        </w:rPr>
        <w:t>Birkas Modim</w:t>
      </w:r>
      <w:r>
        <w:rPr>
          <w:i/>
          <w:color w:val="3B3B3B"/>
        </w:rPr>
        <w:t xml:space="preserve"> (</w:t>
      </w:r>
      <w:r>
        <w:rPr>
          <w:rFonts w:ascii="David" w:hAnsi="David"/>
          <w:i/>
          <w:color w:val="3B3B3B"/>
        </w:rPr>
        <w:t>ברכת מודים</w:t>
      </w:r>
      <w:r>
        <w:rPr>
          <w:i/>
          <w:color w:val="3B3B3B"/>
        </w:rPr>
        <w:t xml:space="preserve">): the bow, the </w:t>
      </w:r>
      <w:r>
        <w:rPr>
          <w:i/>
          <w:color w:val="3B3B3B"/>
        </w:rPr>
        <w:t>Gemara</w:t>
      </w:r>
      <w:r>
        <w:rPr>
          <w:i/>
          <w:color w:val="3B3B3B"/>
        </w:rPr>
        <w:t xml:space="preserve"> of the spine and the snake, the double sense of </w:t>
      </w:r>
      <w:r>
        <w:rPr>
          <w:i/>
          <w:color w:val="3B3B3B"/>
        </w:rPr>
        <w:t>modim</w:t>
      </w:r>
      <w:r>
        <w:rPr>
          <w:i/>
          <w:color w:val="3B3B3B"/>
        </w:rPr>
        <w:t xml:space="preserve">, and the </w:t>
      </w:r>
      <w:r>
        <w:rPr>
          <w:i/>
          <w:color w:val="3B3B3B"/>
        </w:rPr>
        <w:t>berachah</w:t>
      </w:r>
      <w:r>
        <w:rPr>
          <w:i/>
          <w:color w:val="3B3B3B"/>
        </w:rPr>
        <w:t xml:space="preserve"> for children that lies concealed in </w:t>
      </w:r>
      <w:r>
        <w:rPr>
          <w:i/>
          <w:color w:val="3B3B3B"/>
        </w:rPr>
        <w:t>“l’dor va-dor”</w:t>
      </w:r>
      <w:r>
        <w:rPr>
          <w:i/>
          <w:color w:val="3B3B3B"/>
        </w:rPr>
        <w:t xml:space="preserve"> (</w:t>
      </w:r>
      <w:r>
        <w:rPr>
          <w:rFonts w:ascii="David" w:hAnsi="David"/>
          <w:i/>
          <w:color w:val="3B3B3B"/>
        </w:rPr>
        <w:t>לדור ודור</w:t>
      </w:r>
      <w:r>
        <w:rPr>
          <w:i/>
          <w:color w:val="3B3B3B"/>
        </w:rPr>
        <w:t>).</w:t>
      </w:r>
    </w:p>
    <w:p>
      <w:r>
        <w:rPr>
          <w:b/>
          <w:color w:val="1E3A8A"/>
          <w:sz w:val="26"/>
        </w:rPr>
        <w:t>I. THEBERACHOSSAID ONLY ONCE A YEAR</w:t>
      </w:r>
    </w:p>
    <w:p>
      <w:pPr>
        <w:pBdr>
          <w:bottom w:val="single" w:sz="6" w:space="1" w:color="B8860B"/>
        </w:pBdr>
      </w:pPr>
    </w:p>
    <w:p>
      <w:r>
        <w:t xml:space="preserve">It is told that a riddle was passed down in the family of the Rav, posed by his grandfather to the children: </w:t>
      </w:r>
      <w:r>
        <w:rPr>
          <w:i/>
        </w:rPr>
        <w:t>which berachos (</w:t>
      </w:r>
      <w:r>
        <w:rPr>
          <w:rFonts w:ascii="David" w:hAnsi="David"/>
          <w:i/>
        </w:rPr>
        <w:t>ברכות</w:t>
      </w:r>
      <w:r>
        <w:rPr>
          <w:i/>
        </w:rPr>
        <w:t>) do we say only once in the year?</w:t>
      </w:r>
      <w:r>
        <w:t xml:space="preserve"> The answer begins with </w:t>
      </w:r>
      <w:r>
        <w:rPr>
          <w:i/>
        </w:rPr>
        <w:t>Shehecheyanu</w:t>
      </w:r>
      <w:r>
        <w:t xml:space="preserve"> (</w:t>
      </w:r>
      <w:r>
        <w:rPr>
          <w:rFonts w:ascii="David" w:hAnsi="David"/>
        </w:rPr>
        <w:t>שהחיינו</w:t>
      </w:r>
      <w:r>
        <w:t xml:space="preserve">) on the night of </w:t>
      </w:r>
      <w:r>
        <w:rPr>
          <w:i/>
        </w:rPr>
        <w:t>Yom Kippur</w:t>
      </w:r>
      <w:r>
        <w:t xml:space="preserve"> (</w:t>
      </w:r>
      <w:r>
        <w:rPr>
          <w:rFonts w:ascii="David" w:hAnsi="David"/>
        </w:rPr>
        <w:t>ליל יום הכפורים</w:t>
      </w:r>
      <w:r>
        <w:t xml:space="preserve">); with </w:t>
      </w:r>
      <w:r>
        <w:rPr>
          <w:i/>
        </w:rPr>
        <w:t>“al achilas matzah”</w:t>
      </w:r>
      <w:r>
        <w:t xml:space="preserve"> (</w:t>
      </w:r>
      <w:r>
        <w:rPr>
          <w:rFonts w:ascii="David" w:hAnsi="David"/>
        </w:rPr>
        <w:t>על אכילת מצה</w:t>
      </w:r>
      <w:r>
        <w:t xml:space="preserve">) — once a year in </w:t>
      </w:r>
      <w:r>
        <w:rPr>
          <w:i/>
        </w:rPr>
        <w:t>Eretz Yisrael</w:t>
      </w:r>
      <w:r>
        <w:t xml:space="preserve"> (</w:t>
      </w:r>
      <w:r>
        <w:rPr>
          <w:rFonts w:ascii="David" w:hAnsi="David"/>
        </w:rPr>
        <w:t>ארץ ישראל</w:t>
      </w:r>
      <w:r>
        <w:t xml:space="preserve">), where there is a single </w:t>
      </w:r>
      <w:r>
        <w:rPr>
          <w:i/>
        </w:rPr>
        <w:t>seder</w:t>
      </w:r>
      <w:r>
        <w:t xml:space="preserve">, though twice in </w:t>
      </w:r>
      <w:r>
        <w:rPr>
          <w:i/>
        </w:rPr>
        <w:t>Chutz La’aretz</w:t>
      </w:r>
      <w:r>
        <w:t xml:space="preserve"> (</w:t>
      </w:r>
      <w:r>
        <w:rPr>
          <w:rFonts w:ascii="David" w:hAnsi="David"/>
        </w:rPr>
        <w:t>חוץ לארץ</w:t>
      </w:r>
      <w:r>
        <w:t xml:space="preserve">), where there are two; with </w:t>
      </w:r>
      <w:r>
        <w:rPr>
          <w:i/>
        </w:rPr>
        <w:t>“al bi’ur chametz”</w:t>
      </w:r>
      <w:r>
        <w:t xml:space="preserve"> (</w:t>
      </w:r>
      <w:r>
        <w:rPr>
          <w:rFonts w:ascii="David" w:hAnsi="David"/>
        </w:rPr>
        <w:t>על ביעור חמץ</w:t>
      </w:r>
      <w:r>
        <w:t xml:space="preserve">); with </w:t>
      </w:r>
      <w:r>
        <w:rPr>
          <w:i/>
        </w:rPr>
        <w:t>“al mikra Megillah”</w:t>
      </w:r>
      <w:r>
        <w:t xml:space="preserve"> (</w:t>
      </w:r>
      <w:r>
        <w:rPr>
          <w:rFonts w:ascii="David" w:hAnsi="David"/>
        </w:rPr>
        <w:t>על מקרא מגילה</w:t>
      </w:r>
      <w:r>
        <w:t xml:space="preserve">), according to certain opinions; and, according to </w:t>
      </w:r>
      <w:r>
        <w:rPr>
          <w:i/>
        </w:rPr>
        <w:t>Rav Saadia Gaon</w:t>
      </w:r>
      <w:r>
        <w:t xml:space="preserve"> (</w:t>
      </w:r>
      <w:r>
        <w:rPr>
          <w:rFonts w:ascii="David" w:hAnsi="David"/>
        </w:rPr>
        <w:t>רב סעדיה גאון</w:t>
      </w:r>
      <w:r>
        <w:t xml:space="preserve">), with the </w:t>
      </w:r>
      <w:r>
        <w:rPr>
          <w:i/>
        </w:rPr>
        <w:t>berachah</w:t>
      </w:r>
      <w:r>
        <w:t xml:space="preserve"> on the immersion of </w:t>
      </w:r>
      <w:r>
        <w:rPr>
          <w:i/>
        </w:rPr>
        <w:t>Yom Kippur</w:t>
      </w:r>
      <w:r>
        <w:t xml:space="preserve"> (</w:t>
      </w:r>
      <w:r>
        <w:rPr>
          <w:rFonts w:ascii="David" w:hAnsi="David"/>
        </w:rPr>
        <w:t>טבילת יום הכפורים</w:t>
      </w:r>
      <w:r>
        <w:t xml:space="preserve">). One more remains, and it is the subject of the first part of this chapter: the </w:t>
      </w:r>
      <w:r>
        <w:rPr>
          <w:i/>
        </w:rPr>
        <w:t>chasimah</w:t>
      </w:r>
      <w:r>
        <w:t xml:space="preserve"> of </w:t>
      </w:r>
      <w:r>
        <w:rPr>
          <w:i/>
        </w:rPr>
        <w:t>Tefillas Nachem</w:t>
      </w:r>
      <w:r>
        <w:t xml:space="preserve"> at </w:t>
      </w:r>
      <w:r>
        <w:rPr>
          <w:i/>
        </w:rPr>
        <w:t>Minchah</w:t>
      </w:r>
      <w:r>
        <w:t xml:space="preserve"> of </w:t>
      </w:r>
      <w:r>
        <w:rPr>
          <w:i/>
        </w:rPr>
        <w:t>Tisha B’Av</w:t>
      </w:r>
      <w:r>
        <w:t xml:space="preserve"> (</w:t>
      </w:r>
      <w:r>
        <w:rPr>
          <w:rFonts w:ascii="David" w:hAnsi="David"/>
        </w:rPr>
        <w:t>תשעה באב</w:t>
      </w:r>
      <w:r>
        <w:t xml:space="preserve">) — </w:t>
      </w:r>
      <w:r>
        <w:rPr>
          <w:i/>
        </w:rPr>
        <w:t>“Baruch Atah Hashem, menachem Tziyon uvoneh Yerushalayim”</w:t>
      </w:r>
      <w:r>
        <w:t xml:space="preserve"> (</w:t>
      </w:r>
      <w:r>
        <w:rPr>
          <w:rFonts w:ascii="David" w:hAnsi="David"/>
        </w:rPr>
        <w:t>ברוך אתה ה' מנחם ציון ובונה ירושלים</w:t>
      </w:r>
      <w:r>
        <w:t>).</w:t>
      </w:r>
    </w:p>
    <w:p>
      <w:r>
        <w:rPr>
          <w:i/>
          <w:color w:val="B8860B"/>
          <w:sz w:val="24"/>
        </w:rPr>
        <w:t>The Bear and the Honey</w:t>
      </w:r>
    </w:p>
    <w:p>
      <w:r>
        <w:t xml:space="preserve">The best-known </w:t>
      </w:r>
      <w:r>
        <w:rPr>
          <w:i/>
        </w:rPr>
        <w:t>ma’aseh</w:t>
      </w:r>
      <w:r>
        <w:t xml:space="preserve"> (</w:t>
      </w:r>
      <w:r>
        <w:rPr>
          <w:rFonts w:ascii="David" w:hAnsi="David"/>
        </w:rPr>
        <w:t>מעשה</w:t>
      </w:r>
      <w:r>
        <w:t xml:space="preserve">) bearing on the matter is told of </w:t>
      </w:r>
      <w:r>
        <w:rPr>
          <w:i/>
        </w:rPr>
        <w:t>Rabbi Yonasan Eibeschutz</w:t>
      </w:r>
      <w:r>
        <w:t xml:space="preserve"> (</w:t>
      </w:r>
      <w:r>
        <w:rPr>
          <w:rFonts w:ascii="David" w:hAnsi="David"/>
        </w:rPr>
        <w:t>רבי יונתן אייבשיץ</w:t>
      </w:r>
      <w:r>
        <w:t>).</w:t>
      </w:r>
      <w:r>
        <w:rPr>
          <w:color w:val="B8860B"/>
          <w:sz w:val="16"/>
          <w:vertAlign w:val="superscript"/>
        </w:rPr>
        <w:t>[1]</w:t>
      </w:r>
      <w:r>
        <w:t xml:space="preserve"> A nobleman wagered that no one could teach a bear to pray. </w:t>
      </w:r>
      <w:r>
        <w:rPr>
          <w:i/>
        </w:rPr>
        <w:t>Rabbi Yonasan</w:t>
      </w:r>
      <w:r>
        <w:t xml:space="preserve"> smeared honey on every page of a </w:t>
      </w:r>
      <w:r>
        <w:rPr>
          <w:i/>
        </w:rPr>
        <w:t>siddur</w:t>
      </w:r>
      <w:r>
        <w:t xml:space="preserve"> (</w:t>
      </w:r>
      <w:r>
        <w:rPr>
          <w:rFonts w:ascii="David" w:hAnsi="David"/>
        </w:rPr>
        <w:t>סידור</w:t>
      </w:r>
      <w:r>
        <w:t xml:space="preserve">); the bear learned to open the book and to turn its pages, one after another, in pursuit of the honey. So, too, many a Jew turns the pages of the </w:t>
      </w:r>
      <w:r>
        <w:rPr>
          <w:i/>
        </w:rPr>
        <w:t>siddur</w:t>
      </w:r>
      <w:r>
        <w:t xml:space="preserve"> and moves his lips, with no </w:t>
      </w:r>
      <w:r>
        <w:rPr>
          <w:i/>
        </w:rPr>
        <w:t>kavanah</w:t>
      </w:r>
      <w:r>
        <w:t xml:space="preserve"> (</w:t>
      </w:r>
      <w:r>
        <w:rPr>
          <w:rFonts w:ascii="David" w:hAnsi="David"/>
        </w:rPr>
        <w:t>כוונה</w:t>
      </w:r>
      <w:r>
        <w:t>) at all.</w:t>
      </w:r>
    </w:p>
    <w:p>
      <w:r>
        <w:t xml:space="preserve">The </w:t>
      </w:r>
      <w:r>
        <w:rPr>
          <w:i/>
        </w:rPr>
        <w:t>nimshal</w:t>
      </w:r>
      <w:r>
        <w:t xml:space="preserve"> (</w:t>
      </w:r>
      <w:r>
        <w:rPr>
          <w:rFonts w:ascii="David" w:hAnsi="David"/>
        </w:rPr>
        <w:t>נמשל</w:t>
      </w:r>
      <w:r>
        <w:t xml:space="preserve">) is plain. A person who recites </w:t>
      </w:r>
      <w:r>
        <w:rPr>
          <w:i/>
        </w:rPr>
        <w:t>Shemoneh Esrei</w:t>
      </w:r>
      <w:r>
        <w:t xml:space="preserve"> (</w:t>
      </w:r>
      <w:r>
        <w:rPr>
          <w:rFonts w:ascii="David" w:hAnsi="David"/>
        </w:rPr>
        <w:t>שמונה עשרה</w:t>
      </w:r>
      <w:r>
        <w:t xml:space="preserve">) daily can fall into the posture of the bear: words turning over without engagement. On </w:t>
      </w:r>
      <w:r>
        <w:rPr>
          <w:i/>
        </w:rPr>
        <w:t>Minchah</w:t>
      </w:r>
      <w:r>
        <w:t xml:space="preserve"> of </w:t>
      </w:r>
      <w:r>
        <w:rPr>
          <w:i/>
        </w:rPr>
        <w:t>Tisha B’Av</w:t>
      </w:r>
      <w:r>
        <w:t xml:space="preserve"> the </w:t>
      </w:r>
      <w:r>
        <w:rPr>
          <w:i/>
        </w:rPr>
        <w:t>siddur</w:t>
      </w:r>
      <w:r>
        <w:t xml:space="preserve"> opens to a </w:t>
      </w:r>
      <w:r>
        <w:rPr>
          <w:i/>
        </w:rPr>
        <w:t>berachah</w:t>
      </w:r>
      <w:r>
        <w:t xml:space="preserve"> that has not been said all year — </w:t>
      </w:r>
      <w:r>
        <w:rPr>
          <w:i/>
        </w:rPr>
        <w:t>Nachem</w:t>
      </w:r>
      <w:r>
        <w:t xml:space="preserve"> (</w:t>
      </w:r>
      <w:r>
        <w:rPr>
          <w:rFonts w:ascii="David" w:hAnsi="David"/>
        </w:rPr>
        <w:t>נחם</w:t>
      </w:r>
      <w:r>
        <w:t>) — and at once the worshipper wakes. He begins to think about what he is saying, and the attention of that single moment suffuses the whole year.</w:t>
      </w:r>
    </w:p>
    <w:p>
      <w:r>
        <w:rPr>
          <w:b/>
          <w:color w:val="1E3A8A"/>
          <w:sz w:val="26"/>
        </w:rPr>
        <w:t>II. THE SOURCE OFTEFILLAS NACHEM</w:t>
      </w:r>
    </w:p>
    <w:p>
      <w:pPr>
        <w:pBdr>
          <w:bottom w:val="single" w:sz="6" w:space="1" w:color="B8860B"/>
        </w:pBdr>
      </w:pPr>
    </w:p>
    <w:p>
      <w:r>
        <w:rPr>
          <w:i/>
          <w:color w:val="B8860B"/>
          <w:sz w:val="24"/>
        </w:rPr>
        <w:t>TheYerushalmiAlone</w:t>
      </w:r>
    </w:p>
    <w:p>
      <w:r>
        <w:rPr>
          <w:i/>
        </w:rPr>
        <w:t>Tefillas Nachem</w:t>
      </w:r>
      <w:r>
        <w:t xml:space="preserve"> is not found in the </w:t>
      </w:r>
      <w:r>
        <w:rPr>
          <w:i/>
        </w:rPr>
        <w:t>Bavli</w:t>
      </w:r>
      <w:r>
        <w:t xml:space="preserve"> (</w:t>
      </w:r>
      <w:r>
        <w:rPr>
          <w:rFonts w:ascii="David" w:hAnsi="David"/>
        </w:rPr>
        <w:t>בבלי</w:t>
      </w:r>
      <w:r>
        <w:t xml:space="preserve">). Its source is the </w:t>
      </w:r>
      <w:r>
        <w:rPr>
          <w:i/>
        </w:rPr>
        <w:t>Yerushalmi</w:t>
      </w:r>
      <w:r>
        <w:t>,</w:t>
      </w:r>
      <w:r>
        <w:rPr>
          <w:color w:val="B8860B"/>
          <w:sz w:val="16"/>
          <w:vertAlign w:val="superscript"/>
        </w:rPr>
        <w:t>[2]</w:t>
      </w:r>
      <w:r>
        <w:t xml:space="preserve"> where the individual (</w:t>
      </w:r>
      <w:r>
        <w:rPr>
          <w:rFonts w:ascii="David" w:hAnsi="David"/>
        </w:rPr>
        <w:t>יחיד</w:t>
      </w:r>
      <w:r>
        <w:t xml:space="preserve">) is told that on </w:t>
      </w:r>
      <w:r>
        <w:rPr>
          <w:i/>
        </w:rPr>
        <w:t>Tisha B’Av</w:t>
      </w:r>
      <w:r>
        <w:t xml:space="preserve"> he must mention the </w:t>
      </w:r>
      <w:r>
        <w:rPr>
          <w:i/>
        </w:rPr>
        <w:t>me’ein ha-me’ora</w:t>
      </w:r>
      <w:r>
        <w:t xml:space="preserve"> (</w:t>
      </w:r>
      <w:r>
        <w:rPr>
          <w:rFonts w:ascii="David" w:hAnsi="David"/>
        </w:rPr>
        <w:t>מעין המאורע</w:t>
      </w:r>
      <w:r>
        <w:t xml:space="preserve">) — an addition tied to the character of the day. </w:t>
      </w:r>
      <w:r>
        <w:rPr>
          <w:i/>
        </w:rPr>
        <w:t>Rav Saadia Gaon</w:t>
      </w:r>
      <w:r>
        <w:t xml:space="preserve"> is reported to have written</w:t>
      </w:r>
      <w:r>
        <w:rPr>
          <w:color w:val="B8860B"/>
          <w:sz w:val="16"/>
          <w:vertAlign w:val="superscript"/>
        </w:rPr>
        <w:t>[3]</w:t>
      </w:r>
      <w:r>
        <w:t xml:space="preserve"> that although the </w:t>
      </w:r>
      <w:r>
        <w:rPr>
          <w:i/>
        </w:rPr>
        <w:t>Bavli</w:t>
      </w:r>
      <w:r>
        <w:t xml:space="preserve"> community did not recite it, since the </w:t>
      </w:r>
      <w:r>
        <w:rPr>
          <w:i/>
        </w:rPr>
        <w:t>Yerushalmi</w:t>
      </w:r>
      <w:r>
        <w:t xml:space="preserve"> records it and the </w:t>
      </w:r>
      <w:r>
        <w:rPr>
          <w:i/>
        </w:rPr>
        <w:t>bnei Eretz Yisrael</w:t>
      </w:r>
      <w:r>
        <w:t xml:space="preserve"> (</w:t>
      </w:r>
      <w:r>
        <w:rPr>
          <w:rFonts w:ascii="David" w:hAnsi="David"/>
        </w:rPr>
        <w:t>בני ארץ ישראל</w:t>
      </w:r>
      <w:r>
        <w:t xml:space="preserve">) say it, there is </w:t>
      </w:r>
      <w:r>
        <w:rPr>
          <w:i/>
        </w:rPr>
        <w:t>“ein hefsed b’amiraso”</w:t>
      </w:r>
      <w:r>
        <w:t xml:space="preserve"> (</w:t>
      </w:r>
      <w:r>
        <w:rPr>
          <w:rFonts w:ascii="David" w:hAnsi="David"/>
        </w:rPr>
        <w:t>אין הפסד באמירתו</w:t>
      </w:r>
      <w:r>
        <w:t xml:space="preserve">) — no loss in saying it. The framing is not that of obligation but of availability. The </w:t>
      </w:r>
      <w:r>
        <w:rPr>
          <w:i/>
        </w:rPr>
        <w:t>Shulchan Aruch</w:t>
      </w:r>
      <w:r>
        <w:t xml:space="preserve"> (</w:t>
      </w:r>
      <w:r>
        <w:rPr>
          <w:rFonts w:ascii="David" w:hAnsi="David"/>
        </w:rPr>
        <w:t>שולחן ערוך</w:t>
      </w:r>
      <w:r>
        <w:t>), in any event, rules that it is said.</w:t>
      </w:r>
    </w:p>
    <w:p>
      <w:r>
        <w:rPr>
          <w:i/>
          <w:color w:val="B8860B"/>
          <w:sz w:val="24"/>
        </w:rPr>
        <w:t>The Principle ofMe’ein HaMe’ora</w:t>
      </w:r>
    </w:p>
    <w:p>
      <w:r>
        <w:t xml:space="preserve">The </w:t>
      </w:r>
      <w:r>
        <w:rPr>
          <w:i/>
        </w:rPr>
        <w:t>Yerushalmi</w:t>
      </w:r>
      <w:r>
        <w:t xml:space="preserve"> thus establishes a structural principle: on a day with a distinctive character, </w:t>
      </w:r>
      <w:r>
        <w:rPr>
          <w:i/>
        </w:rPr>
        <w:t>Shemoneh Esrei</w:t>
      </w:r>
      <w:r>
        <w:t xml:space="preserve"> is supplemented with content bearing on the event of the day. On </w:t>
      </w:r>
      <w:r>
        <w:rPr>
          <w:i/>
        </w:rPr>
        <w:t>Chanukah</w:t>
      </w:r>
      <w:r>
        <w:t xml:space="preserve"> (</w:t>
      </w:r>
      <w:r>
        <w:rPr>
          <w:rFonts w:ascii="David" w:hAnsi="David"/>
        </w:rPr>
        <w:t>חנוכה</w:t>
      </w:r>
      <w:r>
        <w:t xml:space="preserve">) and </w:t>
      </w:r>
      <w:r>
        <w:rPr>
          <w:i/>
        </w:rPr>
        <w:t>Purim</w:t>
      </w:r>
      <w:r>
        <w:t xml:space="preserve"> (</w:t>
      </w:r>
      <w:r>
        <w:rPr>
          <w:rFonts w:ascii="David" w:hAnsi="David"/>
        </w:rPr>
        <w:t>פורים</w:t>
      </w:r>
      <w:r>
        <w:t xml:space="preserve">) this is </w:t>
      </w:r>
      <w:r>
        <w:rPr>
          <w:i/>
        </w:rPr>
        <w:t>Al HaNissim</w:t>
      </w:r>
      <w:r>
        <w:t xml:space="preserve"> (</w:t>
      </w:r>
      <w:r>
        <w:rPr>
          <w:rFonts w:ascii="David" w:hAnsi="David"/>
        </w:rPr>
        <w:t>על הניסים</w:t>
      </w:r>
      <w:r>
        <w:t xml:space="preserve">); on </w:t>
      </w:r>
      <w:r>
        <w:rPr>
          <w:i/>
        </w:rPr>
        <w:t>Tisha B’Av</w:t>
      </w:r>
      <w:r>
        <w:t xml:space="preserve">, </w:t>
      </w:r>
      <w:r>
        <w:rPr>
          <w:i/>
        </w:rPr>
        <w:t>Nachem</w:t>
      </w:r>
      <w:r>
        <w:t>.</w:t>
      </w:r>
    </w:p>
    <w:p>
      <w:r>
        <w:rPr>
          <w:i/>
          <w:color w:val="B8860B"/>
          <w:sz w:val="24"/>
        </w:rPr>
        <w:t>The Rule ofRav Muna</w:t>
      </w:r>
    </w:p>
    <w:p>
      <w:r>
        <w:t xml:space="preserve">The passage records that </w:t>
      </w:r>
      <w:r>
        <w:rPr>
          <w:i/>
        </w:rPr>
        <w:t>Rabbi Avdima of Tzippori</w:t>
      </w:r>
      <w:r>
        <w:t xml:space="preserve"> (</w:t>
      </w:r>
      <w:r>
        <w:rPr>
          <w:rFonts w:ascii="David" w:hAnsi="David"/>
        </w:rPr>
        <w:t>רבי אבדימא דציפורין</w:t>
      </w:r>
      <w:r>
        <w:t xml:space="preserve">) put a question before </w:t>
      </w:r>
      <w:r>
        <w:rPr>
          <w:i/>
        </w:rPr>
        <w:t>Rav Muna</w:t>
      </w:r>
      <w:r>
        <w:t xml:space="preserve"> (</w:t>
      </w:r>
      <w:r>
        <w:rPr>
          <w:i/>
        </w:rPr>
        <w:t>Rabbi Mana</w:t>
      </w:r>
      <w:r>
        <w:t xml:space="preserve">, </w:t>
      </w:r>
      <w:r>
        <w:rPr>
          <w:rFonts w:ascii="David" w:hAnsi="David"/>
        </w:rPr>
        <w:t>רבי מנא</w:t>
      </w:r>
      <w:r>
        <w:t xml:space="preserve">): in which </w:t>
      </w:r>
      <w:r>
        <w:rPr>
          <w:i/>
        </w:rPr>
        <w:t>berachah</w:t>
      </w:r>
      <w:r>
        <w:t xml:space="preserve"> of </w:t>
      </w:r>
      <w:r>
        <w:rPr>
          <w:i/>
        </w:rPr>
        <w:t>Shemoneh Esrei</w:t>
      </w:r>
      <w:r>
        <w:t xml:space="preserve"> is the insertion to be said? One might have expected the reply, </w:t>
      </w:r>
      <w:r>
        <w:rPr>
          <w:i/>
        </w:rPr>
        <w:t>“v’liYerushalayim irecha”</w:t>
      </w:r>
      <w:r>
        <w:t xml:space="preserve"> (</w:t>
      </w:r>
      <w:r>
        <w:rPr>
          <w:rFonts w:ascii="David" w:hAnsi="David"/>
        </w:rPr>
        <w:t>ולירושלים עירך</w:t>
      </w:r>
      <w:r>
        <w:t>). The reply was instead a structural rule:</w:t>
      </w:r>
    </w:p>
    <w:p>
      <w:pPr>
        <w:ind w:left="432"/>
      </w:pPr>
      <w:r>
        <w:rPr>
          <w:i/>
        </w:rPr>
        <w:br/>
      </w:r>
      <w:r>
        <w:rPr>
          <w:rFonts w:ascii="David" w:hAnsi="David"/>
          <w:i/>
        </w:rPr>
        <w:t>כָּל דָּבָר שֶׁהוּא לָבֹא אוֹמְרָהּ בָּעֲבוֹדָה. וְכָל דָּבָר שֶׁהוּא לְשֶׁעָבַר אוֹמְרָהּ בְּהוֹדָאָה.</w:t>
      </w:r>
      <w:r>
        <w:rPr>
          <w:i/>
        </w:rPr>
        <w:br/>
      </w:r>
      <w:r>
        <w:rPr>
          <w:i/>
        </w:rPr>
        <w:t xml:space="preserve">Anything that concerns the future is said in </w:t>
      </w:r>
      <w:r>
        <w:rPr>
          <w:i/>
        </w:rPr>
        <w:t>Avodah</w:t>
      </w:r>
      <w:r>
        <w:rPr>
          <w:i/>
        </w:rPr>
        <w:t xml:space="preserve"> (</w:t>
      </w:r>
      <w:r>
        <w:rPr>
          <w:i/>
        </w:rPr>
        <w:t>Retzei</w:t>
      </w:r>
      <w:r>
        <w:rPr>
          <w:i/>
        </w:rPr>
        <w:t xml:space="preserve">); anything that concerns the past is said in </w:t>
      </w:r>
      <w:r>
        <w:rPr>
          <w:i/>
        </w:rPr>
        <w:t>Hoda’ah</w:t>
      </w:r>
      <w:r>
        <w:rPr>
          <w:i/>
        </w:rPr>
        <w:t xml:space="preserve"> (</w:t>
      </w:r>
      <w:r>
        <w:rPr>
          <w:i/>
        </w:rPr>
        <w:t>Modim</w:t>
      </w:r>
      <w:r>
        <w:rPr>
          <w:i/>
        </w:rPr>
        <w:t>).</w:t>
      </w:r>
      <w:r>
        <w:rPr>
          <w:i/>
        </w:rPr>
        <w:br/>
      </w:r>
      <w:r>
        <w:rPr>
          <w:i/>
        </w:rPr>
        <w:t>Yerushalmi Berachos</w:t>
      </w:r>
      <w:r>
        <w:rPr>
          <w:i/>
        </w:rPr>
        <w:t xml:space="preserve"> 4:3 · parallel in </w:t>
      </w:r>
      <w:r>
        <w:rPr>
          <w:i/>
        </w:rPr>
        <w:t>Taanis</w:t>
      </w:r>
      <w:r>
        <w:rPr>
          <w:i/>
        </w:rPr>
        <w:t xml:space="preserve"> 2:2</w:t>
      </w:r>
      <w:r>
        <w:rPr>
          <w:i/>
        </w:rPr>
        <w:br/>
      </w:r>
    </w:p>
    <w:p>
      <w:r>
        <w:t xml:space="preserve">The rule accounts for what we know. </w:t>
      </w:r>
      <w:r>
        <w:rPr>
          <w:i/>
        </w:rPr>
        <w:t>Al HaNissim</w:t>
      </w:r>
      <w:r>
        <w:t xml:space="preserve"> speaks of miracles already wrought, and is therefore placed in </w:t>
      </w:r>
      <w:r>
        <w:rPr>
          <w:i/>
        </w:rPr>
        <w:t>Modim</w:t>
      </w:r>
      <w:r>
        <w:t xml:space="preserve">. </w:t>
      </w:r>
      <w:r>
        <w:rPr>
          <w:i/>
        </w:rPr>
        <w:t>Ya’aleh v’Yavo</w:t>
      </w:r>
      <w:r>
        <w:t xml:space="preserve"> (</w:t>
      </w:r>
      <w:r>
        <w:rPr>
          <w:rFonts w:ascii="David" w:hAnsi="David"/>
        </w:rPr>
        <w:t>יעלה ויבוא</w:t>
      </w:r>
      <w:r>
        <w:t xml:space="preserve">) speaks of future remembrance and of </w:t>
      </w:r>
      <w:r>
        <w:rPr>
          <w:i/>
        </w:rPr>
        <w:t>Mashiach</w:t>
      </w:r>
      <w:r>
        <w:t xml:space="preserve"> (</w:t>
      </w:r>
      <w:r>
        <w:rPr>
          <w:rFonts w:ascii="David" w:hAnsi="David"/>
        </w:rPr>
        <w:t>משיח</w:t>
      </w:r>
      <w:r>
        <w:t xml:space="preserve">), and is placed in </w:t>
      </w:r>
      <w:r>
        <w:rPr>
          <w:i/>
        </w:rPr>
        <w:t>Retzei</w:t>
      </w:r>
      <w:r>
        <w:t xml:space="preserve"> (</w:t>
      </w:r>
      <w:r>
        <w:rPr>
          <w:rFonts w:ascii="David" w:hAnsi="David"/>
        </w:rPr>
        <w:t>רצה</w:t>
      </w:r>
      <w:r>
        <w:t>).</w:t>
      </w:r>
    </w:p>
    <w:p>
      <w:r>
        <w:rPr>
          <w:i/>
          <w:color w:val="B8860B"/>
          <w:sz w:val="24"/>
        </w:rPr>
        <w:t>Where DoesNachemBelong?</w:t>
      </w:r>
    </w:p>
    <w:p>
      <w:r>
        <w:rPr>
          <w:i/>
        </w:rPr>
        <w:t>Nachem</w:t>
      </w:r>
      <w:r>
        <w:t xml:space="preserve"> looks principally to the future: it asks that </w:t>
      </w:r>
      <w:r>
        <w:rPr>
          <w:i/>
        </w:rPr>
        <w:t>HaKadosh Baruch Hu</w:t>
      </w:r>
      <w:r>
        <w:t xml:space="preserve"> (</w:t>
      </w:r>
      <w:r>
        <w:rPr>
          <w:rFonts w:ascii="David" w:hAnsi="David"/>
        </w:rPr>
        <w:t>הקדוש ברוך הוא</w:t>
      </w:r>
      <w:r>
        <w:t xml:space="preserve">) console us, rebuild the </w:t>
      </w:r>
      <w:r>
        <w:rPr>
          <w:i/>
        </w:rPr>
        <w:t>Beis HaMikdash</w:t>
      </w:r>
      <w:r>
        <w:t xml:space="preserve"> (</w:t>
      </w:r>
      <w:r>
        <w:rPr>
          <w:rFonts w:ascii="David" w:hAnsi="David"/>
        </w:rPr>
        <w:t>בית המקדש</w:t>
      </w:r>
      <w:r>
        <w:t xml:space="preserve">), and restore </w:t>
      </w:r>
      <w:r>
        <w:rPr>
          <w:i/>
        </w:rPr>
        <w:t>Yerushalayim</w:t>
      </w:r>
      <w:r>
        <w:t xml:space="preserve">. By the rule of </w:t>
      </w:r>
      <w:r>
        <w:rPr>
          <w:i/>
        </w:rPr>
        <w:t>Rav Muna</w:t>
      </w:r>
      <w:r>
        <w:t xml:space="preserve"> it would belong in </w:t>
      </w:r>
      <w:r>
        <w:rPr>
          <w:i/>
        </w:rPr>
        <w:t>Retzei</w:t>
      </w:r>
      <w:r>
        <w:t xml:space="preserve">. Yet it also dwells upon the past </w:t>
      </w:r>
      <w:r>
        <w:rPr>
          <w:i/>
        </w:rPr>
        <w:t>churban</w:t>
      </w:r>
      <w:r>
        <w:t xml:space="preserve">, and the authorities were therefore divided as to whether it is a matter of the past or of the future — whether it belongs in </w:t>
      </w:r>
      <w:r>
        <w:rPr>
          <w:i/>
        </w:rPr>
        <w:t>Retzei</w:t>
      </w:r>
      <w:r>
        <w:t xml:space="preserve"> or in </w:t>
      </w:r>
      <w:r>
        <w:rPr>
          <w:i/>
        </w:rPr>
        <w:t>Modim</w:t>
      </w:r>
      <w:r>
        <w:t>.</w:t>
      </w:r>
      <w:r>
        <w:rPr>
          <w:color w:val="B8860B"/>
          <w:sz w:val="16"/>
          <w:vertAlign w:val="superscript"/>
        </w:rPr>
        <w:t>[4]</w:t>
      </w:r>
    </w:p>
    <w:p>
      <w:r>
        <w:rPr>
          <w:i/>
          <w:color w:val="B8860B"/>
          <w:sz w:val="24"/>
        </w:rPr>
        <w:t>OurPsak—V’liYerushalayim Irecha</w:t>
      </w:r>
    </w:p>
    <w:p>
      <w:r>
        <w:t xml:space="preserve">We follow neither limb of the </w:t>
      </w:r>
      <w:r>
        <w:rPr>
          <w:i/>
        </w:rPr>
        <w:t>Yerushalmi</w:t>
      </w:r>
      <w:r>
        <w:t xml:space="preserve">’s rule. The </w:t>
      </w:r>
      <w:r>
        <w:rPr>
          <w:i/>
        </w:rPr>
        <w:t>Rif</w:t>
      </w:r>
      <w:r>
        <w:t xml:space="preserve"> (</w:t>
      </w:r>
      <w:r>
        <w:rPr>
          <w:rFonts w:ascii="David" w:hAnsi="David"/>
        </w:rPr>
        <w:t>רי"ף</w:t>
      </w:r>
      <w:r>
        <w:t>)</w:t>
      </w:r>
      <w:r>
        <w:rPr>
          <w:color w:val="B8860B"/>
          <w:sz w:val="16"/>
          <w:vertAlign w:val="superscript"/>
        </w:rPr>
        <w:t>[5]</w:t>
      </w:r>
      <w:r>
        <w:t xml:space="preserve"> rules that </w:t>
      </w:r>
      <w:r>
        <w:rPr>
          <w:i/>
        </w:rPr>
        <w:t>Nachem</w:t>
      </w:r>
      <w:r>
        <w:t xml:space="preserve"> is recited in the </w:t>
      </w:r>
      <w:r>
        <w:rPr>
          <w:i/>
        </w:rPr>
        <w:t>berachah</w:t>
      </w:r>
      <w:r>
        <w:t xml:space="preserve"> of </w:t>
      </w:r>
      <w:r>
        <w:rPr>
          <w:i/>
        </w:rPr>
        <w:t>v’liYerushalayim irecha</w:t>
      </w:r>
      <w:r>
        <w:t xml:space="preserve">, on a different ground altogether: the </w:t>
      </w:r>
      <w:r>
        <w:rPr>
          <w:i/>
        </w:rPr>
        <w:t>halachah</w:t>
      </w:r>
      <w:r>
        <w:t xml:space="preserve"> in </w:t>
      </w:r>
      <w:r>
        <w:rPr>
          <w:i/>
        </w:rPr>
        <w:t>Avodah Zarah</w:t>
      </w:r>
      <w:r>
        <w:t xml:space="preserve"> (</w:t>
      </w:r>
      <w:r>
        <w:rPr>
          <w:rFonts w:ascii="David" w:hAnsi="David"/>
        </w:rPr>
        <w:t>עבודה זרה</w:t>
      </w:r>
      <w:r>
        <w:t>)</w:t>
      </w:r>
      <w:r>
        <w:rPr>
          <w:color w:val="B8860B"/>
          <w:sz w:val="16"/>
          <w:vertAlign w:val="superscript"/>
        </w:rPr>
        <w:t>[6]</w:t>
      </w:r>
      <w:r>
        <w:t xml:space="preserve"> that one may add, in any </w:t>
      </w:r>
      <w:r>
        <w:rPr>
          <w:i/>
        </w:rPr>
        <w:t>berachah</w:t>
      </w:r>
      <w:r>
        <w:t xml:space="preserve">, a request that is </w:t>
      </w:r>
      <w:r>
        <w:rPr>
          <w:i/>
        </w:rPr>
        <w:t>me’ein inyan ha-berachah</w:t>
      </w:r>
      <w:r>
        <w:t xml:space="preserve"> (</w:t>
      </w:r>
      <w:r>
        <w:rPr>
          <w:rFonts w:ascii="David" w:hAnsi="David"/>
        </w:rPr>
        <w:t>מעין ענין הברכה</w:t>
      </w:r>
      <w:r>
        <w:t xml:space="preserve">) — of the nature of that </w:t>
      </w:r>
      <w:r>
        <w:rPr>
          <w:i/>
        </w:rPr>
        <w:t>berachah</w:t>
      </w:r>
      <w:r>
        <w:t xml:space="preserve">. </w:t>
      </w:r>
      <w:r>
        <w:rPr>
          <w:i/>
        </w:rPr>
        <w:t>Nachem</w:t>
      </w:r>
      <w:r>
        <w:t xml:space="preserve"> speaks of </w:t>
      </w:r>
      <w:r>
        <w:rPr>
          <w:i/>
        </w:rPr>
        <w:t>Yerushalayim</w:t>
      </w:r>
      <w:r>
        <w:t xml:space="preserve">, and so it belongs in </w:t>
      </w:r>
      <w:r>
        <w:rPr>
          <w:i/>
        </w:rPr>
        <w:t>Birkas Yerushalayim</w:t>
      </w:r>
      <w:r>
        <w:t>.</w:t>
      </w:r>
    </w:p>
    <w:p>
      <w:r>
        <w:rPr>
          <w:b/>
          <w:color w:val="1E3A8A"/>
          <w:sz w:val="26"/>
        </w:rPr>
        <w:t>III. ONE WHO FORGOTNACHEM</w:t>
      </w:r>
    </w:p>
    <w:p>
      <w:pPr>
        <w:pBdr>
          <w:bottom w:val="single" w:sz="6" w:space="1" w:color="B8860B"/>
        </w:pBdr>
      </w:pPr>
    </w:p>
    <w:p>
      <w:r>
        <w:t xml:space="preserve">An entire </w:t>
      </w:r>
      <w:r>
        <w:rPr>
          <w:i/>
        </w:rPr>
        <w:t>siman</w:t>
      </w:r>
      <w:r>
        <w:t xml:space="preserve"> of the </w:t>
      </w:r>
      <w:r>
        <w:rPr>
          <w:i/>
        </w:rPr>
        <w:t>Shulchan Aruch</w:t>
      </w:r>
      <w:r>
        <w:t xml:space="preserve"> is devoted to this </w:t>
      </w:r>
      <w:r>
        <w:rPr>
          <w:i/>
        </w:rPr>
        <w:t>berachah</w:t>
      </w:r>
      <w:r>
        <w:t xml:space="preserve"> — </w:t>
      </w:r>
      <w:r>
        <w:rPr>
          <w:i/>
        </w:rPr>
        <w:t>Orach Chayim</w:t>
      </w:r>
      <w:r>
        <w:t xml:space="preserve"> 557 (</w:t>
      </w:r>
      <w:r>
        <w:rPr>
          <w:rFonts w:ascii="David" w:hAnsi="David"/>
        </w:rPr>
        <w:t>סימן תקנ"ז</w:t>
      </w:r>
      <w:r>
        <w:t xml:space="preserve">), </w:t>
      </w:r>
      <w:r>
        <w:rPr>
          <w:i/>
        </w:rPr>
        <w:t>Hilchos Tisha B’Av</w:t>
      </w:r>
      <w:r>
        <w:t>.</w:t>
      </w:r>
      <w:r>
        <w:rPr>
          <w:color w:val="B8860B"/>
          <w:sz w:val="16"/>
          <w:vertAlign w:val="superscript"/>
        </w:rPr>
        <w:t>[7]</w:t>
      </w:r>
    </w:p>
    <w:p>
      <w:r>
        <w:rPr>
          <w:i/>
          <w:color w:val="B8860B"/>
          <w:sz w:val="24"/>
        </w:rPr>
        <w:t>Forgotten inBirkas Yerushalayim</w:t>
      </w:r>
    </w:p>
    <w:p>
      <w:r>
        <w:t xml:space="preserve">By the structural rule of the </w:t>
      </w:r>
      <w:r>
        <w:rPr>
          <w:i/>
        </w:rPr>
        <w:t>Yerushalmi</w:t>
      </w:r>
      <w:r>
        <w:t xml:space="preserve"> (future → </w:t>
      </w:r>
      <w:r>
        <w:rPr>
          <w:i/>
        </w:rPr>
        <w:t>Retzei</w:t>
      </w:r>
      <w:r>
        <w:t xml:space="preserve">) one might have returned and said it in </w:t>
      </w:r>
      <w:r>
        <w:rPr>
          <w:i/>
        </w:rPr>
        <w:t>Retzei</w:t>
      </w:r>
      <w:r>
        <w:t xml:space="preserve">. But the </w:t>
      </w:r>
      <w:r>
        <w:rPr>
          <w:i/>
        </w:rPr>
        <w:t>Taz</w:t>
      </w:r>
      <w:r>
        <w:t xml:space="preserve"> (</w:t>
      </w:r>
      <w:r>
        <w:rPr>
          <w:rFonts w:ascii="David" w:hAnsi="David"/>
        </w:rPr>
        <w:t>ט"ז</w:t>
      </w:r>
      <w:r>
        <w:t xml:space="preserve">) rules otherwise: it is said in </w:t>
      </w:r>
      <w:r>
        <w:rPr>
          <w:i/>
        </w:rPr>
        <w:t>Shema Koleinu</w:t>
      </w:r>
      <w:r>
        <w:t xml:space="preserve"> (</w:t>
      </w:r>
      <w:r>
        <w:rPr>
          <w:rFonts w:ascii="David" w:hAnsi="David"/>
        </w:rPr>
        <w:t>שמע קולנו</w:t>
      </w:r>
      <w:r>
        <w:t xml:space="preserve">), a comprehensive </w:t>
      </w:r>
      <w:r>
        <w:rPr>
          <w:i/>
        </w:rPr>
        <w:t>berachah</w:t>
      </w:r>
      <w:r>
        <w:t xml:space="preserve"> into which any request may be admitted.</w:t>
      </w:r>
      <w:r>
        <w:rPr>
          <w:color w:val="B8860B"/>
          <w:sz w:val="16"/>
          <w:vertAlign w:val="superscript"/>
        </w:rPr>
        <w:t>[8]</w:t>
      </w:r>
    </w:p>
    <w:p>
      <w:r>
        <w:t xml:space="preserve">A critical detail: when </w:t>
      </w:r>
      <w:r>
        <w:rPr>
          <w:i/>
        </w:rPr>
        <w:t>Nachem</w:t>
      </w:r>
      <w:r>
        <w:t xml:space="preserve"> is said in </w:t>
      </w:r>
      <w:r>
        <w:rPr>
          <w:i/>
        </w:rPr>
        <w:t>Shema Koleinu</w:t>
      </w:r>
      <w:r>
        <w:t xml:space="preserve">, the special </w:t>
      </w:r>
      <w:r>
        <w:rPr>
          <w:i/>
        </w:rPr>
        <w:t>chasimah</w:t>
      </w:r>
      <w:r>
        <w:t xml:space="preserve"> — </w:t>
      </w:r>
      <w:r>
        <w:rPr>
          <w:i/>
        </w:rPr>
        <w:t>“menachem Tziyon uvoneh Yerushalayim”</w:t>
      </w:r>
      <w:r>
        <w:t xml:space="preserve"> — is </w:t>
      </w:r>
      <w:r>
        <w:rPr>
          <w:i/>
        </w:rPr>
        <w:t>not</w:t>
      </w:r>
      <w:r>
        <w:t xml:space="preserve"> recited. One concludes as always, </w:t>
      </w:r>
      <w:r>
        <w:rPr>
          <w:i/>
        </w:rPr>
        <w:t>“Baruch Atah Hashem, shomea tefillah”</w:t>
      </w:r>
      <w:r>
        <w:t xml:space="preserve"> (</w:t>
      </w:r>
      <w:r>
        <w:rPr>
          <w:rFonts w:ascii="David" w:hAnsi="David"/>
        </w:rPr>
        <w:t>ברוך אתה ה' שומע תפילה</w:t>
      </w:r>
      <w:r>
        <w:t xml:space="preserve">). The once-a-year </w:t>
      </w:r>
      <w:r>
        <w:rPr>
          <w:i/>
        </w:rPr>
        <w:t>chasimah</w:t>
      </w:r>
      <w:r>
        <w:t xml:space="preserve"> is forfeited.</w:t>
      </w:r>
    </w:p>
    <w:p>
      <w:r>
        <w:rPr>
          <w:i/>
          <w:color w:val="B8860B"/>
          <w:sz w:val="24"/>
        </w:rPr>
        <w:t>Forgotten Entirely</w:t>
      </w:r>
    </w:p>
    <w:p>
      <w:r>
        <w:t xml:space="preserve">One who completed </w:t>
      </w:r>
      <w:r>
        <w:rPr>
          <w:i/>
        </w:rPr>
        <w:t>Shemoneh Esrei</w:t>
      </w:r>
      <w:r>
        <w:t xml:space="preserve"> and realized that he had omitted </w:t>
      </w:r>
      <w:r>
        <w:rPr>
          <w:i/>
        </w:rPr>
        <w:t>Nachem</w:t>
      </w:r>
      <w:r>
        <w:t xml:space="preserve"> altogether does not repeat. The </w:t>
      </w:r>
      <w:r>
        <w:rPr>
          <w:i/>
        </w:rPr>
        <w:t>klal</w:t>
      </w:r>
      <w:r>
        <w:t xml:space="preserve"> (</w:t>
      </w:r>
      <w:r>
        <w:rPr>
          <w:rFonts w:ascii="David" w:hAnsi="David"/>
        </w:rPr>
        <w:t>כלל</w:t>
      </w:r>
      <w:r>
        <w:t xml:space="preserve">): an addition for the </w:t>
      </w:r>
      <w:r>
        <w:rPr>
          <w:i/>
        </w:rPr>
        <w:t>me’ora</w:t>
      </w:r>
      <w:r>
        <w:t xml:space="preserve"> of the day, on a day that has no </w:t>
      </w:r>
      <w:r>
        <w:rPr>
          <w:i/>
        </w:rPr>
        <w:t>korban Mussaf</w:t>
      </w:r>
      <w:r>
        <w:t xml:space="preserve"> (</w:t>
      </w:r>
      <w:r>
        <w:rPr>
          <w:rFonts w:ascii="David" w:hAnsi="David"/>
        </w:rPr>
        <w:t>קרבן מוסף</w:t>
      </w:r>
      <w:r>
        <w:t>), does not require repetition if forgotten.</w:t>
      </w:r>
      <w:r>
        <w:rPr>
          <w:color w:val="B8860B"/>
          <w:sz w:val="16"/>
          <w:vertAlign w:val="superscript"/>
        </w:rPr>
        <w:t>[9]</w:t>
      </w:r>
    </w:p>
    <w:p>
      <w:r>
        <w:t xml:space="preserve">A further question was raised in connection with the forgotten </w:t>
      </w:r>
      <w:r>
        <w:rPr>
          <w:i/>
        </w:rPr>
        <w:t>Nachem</w:t>
      </w:r>
      <w:r>
        <w:t xml:space="preserve">, concerning the position of </w:t>
      </w:r>
      <w:r>
        <w:rPr>
          <w:i/>
        </w:rPr>
        <w:t>Rabbeinu Yitzchak ibn Giyas</w:t>
      </w:r>
      <w:r>
        <w:t>; it is recorded in the notes.</w:t>
      </w:r>
      <w:r>
        <w:rPr>
          <w:color w:val="B8860B"/>
          <w:sz w:val="16"/>
          <w:vertAlign w:val="superscript"/>
        </w:rPr>
        <w:t>[10]</w:t>
      </w:r>
    </w:p>
    <w:p>
      <w:r>
        <w:rPr>
          <w:b/>
          <w:color w:val="1E3A8A"/>
          <w:sz w:val="26"/>
        </w:rPr>
        <w:t>IV. THE INVIOLABILITY OF THENUSACH</w:t>
      </w:r>
    </w:p>
    <w:p>
      <w:pPr>
        <w:pBdr>
          <w:bottom w:val="single" w:sz="6" w:space="1" w:color="B8860B"/>
        </w:pBdr>
      </w:pPr>
    </w:p>
    <w:p>
      <w:r>
        <w:t xml:space="preserve">The </w:t>
      </w:r>
      <w:r>
        <w:rPr>
          <w:i/>
        </w:rPr>
        <w:t>berachah</w:t>
      </w:r>
      <w:r>
        <w:t xml:space="preserve"> describes </w:t>
      </w:r>
      <w:r>
        <w:rPr>
          <w:i/>
        </w:rPr>
        <w:t>Yerushalayim</w:t>
      </w:r>
      <w:r>
        <w:t xml:space="preserve"> as ruined and degraded. A certain rabbi in </w:t>
      </w:r>
      <w:r>
        <w:rPr>
          <w:i/>
        </w:rPr>
        <w:t>Eretz Yisrael</w:t>
      </w:r>
      <w:r>
        <w:t xml:space="preserve"> proposed to alter the </w:t>
      </w:r>
      <w:r>
        <w:rPr>
          <w:i/>
        </w:rPr>
        <w:t>nusach</w:t>
      </w:r>
      <w:r>
        <w:t xml:space="preserve">: “What is meant by </w:t>
      </w:r>
      <w:r>
        <w:rPr>
          <w:i/>
        </w:rPr>
        <w:t>‘Yerushalayim charavah’</w:t>
      </w:r>
      <w:r>
        <w:t xml:space="preserve"> (</w:t>
      </w:r>
      <w:r>
        <w:rPr>
          <w:rFonts w:ascii="David" w:hAnsi="David"/>
        </w:rPr>
        <w:t>ירושלים חרבה</w:t>
      </w:r>
      <w:r>
        <w:t xml:space="preserve">)? Today Yerushalayim is built and magnificent. There is no </w:t>
      </w:r>
      <w:r>
        <w:rPr>
          <w:i/>
        </w:rPr>
        <w:t>Beis HaMikdash</w:t>
      </w:r>
      <w:r>
        <w:t>, but the city itself is not destroyed.” He would have rephrased it in praise: “</w:t>
      </w:r>
      <w:r>
        <w:rPr>
          <w:i/>
        </w:rPr>
        <w:t>Baruch Hashem</w:t>
      </w:r>
      <w:r>
        <w:t xml:space="preserve"> (</w:t>
      </w:r>
      <w:r>
        <w:rPr>
          <w:rFonts w:ascii="David" w:hAnsi="David"/>
        </w:rPr>
        <w:t>ברוך ה'</w:t>
      </w:r>
      <w:r>
        <w:t xml:space="preserve">), we see the great change; only give us the </w:t>
      </w:r>
      <w:r>
        <w:rPr>
          <w:i/>
        </w:rPr>
        <w:t>Beis HaMikdash</w:t>
      </w:r>
      <w:r>
        <w:t>.”</w:t>
      </w:r>
    </w:p>
    <w:p>
      <w:r>
        <w:rPr>
          <w:i/>
        </w:rPr>
        <w:t>Chas v’shalom</w:t>
      </w:r>
      <w:r>
        <w:t xml:space="preserve"> (</w:t>
      </w:r>
      <w:r>
        <w:rPr>
          <w:rFonts w:ascii="David" w:hAnsi="David"/>
        </w:rPr>
        <w:t>חס ושלום</w:t>
      </w:r>
      <w:r>
        <w:t xml:space="preserve">). It is forbidden to deviate from the </w:t>
      </w:r>
      <w:r>
        <w:rPr>
          <w:i/>
        </w:rPr>
        <w:t>mesorah</w:t>
      </w:r>
      <w:r>
        <w:t xml:space="preserve"> (</w:t>
      </w:r>
      <w:r>
        <w:rPr>
          <w:rFonts w:ascii="David" w:hAnsi="David"/>
        </w:rPr>
        <w:t>מסורה</w:t>
      </w:r>
      <w:r>
        <w:t xml:space="preserve">). </w:t>
      </w:r>
      <w:r>
        <w:rPr>
          <w:i/>
        </w:rPr>
        <w:t>Yerushalayim</w:t>
      </w:r>
      <w:r>
        <w:t xml:space="preserve"> remains destroyed, degraded, and desolate. Without the </w:t>
      </w:r>
      <w:r>
        <w:rPr>
          <w:i/>
        </w:rPr>
        <w:t>malchus beis Dovid</w:t>
      </w:r>
      <w:r>
        <w:t xml:space="preserve"> (</w:t>
      </w:r>
      <w:r>
        <w:rPr>
          <w:rFonts w:ascii="David" w:hAnsi="David"/>
        </w:rPr>
        <w:t>מלכות בית דוד</w:t>
      </w:r>
      <w:r>
        <w:t xml:space="preserve">), without the </w:t>
      </w:r>
      <w:r>
        <w:rPr>
          <w:i/>
        </w:rPr>
        <w:t>Beis HaMikdash</w:t>
      </w:r>
      <w:r>
        <w:t xml:space="preserve">, without </w:t>
      </w:r>
      <w:r>
        <w:rPr>
          <w:i/>
        </w:rPr>
        <w:t>korbanos</w:t>
      </w:r>
      <w:r>
        <w:t xml:space="preserve"> (</w:t>
      </w:r>
      <w:r>
        <w:rPr>
          <w:rFonts w:ascii="David" w:hAnsi="David"/>
        </w:rPr>
        <w:t>קרבנות</w:t>
      </w:r>
      <w:r>
        <w:t xml:space="preserve">), without the </w:t>
      </w:r>
      <w:r>
        <w:rPr>
          <w:i/>
        </w:rPr>
        <w:t>kohanim</w:t>
      </w:r>
      <w:r>
        <w:t xml:space="preserve"> (</w:t>
      </w:r>
      <w:r>
        <w:rPr>
          <w:rFonts w:ascii="David" w:hAnsi="David"/>
        </w:rPr>
        <w:t>כהנים</w:t>
      </w:r>
      <w:r>
        <w:t>) at their stations in song and music (</w:t>
      </w:r>
      <w:r>
        <w:rPr>
          <w:rFonts w:ascii="David" w:hAnsi="David"/>
        </w:rPr>
        <w:t>בשירה ובזמרה</w:t>
      </w:r>
      <w:r>
        <w:t xml:space="preserve">) — it </w:t>
      </w:r>
      <w:r>
        <w:rPr>
          <w:i/>
        </w:rPr>
        <w:t>is</w:t>
      </w:r>
      <w:r>
        <w:t xml:space="preserve"> destroyed. We are a nation that wakes each day in anticipation of </w:t>
      </w:r>
      <w:r>
        <w:rPr>
          <w:i/>
        </w:rPr>
        <w:t>chazon ha-nechamah</w:t>
      </w:r>
      <w:r>
        <w:t xml:space="preserve"> (</w:t>
      </w:r>
      <w:r>
        <w:rPr>
          <w:rFonts w:ascii="David" w:hAnsi="David"/>
        </w:rPr>
        <w:t>חזון הנחמה</w:t>
      </w:r>
      <w:r>
        <w:t xml:space="preserve">); and until that day — </w:t>
      </w:r>
      <w:r>
        <w:rPr>
          <w:i/>
        </w:rPr>
        <w:t>baruch Hashem</w:t>
      </w:r>
      <w:r>
        <w:t xml:space="preserve"> for the </w:t>
      </w:r>
      <w:r>
        <w:rPr>
          <w:i/>
        </w:rPr>
        <w:t>yishuv</w:t>
      </w:r>
      <w:r>
        <w:t xml:space="preserve"> (</w:t>
      </w:r>
      <w:r>
        <w:rPr>
          <w:rFonts w:ascii="David" w:hAnsi="David"/>
        </w:rPr>
        <w:t>יישוב</w:t>
      </w:r>
      <w:r>
        <w:t xml:space="preserve">) in </w:t>
      </w:r>
      <w:r>
        <w:rPr>
          <w:i/>
        </w:rPr>
        <w:t>Eretz Yisrael</w:t>
      </w:r>
      <w:r>
        <w:t xml:space="preserve">, for the </w:t>
      </w:r>
      <w:r>
        <w:rPr>
          <w:i/>
        </w:rPr>
        <w:t>Torah</w:t>
      </w:r>
      <w:r>
        <w:t xml:space="preserve"> and </w:t>
      </w:r>
      <w:r>
        <w:rPr>
          <w:i/>
        </w:rPr>
        <w:t>mitzvos</w:t>
      </w:r>
      <w:r>
        <w:t xml:space="preserve"> (</w:t>
      </w:r>
      <w:r>
        <w:rPr>
          <w:rFonts w:ascii="David" w:hAnsi="David"/>
        </w:rPr>
        <w:t>תורה ומצוות</w:t>
      </w:r>
      <w:r>
        <w:t xml:space="preserve">) kept there in such abundance — </w:t>
      </w:r>
      <w:r>
        <w:rPr>
          <w:i/>
        </w:rPr>
        <w:t>Yerushalayim</w:t>
      </w:r>
      <w:r>
        <w:t xml:space="preserve"> remains in the language of </w:t>
      </w:r>
      <w:r>
        <w:rPr>
          <w:i/>
        </w:rPr>
        <w:t>churban</w:t>
      </w:r>
      <w:r>
        <w:t xml:space="preserve">. To alter the </w:t>
      </w:r>
      <w:r>
        <w:rPr>
          <w:i/>
        </w:rPr>
        <w:t>nusach</w:t>
      </w:r>
      <w:r>
        <w:t xml:space="preserve"> is unthinkable.</w:t>
      </w:r>
    </w:p>
    <w:p>
      <w:r>
        <w:rPr>
          <w:i/>
          <w:color w:val="B8860B"/>
          <w:sz w:val="24"/>
        </w:rPr>
        <w:t>The Language of theNusach</w:t>
      </w:r>
    </w:p>
    <w:p>
      <w:r>
        <w:t xml:space="preserve">When the </w:t>
      </w:r>
      <w:r>
        <w:rPr>
          <w:i/>
        </w:rPr>
        <w:t>berachah</w:t>
      </w:r>
      <w:r>
        <w:t xml:space="preserve"> is said with its </w:t>
      </w:r>
      <w:r>
        <w:rPr>
          <w:i/>
        </w:rPr>
        <w:t>chasimah</w:t>
      </w:r>
      <w:r>
        <w:t xml:space="preserve"> it is enough to bring tears. The </w:t>
      </w:r>
      <w:r>
        <w:rPr>
          <w:i/>
        </w:rPr>
        <w:t>nusach</w:t>
      </w:r>
      <w:r>
        <w:t xml:space="preserve"> speaks of the city as </w:t>
      </w:r>
      <w:r>
        <w:rPr>
          <w:i/>
        </w:rPr>
        <w:t>“ka-ishah akarah she-lo yaldah”</w:t>
      </w:r>
      <w:r>
        <w:t xml:space="preserve"> (</w:t>
      </w:r>
      <w:r>
        <w:rPr>
          <w:rFonts w:ascii="David" w:hAnsi="David"/>
        </w:rPr>
        <w:t>כאשה עקרה שלא ילדה</w:t>
      </w:r>
      <w:r>
        <w:t xml:space="preserve">), a barren woman who bore no child, whom the nations devoured; </w:t>
      </w:r>
      <w:r>
        <w:rPr>
          <w:i/>
        </w:rPr>
        <w:t>“al kein Tziyon be-mar tivkeh”</w:t>
      </w:r>
      <w:r>
        <w:t xml:space="preserve"> (</w:t>
      </w:r>
      <w:r>
        <w:rPr>
          <w:rFonts w:ascii="David" w:hAnsi="David"/>
        </w:rPr>
        <w:t>על כן ציון במר תבכה</w:t>
      </w:r>
      <w:r>
        <w:t xml:space="preserve">). A moving melody on these words was composed by </w:t>
      </w:r>
      <w:r>
        <w:rPr>
          <w:i/>
        </w:rPr>
        <w:t>Shlomo Simchi</w:t>
      </w:r>
      <w:r>
        <w:t>.</w:t>
      </w:r>
      <w:r>
        <w:rPr>
          <w:color w:val="B8860B"/>
          <w:sz w:val="16"/>
          <w:vertAlign w:val="superscript"/>
        </w:rPr>
        <w:t>[11]</w:t>
      </w:r>
      <w:r>
        <w:t xml:space="preserve"> </w:t>
      </w:r>
      <w:r>
        <w:rPr>
          <w:i/>
        </w:rPr>
        <w:t>“Libi, libi al chalalei”</w:t>
      </w:r>
      <w:r>
        <w:t xml:space="preserve"> (</w:t>
      </w:r>
      <w:r>
        <w:rPr>
          <w:rFonts w:ascii="David" w:hAnsi="David"/>
        </w:rPr>
        <w:t>לבי לבי על חלליהם</w:t>
      </w:r>
      <w:r>
        <w:t xml:space="preserve">) — let the heart be broken over the slain; for it was </w:t>
      </w:r>
      <w:r>
        <w:rPr>
          <w:i/>
        </w:rPr>
        <w:t>HaKadosh Baruch Hu</w:t>
      </w:r>
      <w:r>
        <w:t xml:space="preserve"> who kindled it, and He will rebuild it with fire.</w:t>
      </w:r>
      <w:r>
        <w:rPr>
          <w:color w:val="B8860B"/>
          <w:sz w:val="16"/>
          <w:vertAlign w:val="superscript"/>
        </w:rPr>
        <w:t>[12]</w:t>
      </w:r>
    </w:p>
    <w:p>
      <w:r>
        <w:t xml:space="preserve">Yet the very first word of the </w:t>
      </w:r>
      <w:r>
        <w:rPr>
          <w:i/>
        </w:rPr>
        <w:t>berachah</w:t>
      </w:r>
      <w:r>
        <w:t xml:space="preserve"> is </w:t>
      </w:r>
      <w:r>
        <w:rPr>
          <w:b/>
          <w:i/>
        </w:rPr>
        <w:t>Nachem</w:t>
      </w:r>
      <w:r>
        <w:t xml:space="preserve"> (</w:t>
      </w:r>
      <w:r>
        <w:rPr>
          <w:rFonts w:ascii="David" w:hAnsi="David"/>
        </w:rPr>
        <w:t>נחם</w:t>
      </w:r>
      <w:r>
        <w:t xml:space="preserve">): now is the time for consolation, the time for </w:t>
      </w:r>
      <w:r>
        <w:rPr>
          <w:i/>
        </w:rPr>
        <w:t>Mashiach</w:t>
      </w:r>
      <w:r>
        <w:t xml:space="preserve"> to be born. Even as the </w:t>
      </w:r>
      <w:r>
        <w:rPr>
          <w:i/>
        </w:rPr>
        <w:t>Beis HaMikdash</w:t>
      </w:r>
      <w:r>
        <w:t xml:space="preserve"> burns we already hold </w:t>
      </w:r>
      <w:r>
        <w:rPr>
          <w:i/>
        </w:rPr>
        <w:t>nechamah</w:t>
      </w:r>
      <w:r>
        <w:t xml:space="preserve"> (</w:t>
      </w:r>
      <w:r>
        <w:rPr>
          <w:rFonts w:ascii="David" w:hAnsi="David"/>
        </w:rPr>
        <w:t>נחמה</w:t>
      </w:r>
      <w:r>
        <w:t xml:space="preserve">), because we believe that the </w:t>
      </w:r>
      <w:r>
        <w:rPr>
          <w:i/>
        </w:rPr>
        <w:t>nechamah</w:t>
      </w:r>
      <w:r>
        <w:t xml:space="preserve"> will come.</w:t>
      </w:r>
    </w:p>
    <w:p>
      <w:r>
        <w:rPr>
          <w:i/>
          <w:color w:val="B8860B"/>
          <w:sz w:val="24"/>
        </w:rPr>
        <w:t>“Ba’esh Hitzatah u’va’esh Atah Asid l’vnosah”</w:t>
      </w:r>
    </w:p>
    <w:p>
      <w:r>
        <w:t xml:space="preserve">The </w:t>
      </w:r>
      <w:r>
        <w:rPr>
          <w:i/>
        </w:rPr>
        <w:t>berachah</w:t>
      </w:r>
      <w:r>
        <w:t xml:space="preserve"> closes with its great declaration: </w:t>
      </w:r>
      <w:r>
        <w:rPr>
          <w:i/>
        </w:rPr>
        <w:t>“ki Atah Hashem ba’esh hitzatah u’va’esh Atah asid l’vnosah”</w:t>
      </w:r>
      <w:r>
        <w:t xml:space="preserve"> (</w:t>
      </w:r>
      <w:r>
        <w:rPr>
          <w:rFonts w:ascii="David" w:hAnsi="David"/>
        </w:rPr>
        <w:t>כי אתה ה' באש הצתה ובאש אתה עתיד לבנותה</w:t>
      </w:r>
      <w:r>
        <w:t xml:space="preserve">). </w:t>
      </w:r>
      <w:r>
        <w:rPr>
          <w:i/>
        </w:rPr>
        <w:t>HaKadosh Baruch Hu</w:t>
      </w:r>
      <w:r>
        <w:t xml:space="preserve"> burned the </w:t>
      </w:r>
      <w:r>
        <w:rPr>
          <w:i/>
        </w:rPr>
        <w:t>Beis HaMikdash</w:t>
      </w:r>
      <w:r>
        <w:t xml:space="preserve"> through the nations, with fire, and He will rebuild it with fire: on one view, the third </w:t>
      </w:r>
      <w:r>
        <w:rPr>
          <w:i/>
        </w:rPr>
        <w:t>Beis HaMikdash</w:t>
      </w:r>
      <w:r>
        <w:t xml:space="preserve"> (</w:t>
      </w:r>
      <w:r>
        <w:rPr>
          <w:rFonts w:ascii="David" w:hAnsi="David"/>
        </w:rPr>
        <w:t>בית המקדש השלישי</w:t>
      </w:r>
      <w:r>
        <w:t xml:space="preserve">) descends from </w:t>
      </w:r>
      <w:r>
        <w:rPr>
          <w:i/>
        </w:rPr>
        <w:t>Shamayim</w:t>
      </w:r>
      <w:r>
        <w:t xml:space="preserve"> (</w:t>
      </w:r>
      <w:r>
        <w:rPr>
          <w:rFonts w:ascii="David" w:hAnsi="David"/>
        </w:rPr>
        <w:t>שמים</w:t>
      </w:r>
      <w:r>
        <w:t>) in fire.</w:t>
      </w:r>
      <w:r>
        <w:rPr>
          <w:color w:val="B8860B"/>
          <w:sz w:val="16"/>
          <w:vertAlign w:val="superscript"/>
        </w:rPr>
        <w:t>[13]</w:t>
      </w:r>
    </w:p>
    <w:p>
      <w:r>
        <w:t xml:space="preserve">A debate among the </w:t>
      </w:r>
      <w:r>
        <w:rPr>
          <w:i/>
        </w:rPr>
        <w:t>acharonim</w:t>
      </w:r>
      <w:r>
        <w:t xml:space="preserve"> (</w:t>
      </w:r>
      <w:r>
        <w:rPr>
          <w:rFonts w:ascii="David" w:hAnsi="David"/>
        </w:rPr>
        <w:t>אחרונים</w:t>
      </w:r>
      <w:r>
        <w:t xml:space="preserve">) arises from this. There is a </w:t>
      </w:r>
      <w:r>
        <w:rPr>
          <w:i/>
        </w:rPr>
        <w:t>mitzvas aseh</w:t>
      </w:r>
      <w:r>
        <w:t xml:space="preserve"> (</w:t>
      </w:r>
      <w:r>
        <w:rPr>
          <w:rFonts w:ascii="David" w:hAnsi="David"/>
        </w:rPr>
        <w:t>מצות עשה</w:t>
      </w:r>
      <w:r>
        <w:t xml:space="preserve">) of </w:t>
      </w:r>
      <w:r>
        <w:rPr>
          <w:i/>
        </w:rPr>
        <w:t>binyan beis ha-bechirah</w:t>
      </w:r>
      <w:r>
        <w:t xml:space="preserve"> (</w:t>
      </w:r>
      <w:r>
        <w:rPr>
          <w:rFonts w:ascii="David" w:hAnsi="David"/>
        </w:rPr>
        <w:t>בנין בית הבחירה</w:t>
      </w:r>
      <w:r>
        <w:t xml:space="preserve">). If the third </w:t>
      </w:r>
      <w:r>
        <w:rPr>
          <w:i/>
        </w:rPr>
        <w:t>Beis HaMikdash</w:t>
      </w:r>
      <w:r>
        <w:t xml:space="preserve"> descends from heaven, how is the </w:t>
      </w:r>
      <w:r>
        <w:rPr>
          <w:i/>
        </w:rPr>
        <w:t>mitzvah</w:t>
      </w:r>
      <w:r>
        <w:t xml:space="preserve"> to be discharged? Some say that we shall perform the </w:t>
      </w:r>
      <w:r>
        <w:rPr>
          <w:i/>
        </w:rPr>
        <w:t>gimurim</w:t>
      </w:r>
      <w:r>
        <w:t xml:space="preserve"> (</w:t>
      </w:r>
      <w:r>
        <w:rPr>
          <w:rFonts w:ascii="David" w:hAnsi="David"/>
        </w:rPr>
        <w:t>גימורים</w:t>
      </w:r>
      <w:r>
        <w:t>) — the gates, the finishing work, the completion (</w:t>
      </w:r>
      <w:r>
        <w:rPr>
          <w:rFonts w:ascii="David" w:hAnsi="David"/>
        </w:rPr>
        <w:t>השלמה</w:t>
      </w:r>
      <w:r>
        <w:t>).</w:t>
      </w:r>
    </w:p>
    <w:p>
      <w:r>
        <w:rPr>
          <w:b/>
          <w:color w:val="1E3A8A"/>
          <w:sz w:val="26"/>
        </w:rPr>
        <w:t>V. WHY ONLY ATMINCHAH?</w:t>
      </w:r>
    </w:p>
    <w:p>
      <w:pPr>
        <w:pBdr>
          <w:bottom w:val="single" w:sz="6" w:space="1" w:color="B8860B"/>
        </w:pBdr>
      </w:pPr>
    </w:p>
    <w:p>
      <w:r>
        <w:t xml:space="preserve">The question is a real one. </w:t>
      </w:r>
      <w:r>
        <w:rPr>
          <w:i/>
        </w:rPr>
        <w:t>Al HaNissim</w:t>
      </w:r>
      <w:r>
        <w:t xml:space="preserve"> is said at every </w:t>
      </w:r>
      <w:r>
        <w:rPr>
          <w:i/>
        </w:rPr>
        <w:t>tefillah</w:t>
      </w:r>
      <w:r>
        <w:t xml:space="preserve"> (</w:t>
      </w:r>
      <w:r>
        <w:rPr>
          <w:rFonts w:ascii="David" w:hAnsi="David"/>
        </w:rPr>
        <w:t>תפילה</w:t>
      </w:r>
      <w:r>
        <w:t xml:space="preserve">) of </w:t>
      </w:r>
      <w:r>
        <w:rPr>
          <w:i/>
        </w:rPr>
        <w:t>Chanukah</w:t>
      </w:r>
      <w:r>
        <w:t xml:space="preserve"> and </w:t>
      </w:r>
      <w:r>
        <w:rPr>
          <w:i/>
        </w:rPr>
        <w:t>Purim</w:t>
      </w:r>
      <w:r>
        <w:t xml:space="preserve">; </w:t>
      </w:r>
      <w:r>
        <w:rPr>
          <w:i/>
        </w:rPr>
        <w:t>Ya’aleh v’Yavo</w:t>
      </w:r>
      <w:r>
        <w:t xml:space="preserve"> at </w:t>
      </w:r>
      <w:r>
        <w:rPr>
          <w:i/>
        </w:rPr>
        <w:t>Shacharis</w:t>
      </w:r>
      <w:r>
        <w:t xml:space="preserve"> (</w:t>
      </w:r>
      <w:r>
        <w:rPr>
          <w:rFonts w:ascii="David" w:hAnsi="David"/>
        </w:rPr>
        <w:t>שחרית</w:t>
      </w:r>
      <w:r>
        <w:t xml:space="preserve">), </w:t>
      </w:r>
      <w:r>
        <w:rPr>
          <w:i/>
        </w:rPr>
        <w:t>Minchah</w:t>
      </w:r>
      <w:r>
        <w:t xml:space="preserve">, and </w:t>
      </w:r>
      <w:r>
        <w:rPr>
          <w:i/>
        </w:rPr>
        <w:t>Ma’ariv</w:t>
      </w:r>
      <w:r>
        <w:t xml:space="preserve"> (</w:t>
      </w:r>
      <w:r>
        <w:rPr>
          <w:rFonts w:ascii="David" w:hAnsi="David"/>
        </w:rPr>
        <w:t>מעריב</w:t>
      </w:r>
      <w:r>
        <w:t xml:space="preserve">). Why is </w:t>
      </w:r>
      <w:r>
        <w:rPr>
          <w:i/>
        </w:rPr>
        <w:t>Nachem</w:t>
      </w:r>
      <w:r>
        <w:t xml:space="preserve"> said only at </w:t>
      </w:r>
      <w:r>
        <w:rPr>
          <w:i/>
        </w:rPr>
        <w:t>Minchah</w:t>
      </w:r>
      <w:r>
        <w:t>?</w:t>
      </w:r>
      <w:r>
        <w:rPr>
          <w:color w:val="B8860B"/>
          <w:sz w:val="16"/>
          <w:vertAlign w:val="superscript"/>
        </w:rPr>
        <w:t>[14]</w:t>
      </w:r>
    </w:p>
    <w:p>
      <w:r>
        <w:rPr>
          <w:i/>
          <w:color w:val="B8860B"/>
          <w:sz w:val="24"/>
        </w:rPr>
        <w:t>TheRosh</w:t>
      </w:r>
    </w:p>
    <w:p>
      <w:r>
        <w:t xml:space="preserve">The </w:t>
      </w:r>
      <w:r>
        <w:rPr>
          <w:i/>
        </w:rPr>
        <w:t>Rosh</w:t>
      </w:r>
      <w:r>
        <w:t xml:space="preserve"> (</w:t>
      </w:r>
      <w:r>
        <w:rPr>
          <w:rFonts w:ascii="David" w:hAnsi="David"/>
        </w:rPr>
        <w:t>רא"ש</w:t>
      </w:r>
      <w:r>
        <w:t xml:space="preserve">) writes that all his days he wondered at the custom, for it is illogical: it should be said at every </w:t>
      </w:r>
      <w:r>
        <w:rPr>
          <w:i/>
        </w:rPr>
        <w:t>tefillah</w:t>
      </w:r>
      <w:r>
        <w:t xml:space="preserve"> of </w:t>
      </w:r>
      <w:r>
        <w:rPr>
          <w:i/>
        </w:rPr>
        <w:t>Tisha B’Av</w:t>
      </w:r>
      <w:r>
        <w:t>.</w:t>
      </w:r>
    </w:p>
    <w:p>
      <w:r>
        <w:rPr>
          <w:i/>
          <w:color w:val="B8860B"/>
          <w:sz w:val="24"/>
        </w:rPr>
        <w:t>TheMechaberand theRama</w:t>
      </w:r>
    </w:p>
    <w:p>
      <w:r>
        <w:t xml:space="preserve">The </w:t>
      </w:r>
      <w:r>
        <w:rPr>
          <w:i/>
        </w:rPr>
        <w:t>Mechaber</w:t>
      </w:r>
      <w:r>
        <w:t xml:space="preserve"> (</w:t>
      </w:r>
      <w:r>
        <w:rPr>
          <w:rFonts w:ascii="David" w:hAnsi="David"/>
        </w:rPr>
        <w:t>מחבר</w:t>
      </w:r>
      <w:r>
        <w:t xml:space="preserve">) words the </w:t>
      </w:r>
      <w:r>
        <w:rPr>
          <w:i/>
        </w:rPr>
        <w:t>halachah</w:t>
      </w:r>
      <w:r>
        <w:t xml:space="preserve"> without qualification — </w:t>
      </w:r>
      <w:r>
        <w:rPr>
          <w:i/>
        </w:rPr>
        <w:t>“b’Tisha B’Av omer bi-voneh Yerushalayim: Nachem Hashem Elokeinu es avelei Tziyon”</w:t>
      </w:r>
      <w:r>
        <w:t xml:space="preserve"> (</w:t>
      </w:r>
      <w:r>
        <w:rPr>
          <w:rFonts w:ascii="David" w:hAnsi="David"/>
        </w:rPr>
        <w:t>בתשעה באב אומר בבונה ירושלים נחם ה' אלהינו את אבילי ציון</w:t>
      </w:r>
      <w:r>
        <w:t xml:space="preserve">) — which is understood to mean at every </w:t>
      </w:r>
      <w:r>
        <w:rPr>
          <w:i/>
        </w:rPr>
        <w:t>tefillah</w:t>
      </w:r>
      <w:r>
        <w:t xml:space="preserve">; many </w:t>
      </w:r>
      <w:r>
        <w:rPr>
          <w:i/>
        </w:rPr>
        <w:t>Sefardim</w:t>
      </w:r>
      <w:r>
        <w:t xml:space="preserve"> (</w:t>
      </w:r>
      <w:r>
        <w:rPr>
          <w:rFonts w:ascii="David" w:hAnsi="David"/>
        </w:rPr>
        <w:t>ספרדים</w:t>
      </w:r>
      <w:r>
        <w:t xml:space="preserve">) follow this. (Practice among </w:t>
      </w:r>
      <w:r>
        <w:rPr>
          <w:i/>
        </w:rPr>
        <w:t>Sefardim</w:t>
      </w:r>
      <w:r>
        <w:t xml:space="preserve"> varies by community. The Rav had at first been under the impression that they did not say it at every </w:t>
      </w:r>
      <w:r>
        <w:rPr>
          <w:i/>
        </w:rPr>
        <w:t>tefillah</w:t>
      </w:r>
      <w:r>
        <w:t xml:space="preserve">, and confirmed the </w:t>
      </w:r>
      <w:r>
        <w:rPr>
          <w:i/>
        </w:rPr>
        <w:t>Mechaber</w:t>
      </w:r>
      <w:r>
        <w:t xml:space="preserve">’s wording only when pressed.) The </w:t>
      </w:r>
      <w:r>
        <w:rPr>
          <w:i/>
        </w:rPr>
        <w:t>Rama</w:t>
      </w:r>
      <w:r>
        <w:t xml:space="preserve"> (</w:t>
      </w:r>
      <w:r>
        <w:rPr>
          <w:rFonts w:ascii="David" w:hAnsi="David"/>
        </w:rPr>
        <w:t>רמ"א</w:t>
      </w:r>
      <w:r>
        <w:t xml:space="preserve">) glosses: the practice is widespread to say </w:t>
      </w:r>
      <w:r>
        <w:rPr>
          <w:i/>
        </w:rPr>
        <w:t>Nachem</w:t>
      </w:r>
      <w:r>
        <w:t xml:space="preserve"> only at </w:t>
      </w:r>
      <w:r>
        <w:rPr>
          <w:i/>
        </w:rPr>
        <w:t>Minchah</w:t>
      </w:r>
      <w:r>
        <w:t xml:space="preserve"> of </w:t>
      </w:r>
      <w:r>
        <w:rPr>
          <w:i/>
        </w:rPr>
        <w:t>Tisha B’Av</w:t>
      </w:r>
      <w:r>
        <w:t>.</w:t>
      </w:r>
      <w:r>
        <w:rPr>
          <w:color w:val="B8860B"/>
          <w:sz w:val="16"/>
          <w:vertAlign w:val="superscript"/>
        </w:rPr>
        <w:t>[15]</w:t>
      </w:r>
    </w:p>
    <w:p>
      <w:r>
        <w:rPr>
          <w:i/>
          <w:color w:val="B8860B"/>
          <w:sz w:val="24"/>
        </w:rPr>
        <w:t>The Reason of theRama</w:t>
      </w:r>
    </w:p>
    <w:p>
      <w:r>
        <w:t xml:space="preserve">The </w:t>
      </w:r>
      <w:r>
        <w:rPr>
          <w:i/>
        </w:rPr>
        <w:t>Rama</w:t>
      </w:r>
      <w:r>
        <w:t xml:space="preserve">, citing the </w:t>
      </w:r>
      <w:r>
        <w:rPr>
          <w:i/>
        </w:rPr>
        <w:t>Rokeach</w:t>
      </w:r>
      <w:r>
        <w:t xml:space="preserve"> (</w:t>
      </w:r>
      <w:r>
        <w:rPr>
          <w:rFonts w:ascii="David" w:hAnsi="David"/>
        </w:rPr>
        <w:t>רוקח</w:t>
      </w:r>
      <w:r>
        <w:t xml:space="preserve">) and the </w:t>
      </w:r>
      <w:r>
        <w:rPr>
          <w:i/>
        </w:rPr>
        <w:t>Avudraham</w:t>
      </w:r>
      <w:r>
        <w:t xml:space="preserve"> (</w:t>
      </w:r>
      <w:r>
        <w:rPr>
          <w:rFonts w:ascii="David" w:hAnsi="David"/>
        </w:rPr>
        <w:t>אבודרהם</w:t>
      </w:r>
      <w:r>
        <w:t xml:space="preserve">), gives the reason: the fire was set in the </w:t>
      </w:r>
      <w:r>
        <w:rPr>
          <w:i/>
        </w:rPr>
        <w:t>Beis HaMikdash</w:t>
      </w:r>
      <w:r>
        <w:t xml:space="preserve"> only at the close of </w:t>
      </w:r>
      <w:r>
        <w:rPr>
          <w:i/>
        </w:rPr>
        <w:t>Tisha B’Av</w:t>
      </w:r>
      <w:r>
        <w:t xml:space="preserve"> — late afternoon, into the night — and therefore </w:t>
      </w:r>
      <w:r>
        <w:rPr>
          <w:i/>
        </w:rPr>
        <w:t>Nachem</w:t>
      </w:r>
      <w:r>
        <w:t xml:space="preserve"> belongs only at the close of the day. Earlier, there is no </w:t>
      </w:r>
      <w:r>
        <w:rPr>
          <w:i/>
        </w:rPr>
        <w:t>nechamah</w:t>
      </w:r>
      <w:r>
        <w:t xml:space="preserve"> yet: the </w:t>
      </w:r>
      <w:r>
        <w:rPr>
          <w:i/>
        </w:rPr>
        <w:t>Beis HaMikdash</w:t>
      </w:r>
      <w:r>
        <w:t xml:space="preserve"> is, so to speak, still burning. The </w:t>
      </w:r>
      <w:r>
        <w:rPr>
          <w:i/>
        </w:rPr>
        <w:t>Beis Yosef</w:t>
      </w:r>
      <w:r>
        <w:t xml:space="preserve"> (</w:t>
      </w:r>
      <w:r>
        <w:rPr>
          <w:rFonts w:ascii="David" w:hAnsi="David"/>
        </w:rPr>
        <w:t>בית יוסף</w:t>
      </w:r>
      <w:r>
        <w:t xml:space="preserve">) gives the same reason in explaining the practice, which he traces to </w:t>
      </w:r>
      <w:r>
        <w:rPr>
          <w:i/>
        </w:rPr>
        <w:t>Rabbeinu Saadia</w:t>
      </w:r>
      <w:r>
        <w:t xml:space="preserve"> (</w:t>
      </w:r>
      <w:r>
        <w:rPr>
          <w:rFonts w:ascii="David" w:hAnsi="David"/>
        </w:rPr>
        <w:t>רבינו סעדיה</w:t>
      </w:r>
      <w:r>
        <w:t>).</w:t>
      </w:r>
    </w:p>
    <w:p>
      <w:r>
        <w:t xml:space="preserve">The </w:t>
      </w:r>
      <w:r>
        <w:rPr>
          <w:i/>
        </w:rPr>
        <w:t>Tur</w:t>
      </w:r>
      <w:r>
        <w:t xml:space="preserve"> (</w:t>
      </w:r>
      <w:r>
        <w:rPr>
          <w:rFonts w:ascii="David" w:hAnsi="David"/>
        </w:rPr>
        <w:t>טור</w:t>
      </w:r>
      <w:r>
        <w:t xml:space="preserve">) records that there were places in which </w:t>
      </w:r>
      <w:r>
        <w:rPr>
          <w:i/>
        </w:rPr>
        <w:t>Rachem</w:t>
      </w:r>
      <w:r>
        <w:t xml:space="preserve"> (</w:t>
      </w:r>
      <w:r>
        <w:rPr>
          <w:rFonts w:ascii="David" w:hAnsi="David"/>
        </w:rPr>
        <w:t>רחם</w:t>
      </w:r>
      <w:r>
        <w:t xml:space="preserve">) was said at night and in the morning, and </w:t>
      </w:r>
      <w:r>
        <w:rPr>
          <w:i/>
        </w:rPr>
        <w:t>Nachem</w:t>
      </w:r>
      <w:r>
        <w:t xml:space="preserve"> at </w:t>
      </w:r>
      <w:r>
        <w:rPr>
          <w:i/>
        </w:rPr>
        <w:t>Minchah</w:t>
      </w:r>
      <w:r>
        <w:t xml:space="preserve">; and that the matter depends upon </w:t>
      </w:r>
      <w:r>
        <w:rPr>
          <w:i/>
        </w:rPr>
        <w:t>minhag</w:t>
      </w:r>
      <w:r>
        <w:t xml:space="preserve"> (</w:t>
      </w:r>
      <w:r>
        <w:rPr>
          <w:rFonts w:ascii="David" w:hAnsi="David"/>
        </w:rPr>
        <w:t>מנהג</w:t>
      </w:r>
      <w:r>
        <w:t>).</w:t>
      </w:r>
    </w:p>
    <w:p>
      <w:r>
        <w:rPr>
          <w:b/>
          <w:color w:val="1E3A8A"/>
          <w:sz w:val="26"/>
        </w:rPr>
        <w:t>VI. THE DATES OF THECHURBAN</w:t>
      </w:r>
    </w:p>
    <w:p>
      <w:pPr>
        <w:pBdr>
          <w:bottom w:val="single" w:sz="6" w:space="1" w:color="B8860B"/>
        </w:pBdr>
      </w:pPr>
    </w:p>
    <w:p>
      <w:r>
        <w:t xml:space="preserve">It is a striking fact that </w:t>
      </w:r>
      <w:r>
        <w:rPr>
          <w:i/>
        </w:rPr>
        <w:t>“Tisha B’Av”</w:t>
      </w:r>
      <w:r>
        <w:t xml:space="preserve"> is nowhere stated in </w:t>
      </w:r>
      <w:r>
        <w:rPr>
          <w:i/>
        </w:rPr>
        <w:t>Tanach</w:t>
      </w:r>
      <w:r>
        <w:t xml:space="preserve"> (</w:t>
      </w:r>
      <w:r>
        <w:rPr>
          <w:rFonts w:ascii="David" w:hAnsi="David"/>
        </w:rPr>
        <w:t>תנ"ך</w:t>
      </w:r>
      <w:r>
        <w:t xml:space="preserve">) as the date of the </w:t>
      </w:r>
      <w:r>
        <w:rPr>
          <w:i/>
        </w:rPr>
        <w:t>churban</w:t>
      </w:r>
      <w:r>
        <w:t>.</w:t>
      </w:r>
    </w:p>
    <w:p>
      <w:r>
        <w:rPr>
          <w:i/>
          <w:color w:val="B8860B"/>
          <w:sz w:val="24"/>
        </w:rPr>
        <w:t>TwoPesukim</w:t>
      </w:r>
    </w:p>
    <w:p>
      <w:r>
        <w:t xml:space="preserve">Neither says the </w:t>
      </w:r>
      <w:r>
        <w:rPr>
          <w:i/>
        </w:rPr>
        <w:t>ninth</w:t>
      </w:r>
      <w:r>
        <w:t>; yet we fast on the ninth.</w:t>
      </w:r>
    </w:p>
    <w:p>
      <w:r>
        <w:rPr>
          <w:i/>
          <w:color w:val="B8860B"/>
          <w:sz w:val="24"/>
        </w:rPr>
        <w:t>TheKaraim</w:t>
      </w:r>
    </w:p>
    <w:p>
      <w:r>
        <w:t xml:space="preserve">The </w:t>
      </w:r>
      <w:r>
        <w:rPr>
          <w:i/>
        </w:rPr>
        <w:t>Karaim</w:t>
      </w:r>
      <w:r>
        <w:t xml:space="preserve"> (</w:t>
      </w:r>
      <w:r>
        <w:rPr>
          <w:rFonts w:ascii="David" w:hAnsi="David"/>
        </w:rPr>
        <w:t>קראים</w:t>
      </w:r>
      <w:r>
        <w:t xml:space="preserve">), who reject </w:t>
      </w:r>
      <w:r>
        <w:rPr>
          <w:i/>
        </w:rPr>
        <w:t>Chazal</w:t>
      </w:r>
      <w:r>
        <w:t xml:space="preserve"> (</w:t>
      </w:r>
      <w:r>
        <w:rPr>
          <w:rFonts w:ascii="David" w:hAnsi="David"/>
        </w:rPr>
        <w:t>חז"ל</w:t>
      </w:r>
      <w:r>
        <w:t xml:space="preserve">) and follow only the text of </w:t>
      </w:r>
      <w:r>
        <w:rPr>
          <w:i/>
        </w:rPr>
        <w:t>Tanach</w:t>
      </w:r>
      <w:r>
        <w:t xml:space="preserve">, fasted on both — the seventh and the tenth, as the </w:t>
      </w:r>
      <w:r>
        <w:rPr>
          <w:i/>
        </w:rPr>
        <w:t>pesukim</w:t>
      </w:r>
      <w:r>
        <w:t xml:space="preserve"> say. We follow </w:t>
      </w:r>
      <w:r>
        <w:rPr>
          <w:i/>
        </w:rPr>
        <w:t>Chazal</w:t>
      </w:r>
      <w:r>
        <w:t xml:space="preserve">, and </w:t>
      </w:r>
      <w:r>
        <w:rPr>
          <w:i/>
        </w:rPr>
        <w:t>Chazal</w:t>
      </w:r>
      <w:r>
        <w:t xml:space="preserve"> resolved the contradiction.</w:t>
      </w:r>
    </w:p>
    <w:p>
      <w:r>
        <w:rPr>
          <w:i/>
          <w:color w:val="B8860B"/>
          <w:sz w:val="24"/>
        </w:rPr>
        <w:t>The Process —Taanis29a</w:t>
      </w:r>
    </w:p>
    <w:p>
      <w:r>
        <w:t xml:space="preserve">The </w:t>
      </w:r>
      <w:r>
        <w:rPr>
          <w:i/>
        </w:rPr>
        <w:t>Gemara</w:t>
      </w:r>
      <w:r>
        <w:t xml:space="preserve"> in </w:t>
      </w:r>
      <w:r>
        <w:rPr>
          <w:i/>
        </w:rPr>
        <w:t>Taanis</w:t>
      </w:r>
      <w:r>
        <w:rPr>
          <w:color w:val="B8860B"/>
          <w:sz w:val="16"/>
          <w:vertAlign w:val="superscript"/>
        </w:rPr>
        <w:t>[17]</w:t>
      </w:r>
      <w:r>
        <w:t xml:space="preserve"> teaches that there was a process. </w:t>
      </w:r>
      <w:r>
        <w:rPr>
          <w:i/>
        </w:rPr>
        <w:t>Nevuzaradan</w:t>
      </w:r>
      <w:r>
        <w:t xml:space="preserve">, </w:t>
      </w:r>
      <w:r>
        <w:rPr>
          <w:i/>
        </w:rPr>
        <w:t>sar ha-tabbachim</w:t>
      </w:r>
      <w:r>
        <w:t xml:space="preserve"> (</w:t>
      </w:r>
      <w:r>
        <w:rPr>
          <w:rFonts w:ascii="David" w:hAnsi="David"/>
        </w:rPr>
        <w:t>שר הטבחים</w:t>
      </w:r>
      <w:r>
        <w:t xml:space="preserve">), </w:t>
      </w:r>
      <w:r>
        <w:rPr>
          <w:i/>
        </w:rPr>
        <w:t>yemach shemo</w:t>
      </w:r>
      <w:r>
        <w:t xml:space="preserve"> (</w:t>
      </w:r>
      <w:r>
        <w:rPr>
          <w:rFonts w:ascii="David" w:hAnsi="David"/>
        </w:rPr>
        <w:t>ימ"ש</w:t>
      </w:r>
      <w:r>
        <w:t xml:space="preserve">), came on the seventh of </w:t>
      </w:r>
      <w:r>
        <w:rPr>
          <w:i/>
        </w:rPr>
        <w:t>Av</w:t>
      </w:r>
      <w:r>
        <w:t xml:space="preserve">, as </w:t>
      </w:r>
      <w:r>
        <w:rPr>
          <w:i/>
        </w:rPr>
        <w:t>Melachim</w:t>
      </w:r>
      <w:r>
        <w:t xml:space="preserve"> records, and with him the nations entered the </w:t>
      </w:r>
      <w:r>
        <w:rPr>
          <w:i/>
        </w:rPr>
        <w:t>heichal</w:t>
      </w:r>
      <w:r>
        <w:t xml:space="preserve"> (</w:t>
      </w:r>
      <w:r>
        <w:rPr>
          <w:rFonts w:ascii="David" w:hAnsi="David"/>
        </w:rPr>
        <w:t>היכל</w:t>
      </w:r>
      <w:r>
        <w:t>):</w:t>
      </w:r>
    </w:p>
    <w:p>
      <w:pPr>
        <w:ind w:left="432"/>
      </w:pPr>
      <w:r>
        <w:rPr>
          <w:i/>
        </w:rPr>
        <w:br/>
      </w:r>
      <w:r>
        <w:rPr>
          <w:rFonts w:ascii="David" w:hAnsi="David"/>
          <w:i/>
        </w:rPr>
        <w:t>בְּשִׁבְעָה נִכְנְסוּ נׇכְרִים לַהֵיכָל, וְאָכְלוּ וְקִלְקְלוּ בּוֹ שְׁבִיעִי שְׁמִינִי. וּתְשִׁיעִי סָמוּךְ לַחֲשֵׁיכָה הֵצִיתוּ בּוֹ אֶת הָאוּר, וְהָיָה דּוֹלֵק וְהוֹלֵךְ כׇּל הַיּוֹם כּוּלּוֹ.</w:t>
      </w:r>
      <w:r>
        <w:rPr>
          <w:i/>
        </w:rPr>
        <w:br/>
      </w:r>
      <w:r>
        <w:rPr>
          <w:i/>
        </w:rPr>
        <w:t>On the seventh the gentiles entered the Sanctuary, and on the seventh and eighth they ate in it and desecrated it. On the ninth, adjacent to nightfall, they set fire to it, and it burned on through the whole of the day.</w:t>
      </w:r>
      <w:r>
        <w:rPr>
          <w:i/>
        </w:rPr>
        <w:br/>
      </w:r>
      <w:r>
        <w:rPr>
          <w:i/>
        </w:rPr>
        <w:t>Taanis</w:t>
      </w:r>
      <w:r>
        <w:rPr>
          <w:i/>
        </w:rPr>
        <w:t xml:space="preserve"> 29a</w:t>
      </w:r>
      <w:r>
        <w:rPr>
          <w:i/>
        </w:rPr>
        <w:br/>
      </w:r>
    </w:p>
    <w:p>
      <w:r>
        <w:t xml:space="preserve">In the language of the tradition, they were </w:t>
      </w:r>
      <w:r>
        <w:rPr>
          <w:i/>
        </w:rPr>
        <w:t>“ochlin v’shosin u’mekarkerin”</w:t>
      </w:r>
      <w:r>
        <w:t xml:space="preserve"> (</w:t>
      </w:r>
      <w:r>
        <w:rPr>
          <w:rFonts w:ascii="David" w:hAnsi="David"/>
        </w:rPr>
        <w:t>אוכלין ושותין ומקרקרין</w:t>
      </w:r>
      <w:r>
        <w:t>) — the word for revelry. On the seventh and eighth there was desecration but not yet fire. Only on the ninth, toward nightfall, was the fire set; it burned on throughout the tenth.</w:t>
      </w:r>
    </w:p>
    <w:p>
      <w:r>
        <w:t xml:space="preserve">Some opinions held that one should fast on the tenth as well; we no longer do. A parallel </w:t>
      </w:r>
      <w:r>
        <w:rPr>
          <w:i/>
        </w:rPr>
        <w:t>halachah</w:t>
      </w:r>
      <w:r>
        <w:t xml:space="preserve"> remains: a restraint from meat and wine extends into the tenth until midday.</w:t>
      </w:r>
      <w:r>
        <w:rPr>
          <w:color w:val="B8860B"/>
          <w:sz w:val="16"/>
          <w:vertAlign w:val="superscript"/>
        </w:rPr>
        <w:t>[18]</w:t>
      </w:r>
    </w:p>
    <w:p>
      <w:r>
        <w:rPr>
          <w:b/>
          <w:color w:val="1E3A8A"/>
          <w:sz w:val="26"/>
        </w:rPr>
        <w:t>VII.REBBI YOCHANAN’SSHITAH— WHY NOT THE TENTH?</w:t>
      </w:r>
    </w:p>
    <w:p>
      <w:pPr>
        <w:pBdr>
          <w:bottom w:val="single" w:sz="6" w:space="1" w:color="B8860B"/>
        </w:pBdr>
      </w:pPr>
    </w:p>
    <w:p>
      <w:r>
        <w:t>The same passage</w:t>
      </w:r>
      <w:r>
        <w:rPr>
          <w:color w:val="B8860B"/>
          <w:sz w:val="16"/>
          <w:vertAlign w:val="superscript"/>
        </w:rPr>
        <w:t>[20]</w:t>
      </w:r>
      <w:r>
        <w:t xml:space="preserve"> records a striking statement of </w:t>
      </w:r>
      <w:r>
        <w:rPr>
          <w:i/>
        </w:rPr>
        <w:t>Rebbi Yochanan</w:t>
      </w:r>
      <w:r>
        <w:t>:</w:t>
      </w:r>
    </w:p>
    <w:p>
      <w:pPr>
        <w:ind w:left="432"/>
      </w:pPr>
      <w:r>
        <w:rPr>
          <w:i/>
        </w:rPr>
        <w:br/>
      </w:r>
      <w:r>
        <w:rPr>
          <w:rFonts w:ascii="David" w:hAnsi="David"/>
          <w:i/>
        </w:rPr>
        <w:t>אִלְמָלֵי הָיִיתִי בְּאוֹתוֹ הַדּוֹר לֹא קְבַעְתִּיו אֶלָּא בָּעֲשִׂירִי, מִפְּנֵי שֶׁרוּבּוֹ שֶׁל הֵיכָל בּוֹ נִשְׂרַף. וְרַבָּנַן — אַתְחַלְתָּא דְפוּרְעֲנוּתָא עֲדִיפָא.</w:t>
      </w:r>
      <w:r>
        <w:rPr>
          <w:i/>
        </w:rPr>
        <w:br/>
      </w:r>
      <w:r>
        <w:rPr>
          <w:i/>
        </w:rPr>
        <w:t xml:space="preserve">Had I been in that generation I would have fixed it only on the tenth, for the greater part of the </w:t>
      </w:r>
      <w:r>
        <w:rPr>
          <w:i/>
        </w:rPr>
        <w:t>heichal</w:t>
      </w:r>
      <w:r>
        <w:rPr>
          <w:i/>
        </w:rPr>
        <w:t xml:space="preserve"> was burned on it. And the Sages: it is preferable to mark the beginning of the calamity.</w:t>
      </w:r>
      <w:r>
        <w:rPr>
          <w:i/>
        </w:rPr>
        <w:br/>
      </w:r>
      <w:r>
        <w:rPr>
          <w:i/>
        </w:rPr>
        <w:t>Taanis</w:t>
      </w:r>
      <w:r>
        <w:rPr>
          <w:i/>
        </w:rPr>
        <w:t xml:space="preserve"> 29a</w:t>
      </w:r>
      <w:r>
        <w:rPr>
          <w:i/>
        </w:rPr>
        <w:br/>
      </w:r>
    </w:p>
    <w:p>
      <w:r>
        <w:t xml:space="preserve">We do not follow </w:t>
      </w:r>
      <w:r>
        <w:rPr>
          <w:i/>
        </w:rPr>
        <w:t>Rebbi Yochanan</w:t>
      </w:r>
      <w:r>
        <w:t xml:space="preserve">. </w:t>
      </w:r>
      <w:r>
        <w:rPr>
          <w:i/>
        </w:rPr>
        <w:t>Chazal</w:t>
      </w:r>
      <w:r>
        <w:t xml:space="preserve"> mark the day of </w:t>
      </w:r>
      <w:r>
        <w:rPr>
          <w:i/>
        </w:rPr>
        <w:t>techilas ha-pur’anus</w:t>
      </w:r>
      <w:r>
        <w:t xml:space="preserve"> (</w:t>
      </w:r>
      <w:r>
        <w:rPr>
          <w:rFonts w:ascii="David" w:hAnsi="David"/>
        </w:rPr>
        <w:t>תחילת הפורענות</w:t>
      </w:r>
      <w:r>
        <w:t>), the beginning of the punishment, when the fire was set: the ninth.</w:t>
      </w:r>
    </w:p>
    <w:p>
      <w:r>
        <w:rPr>
          <w:i/>
          <w:color w:val="B8860B"/>
          <w:sz w:val="24"/>
        </w:rPr>
        <w:t>ATzeiruffor theLamdanim—Bava Kamma22</w:t>
      </w:r>
    </w:p>
    <w:p>
      <w:r>
        <w:t xml:space="preserve">A famous </w:t>
      </w:r>
      <w:r>
        <w:rPr>
          <w:i/>
        </w:rPr>
        <w:t>machlokes</w:t>
      </w:r>
      <w:r>
        <w:t xml:space="preserve"> (</w:t>
      </w:r>
      <w:r>
        <w:rPr>
          <w:rFonts w:ascii="David" w:hAnsi="David"/>
        </w:rPr>
        <w:t>מחלוקת</w:t>
      </w:r>
      <w:r>
        <w:t xml:space="preserve">) in </w:t>
      </w:r>
      <w:r>
        <w:rPr>
          <w:i/>
        </w:rPr>
        <w:t>Bava Kamma</w:t>
      </w:r>
      <w:r>
        <w:rPr>
          <w:color w:val="B8860B"/>
          <w:sz w:val="16"/>
          <w:vertAlign w:val="superscript"/>
        </w:rPr>
        <w:t>[21]</w:t>
      </w:r>
      <w:r>
        <w:t xml:space="preserve"> concerns the verse </w:t>
      </w:r>
      <w:r>
        <w:rPr>
          <w:i/>
        </w:rPr>
        <w:t>“ki seitzei esh”</w:t>
      </w:r>
      <w:r>
        <w:t xml:space="preserve"> (</w:t>
      </w:r>
      <w:r>
        <w:rPr>
          <w:rFonts w:ascii="David" w:hAnsi="David"/>
        </w:rPr>
        <w:t>כי תצא אש</w:t>
      </w:r>
      <w:r>
        <w:t xml:space="preserve">): when fire goes out and damages, one pays. Why? </w:t>
      </w:r>
      <w:r>
        <w:rPr>
          <w:i/>
        </w:rPr>
        <w:t>Mishum mamono</w:t>
      </w:r>
      <w:r>
        <w:t xml:space="preserve"> (</w:t>
      </w:r>
      <w:r>
        <w:rPr>
          <w:rFonts w:ascii="David" w:hAnsi="David"/>
        </w:rPr>
        <w:t>משום ממונו</w:t>
      </w:r>
      <w:r>
        <w:t xml:space="preserve">) — because it is one’s property, like one’s animal that did damage; or </w:t>
      </w:r>
      <w:r>
        <w:rPr>
          <w:i/>
        </w:rPr>
        <w:t>mishum chitzav</w:t>
      </w:r>
      <w:r>
        <w:t xml:space="preserve"> (</w:t>
      </w:r>
      <w:r>
        <w:rPr>
          <w:rFonts w:ascii="David" w:hAnsi="David"/>
        </w:rPr>
        <w:t>משום חיציו</w:t>
      </w:r>
      <w:r>
        <w:t xml:space="preserve">) — because it is one’s </w:t>
      </w:r>
      <w:r>
        <w:rPr>
          <w:i/>
        </w:rPr>
        <w:t>arrow</w:t>
      </w:r>
      <w:r>
        <w:t xml:space="preserve">, one’s own action? </w:t>
      </w:r>
      <w:r>
        <w:rPr>
          <w:i/>
        </w:rPr>
        <w:t>Rebbi Yochanan</w:t>
      </w:r>
      <w:r>
        <w:t xml:space="preserve"> holds </w:t>
      </w:r>
      <w:r>
        <w:rPr>
          <w:i/>
        </w:rPr>
        <w:t>mishum chitzav</w:t>
      </w:r>
      <w:r>
        <w:t xml:space="preserve">; </w:t>
      </w:r>
      <w:r>
        <w:rPr>
          <w:i/>
        </w:rPr>
        <w:t>Resh Lakish</w:t>
      </w:r>
      <w:r>
        <w:t xml:space="preserve"> (</w:t>
      </w:r>
      <w:r>
        <w:rPr>
          <w:rFonts w:ascii="David" w:hAnsi="David"/>
        </w:rPr>
        <w:t>ריש לקיש</w:t>
      </w:r>
      <w:r>
        <w:t xml:space="preserve">) holds </w:t>
      </w:r>
      <w:r>
        <w:rPr>
          <w:i/>
        </w:rPr>
        <w:t>mishum mamono</w:t>
      </w:r>
      <w:r>
        <w:t>.</w:t>
      </w:r>
    </w:p>
    <w:p>
      <w:r>
        <w:t xml:space="preserve">It has been suggested that </w:t>
      </w:r>
      <w:r>
        <w:rPr>
          <w:i/>
        </w:rPr>
        <w:t>Rebbi Yochanan</w:t>
      </w:r>
      <w:r>
        <w:t xml:space="preserve"> is consistent with himself (</w:t>
      </w:r>
      <w:r>
        <w:rPr>
          <w:rFonts w:ascii="David" w:hAnsi="David"/>
        </w:rPr>
        <w:t>רבי יוחנן לשיטתו</w:t>
      </w:r>
      <w:r>
        <w:t xml:space="preserve">). If fire is an arrow shot by its owner, the damage where the arrow lands is </w:t>
      </w:r>
      <w:r>
        <w:rPr>
          <w:i/>
        </w:rPr>
        <w:t>his action</w:t>
      </w:r>
      <w:r>
        <w:t xml:space="preserve">; the fire ignited by </w:t>
      </w:r>
      <w:r>
        <w:rPr>
          <w:i/>
        </w:rPr>
        <w:t>Nevuzaradan</w:t>
      </w:r>
      <w:r>
        <w:t xml:space="preserve"> on the ninth continued as arrows in flight, and the principal damage of the tenth is part of the same act. On that reading the </w:t>
      </w:r>
      <w:r>
        <w:rPr>
          <w:i/>
        </w:rPr>
        <w:t>severity</w:t>
      </w:r>
      <w:r>
        <w:t xml:space="preserve"> of the arrows landed on the tenth, and the fast should mark the tenth. </w:t>
      </w:r>
      <w:r>
        <w:rPr>
          <w:i/>
        </w:rPr>
        <w:t>Chazal</w:t>
      </w:r>
      <w:r>
        <w:t xml:space="preserve"> hold that the primary moment is the beginning of the punishment, the ninth.</w:t>
      </w:r>
    </w:p>
    <w:p>
      <w:r>
        <w:rPr>
          <w:b/>
          <w:color w:val="1E3A8A"/>
          <w:sz w:val="26"/>
        </w:rPr>
        <w:t>VIII.BIRKAS MODIM— THE BOW</w:t>
      </w:r>
    </w:p>
    <w:p>
      <w:pPr>
        <w:pBdr>
          <w:bottom w:val="single" w:sz="6" w:space="1" w:color="B8860B"/>
        </w:pBdr>
      </w:pPr>
    </w:p>
    <w:p>
      <w:r>
        <w:t xml:space="preserve">The </w:t>
      </w:r>
      <w:r>
        <w:rPr>
          <w:i/>
        </w:rPr>
        <w:t>seder</w:t>
      </w:r>
      <w:r>
        <w:t xml:space="preserve"> of </w:t>
      </w:r>
      <w:r>
        <w:rPr>
          <w:i/>
        </w:rPr>
        <w:t>Shemoneh Esrei</w:t>
      </w:r>
      <w:r>
        <w:t xml:space="preserve"> resumes: </w:t>
      </w:r>
      <w:r>
        <w:rPr>
          <w:i/>
        </w:rPr>
        <w:t>“Modim anachnu lach”</w:t>
      </w:r>
      <w:r>
        <w:t xml:space="preserve"> (</w:t>
      </w:r>
      <w:r>
        <w:rPr>
          <w:rFonts w:ascii="David" w:hAnsi="David"/>
        </w:rPr>
        <w:t>מודים אנחנו לך</w:t>
      </w:r>
      <w:r>
        <w:t>).</w:t>
      </w:r>
    </w:p>
    <w:p>
      <w:r>
        <w:rPr>
          <w:i/>
          <w:color w:val="B8860B"/>
          <w:sz w:val="24"/>
        </w:rPr>
        <w:t>The Obligation of Bowing</w:t>
      </w:r>
    </w:p>
    <w:p>
      <w:r>
        <w:t xml:space="preserve">At </w:t>
      </w:r>
      <w:r>
        <w:rPr>
          <w:i/>
        </w:rPr>
        <w:t>Modim</w:t>
      </w:r>
      <w:r>
        <w:t xml:space="preserve"> the </w:t>
      </w:r>
      <w:r>
        <w:rPr>
          <w:i/>
        </w:rPr>
        <w:t>halachah</w:t>
      </w:r>
      <w:r>
        <w:t xml:space="preserve"> requires a bow: at the opening (</w:t>
      </w:r>
      <w:r>
        <w:rPr>
          <w:i/>
        </w:rPr>
        <w:t>“Modim”</w:t>
      </w:r>
      <w:r>
        <w:t xml:space="preserve">) and at the </w:t>
      </w:r>
      <w:r>
        <w:rPr>
          <w:i/>
        </w:rPr>
        <w:t>chasimah</w:t>
      </w:r>
      <w:r>
        <w:t xml:space="preserve"> (</w:t>
      </w:r>
      <w:r>
        <w:rPr>
          <w:i/>
        </w:rPr>
        <w:t>“Baruch Atah Hashem”</w:t>
      </w:r>
      <w:r>
        <w:t xml:space="preserve">). The four bows of </w:t>
      </w:r>
      <w:r>
        <w:rPr>
          <w:i/>
        </w:rPr>
        <w:t>Shemoneh Esrei</w:t>
      </w:r>
      <w:r>
        <w:t xml:space="preserve"> are at the opening and close of </w:t>
      </w:r>
      <w:r>
        <w:rPr>
          <w:i/>
        </w:rPr>
        <w:t>Birkas Avos</w:t>
      </w:r>
      <w:r>
        <w:t xml:space="preserve"> (</w:t>
      </w:r>
      <w:r>
        <w:rPr>
          <w:rFonts w:ascii="David" w:hAnsi="David"/>
        </w:rPr>
        <w:t>ברכת אבות</w:t>
      </w:r>
      <w:r>
        <w:t xml:space="preserve">) and at the opening and close of </w:t>
      </w:r>
      <w:r>
        <w:rPr>
          <w:i/>
        </w:rPr>
        <w:t>Modim</w:t>
      </w:r>
      <w:r>
        <w:t>.</w:t>
      </w:r>
    </w:p>
    <w:p>
      <w:r>
        <w:rPr>
          <w:i/>
          <w:color w:val="B8860B"/>
          <w:sz w:val="24"/>
        </w:rPr>
        <w:t>TheGemarainBava Kamma</w:t>
      </w:r>
    </w:p>
    <w:p>
      <w:r>
        <w:t xml:space="preserve">A frightening </w:t>
      </w:r>
      <w:r>
        <w:rPr>
          <w:i/>
        </w:rPr>
        <w:t>Gemara</w:t>
      </w:r>
      <w:r>
        <w:rPr>
          <w:color w:val="B8860B"/>
          <w:sz w:val="16"/>
          <w:vertAlign w:val="superscript"/>
        </w:rPr>
        <w:t>[22]</w:t>
      </w:r>
      <w:r>
        <w:t xml:space="preserve"> states of the one who does not bow at </w:t>
      </w:r>
      <w:r>
        <w:rPr>
          <w:i/>
        </w:rPr>
        <w:t>Modim</w:t>
      </w:r>
      <w:r>
        <w:t>:</w:t>
      </w:r>
    </w:p>
    <w:p>
      <w:pPr>
        <w:ind w:left="432"/>
      </w:pPr>
      <w:r>
        <w:rPr>
          <w:i/>
        </w:rPr>
        <w:br/>
      </w:r>
      <w:r>
        <w:rPr>
          <w:rFonts w:ascii="David" w:hAnsi="David"/>
          <w:i/>
        </w:rPr>
        <w:t>שִׁדְרוֹ שֶׁל אָדָם – לְאַחַר שֶׁבַע שָׁנִים נַעֲשֶׂה נָחָשׁ. וְהָנֵי מִילֵּי דְּלָא כָּרַע בְּ״מוֹדִים״.</w:t>
      </w:r>
      <w:r>
        <w:rPr>
          <w:i/>
        </w:rPr>
        <w:br/>
      </w:r>
      <w:r>
        <w:rPr>
          <w:i/>
        </w:rPr>
        <w:t xml:space="preserve">A person’s spine, after seven years, becomes a snake — and this applies to one who did not bow at </w:t>
      </w:r>
      <w:r>
        <w:rPr>
          <w:i/>
        </w:rPr>
        <w:t>Modim</w:t>
      </w:r>
      <w:r>
        <w:rPr>
          <w:i/>
        </w:rPr>
        <w:t>.</w:t>
      </w:r>
      <w:r>
        <w:rPr>
          <w:i/>
        </w:rPr>
        <w:br/>
      </w:r>
      <w:r>
        <w:rPr>
          <w:i/>
        </w:rPr>
        <w:t>Bava Kamma</w:t>
      </w:r>
      <w:r>
        <w:rPr>
          <w:i/>
        </w:rPr>
        <w:t xml:space="preserve"> 16a</w:t>
      </w:r>
      <w:r>
        <w:rPr>
          <w:i/>
        </w:rPr>
        <w:br/>
      </w:r>
    </w:p>
    <w:p>
      <w:r>
        <w:t xml:space="preserve">What does this mean? </w:t>
      </w:r>
      <w:r>
        <w:rPr>
          <w:i/>
        </w:rPr>
        <w:t>Tosafos</w:t>
      </w:r>
      <w:r>
        <w:rPr>
          <w:color w:val="B8860B"/>
          <w:sz w:val="16"/>
          <w:vertAlign w:val="superscript"/>
        </w:rPr>
        <w:t>[23]</w:t>
      </w:r>
      <w:r>
        <w:t xml:space="preserve"> takes it up: the punishment is measure for measure (</w:t>
      </w:r>
      <w:r>
        <w:rPr>
          <w:rFonts w:ascii="David" w:hAnsi="David"/>
        </w:rPr>
        <w:t>מדה כנגד מדה</w:t>
      </w:r>
      <w:r>
        <w:t xml:space="preserve">) — one who rose from his bow like a snake, as is told of </w:t>
      </w:r>
      <w:r>
        <w:rPr>
          <w:i/>
        </w:rPr>
        <w:t>Rav Sheishes</w:t>
      </w:r>
      <w:r>
        <w:t xml:space="preserve"> (</w:t>
      </w:r>
      <w:r>
        <w:rPr>
          <w:rFonts w:ascii="David" w:hAnsi="David"/>
        </w:rPr>
        <w:t>רב ששת</w:t>
      </w:r>
      <w:r>
        <w:t xml:space="preserve">) in </w:t>
      </w:r>
      <w:r>
        <w:rPr>
          <w:i/>
        </w:rPr>
        <w:t>Berachos</w:t>
      </w:r>
      <w:r>
        <w:t xml:space="preserve"> 12b, is made into one; being made a snake is itself the disgrace. A gloss printed alongside the </w:t>
      </w:r>
      <w:r>
        <w:rPr>
          <w:i/>
        </w:rPr>
        <w:t>Tosafos</w:t>
      </w:r>
      <w:r>
        <w:t xml:space="preserve"> adds an explanation offered by “some”: there is a small bone in the spine — the </w:t>
      </w:r>
      <w:r>
        <w:rPr>
          <w:i/>
        </w:rPr>
        <w:t>etzem ha-luz</w:t>
      </w:r>
      <w:r>
        <w:t xml:space="preserve"> (</w:t>
      </w:r>
      <w:r>
        <w:rPr>
          <w:rFonts w:ascii="David" w:hAnsi="David"/>
        </w:rPr>
        <w:t>עצם הלוז</w:t>
      </w:r>
      <w:r>
        <w:t xml:space="preserve">) — that, according to </w:t>
      </w:r>
      <w:r>
        <w:rPr>
          <w:i/>
        </w:rPr>
        <w:t>Chazal</w:t>
      </w:r>
      <w:r>
        <w:t xml:space="preserve">, never decomposes. (The Rav devoted an entire exposition to it; physicians debate which bone is meant.) From this bone </w:t>
      </w:r>
      <w:r>
        <w:rPr>
          <w:i/>
        </w:rPr>
        <w:t>HaKadosh Baruch Hu</w:t>
      </w:r>
      <w:r>
        <w:t xml:space="preserve"> will reconstruct the body at </w:t>
      </w:r>
      <w:r>
        <w:rPr>
          <w:i/>
        </w:rPr>
        <w:t>techiyas ha-meisim</w:t>
      </w:r>
      <w:r>
        <w:t xml:space="preserve"> (</w:t>
      </w:r>
      <w:r>
        <w:rPr>
          <w:rFonts w:ascii="David" w:hAnsi="David"/>
        </w:rPr>
        <w:t>תחיית המתים</w:t>
      </w:r>
      <w:r>
        <w:t xml:space="preserve">). Were that bone to become a snake, there would be no </w:t>
      </w:r>
      <w:r>
        <w:rPr>
          <w:i/>
        </w:rPr>
        <w:t>techiyas ha-meisim</w:t>
      </w:r>
      <w:r>
        <w:t xml:space="preserve"> — and the gloss rejects this as too harsh a punishment for this sin, since every Jew has a share in the </w:t>
      </w:r>
      <w:r>
        <w:rPr>
          <w:i/>
        </w:rPr>
        <w:t>Olam Haba</w:t>
      </w:r>
      <w:r>
        <w:t xml:space="preserve"> (</w:t>
      </w:r>
      <w:r>
        <w:rPr>
          <w:rFonts w:ascii="David" w:hAnsi="David"/>
        </w:rPr>
        <w:t>עולם הבא</w:t>
      </w:r>
      <w:r>
        <w:t xml:space="preserve">). In the Rav’s formulation, there is some lesser punishment, with </w:t>
      </w:r>
      <w:r>
        <w:rPr>
          <w:i/>
        </w:rPr>
        <w:t>snake-like characteristics</w:t>
      </w:r>
      <w:r>
        <w:t>.</w:t>
      </w:r>
    </w:p>
    <w:p>
      <w:r>
        <w:rPr>
          <w:i/>
          <w:color w:val="B8860B"/>
          <w:sz w:val="24"/>
        </w:rPr>
        <w:t>Why a Snake?</w:t>
      </w:r>
    </w:p>
    <w:p>
      <w:r>
        <w:t xml:space="preserve">Because the </w:t>
      </w:r>
      <w:r>
        <w:rPr>
          <w:i/>
        </w:rPr>
        <w:t>nachash</w:t>
      </w:r>
      <w:r>
        <w:t xml:space="preserve"> (</w:t>
      </w:r>
      <w:r>
        <w:rPr>
          <w:rFonts w:ascii="David" w:hAnsi="David"/>
        </w:rPr>
        <w:t>נחש</w:t>
      </w:r>
      <w:r>
        <w:t xml:space="preserve">) was the original </w:t>
      </w:r>
      <w:r>
        <w:rPr>
          <w:i/>
        </w:rPr>
        <w:t>kafui tov</w:t>
      </w:r>
      <w:r>
        <w:t xml:space="preserve"> (</w:t>
      </w:r>
      <w:r>
        <w:rPr>
          <w:rFonts w:ascii="David" w:hAnsi="David"/>
        </w:rPr>
        <w:t>כפוי טובה</w:t>
      </w:r>
      <w:r>
        <w:t xml:space="preserve">). </w:t>
      </w:r>
      <w:r>
        <w:rPr>
          <w:i/>
        </w:rPr>
        <w:t>HaKadosh Baruch Hu</w:t>
      </w:r>
      <w:r>
        <w:t xml:space="preserve"> created the </w:t>
      </w:r>
      <w:r>
        <w:rPr>
          <w:i/>
        </w:rPr>
        <w:t>nachash</w:t>
      </w:r>
      <w:r>
        <w:t xml:space="preserve"> as the most clever of creatures, and the </w:t>
      </w:r>
      <w:r>
        <w:rPr>
          <w:i/>
        </w:rPr>
        <w:t>nachash</w:t>
      </w:r>
      <w:r>
        <w:t xml:space="preserve"> repaid Him by leading </w:t>
      </w:r>
      <w:r>
        <w:rPr>
          <w:i/>
        </w:rPr>
        <w:t>Adam</w:t>
      </w:r>
      <w:r>
        <w:t xml:space="preserve"> and </w:t>
      </w:r>
      <w:r>
        <w:rPr>
          <w:i/>
        </w:rPr>
        <w:t>Chavah</w:t>
      </w:r>
      <w:r>
        <w:t xml:space="preserve"> to the </w:t>
      </w:r>
      <w:r>
        <w:rPr>
          <w:i/>
        </w:rPr>
        <w:t>Eitz HaDaas</w:t>
      </w:r>
      <w:r>
        <w:t xml:space="preserve"> (</w:t>
      </w:r>
      <w:r>
        <w:rPr>
          <w:rFonts w:ascii="David" w:hAnsi="David"/>
        </w:rPr>
        <w:t>עץ הדעת</w:t>
      </w:r>
      <w:r>
        <w:t xml:space="preserve">). We are still engaged in repairing that sin; </w:t>
      </w:r>
      <w:r>
        <w:rPr>
          <w:i/>
        </w:rPr>
        <w:t>Chazal</w:t>
      </w:r>
      <w:r>
        <w:t xml:space="preserve"> say that every soul was present at it. One who cannot bring himself to bow at </w:t>
      </w:r>
      <w:r>
        <w:rPr>
          <w:i/>
        </w:rPr>
        <w:t>Modim</w:t>
      </w:r>
      <w:r>
        <w:t xml:space="preserve"> — who cannot acknowledge the goodness bestowed upon him at every breath — is turned into the very creature that was the first to deny it.</w:t>
      </w:r>
    </w:p>
    <w:p>
      <w:r>
        <w:rPr>
          <w:i/>
          <w:color w:val="B8860B"/>
          <w:sz w:val="24"/>
        </w:rPr>
        <w:t>TheHalachicPosture</w:t>
      </w:r>
    </w:p>
    <w:p>
      <w:r>
        <w:t xml:space="preserve">The </w:t>
      </w:r>
      <w:r>
        <w:rPr>
          <w:i/>
        </w:rPr>
        <w:t>halachah</w:t>
      </w:r>
      <w:r>
        <w:rPr>
          <w:color w:val="B8860B"/>
          <w:sz w:val="16"/>
          <w:vertAlign w:val="superscript"/>
        </w:rPr>
        <w:t>[24]</w:t>
      </w:r>
      <w:r>
        <w:t xml:space="preserve"> is to bow all the way, </w:t>
      </w:r>
      <w:r>
        <w:rPr>
          <w:i/>
        </w:rPr>
        <w:t>“ad she-yispakeku kol chuliyos she-ba-shidrah”</w:t>
      </w:r>
      <w:r>
        <w:t xml:space="preserve"> (</w:t>
      </w:r>
      <w:r>
        <w:rPr>
          <w:rFonts w:ascii="David" w:hAnsi="David"/>
        </w:rPr>
        <w:t>עד שיתפקקו כל חוליות שבשדרה</w:t>
      </w:r>
      <w:r>
        <w:t xml:space="preserve">) — until the vertebrae of the spine loosen. One bows at </w:t>
      </w:r>
      <w:r>
        <w:rPr>
          <w:i/>
        </w:rPr>
        <w:t>“Baruch”</w:t>
      </w:r>
      <w:r>
        <w:t xml:space="preserve"> and stands erect at the Name: </w:t>
      </w:r>
      <w:r>
        <w:rPr>
          <w:i/>
        </w:rPr>
        <w:t>“Baruch”</w:t>
      </w:r>
      <w:r>
        <w:t xml:space="preserve"> bowing, </w:t>
      </w:r>
      <w:r>
        <w:rPr>
          <w:i/>
        </w:rPr>
        <w:t>“Hashem”</w:t>
      </w:r>
      <w:r>
        <w:t xml:space="preserve"> (</w:t>
      </w:r>
      <w:r>
        <w:rPr>
          <w:rFonts w:ascii="David" w:hAnsi="David"/>
        </w:rPr>
        <w:t>ה'</w:t>
      </w:r>
      <w:r>
        <w:t xml:space="preserve">) erect, in the opening of </w:t>
      </w:r>
      <w:r>
        <w:rPr>
          <w:i/>
        </w:rPr>
        <w:t>Modim</w:t>
      </w:r>
      <w:r>
        <w:t xml:space="preserve"> and again at the </w:t>
      </w:r>
      <w:r>
        <w:rPr>
          <w:i/>
        </w:rPr>
        <w:t>chasimah</w:t>
      </w:r>
      <w:r>
        <w:t xml:space="preserve">. The bow is the body’s expression of total acknowledgment: </w:t>
      </w:r>
      <w:r>
        <w:rPr>
          <w:i/>
        </w:rPr>
        <w:t>“kol atzmosai tomarnah”</w:t>
      </w:r>
      <w:r>
        <w:t xml:space="preserve"> (</w:t>
      </w:r>
      <w:r>
        <w:rPr>
          <w:rFonts w:ascii="David" w:hAnsi="David"/>
        </w:rPr>
        <w:t>כל עצמותי תאמרנה</w:t>
      </w:r>
      <w:r>
        <w:t>).</w:t>
      </w:r>
      <w:r>
        <w:rPr>
          <w:color w:val="B8860B"/>
          <w:sz w:val="16"/>
          <w:vertAlign w:val="superscript"/>
        </w:rPr>
        <w:t>[25]</w:t>
      </w:r>
      <w:r>
        <w:t xml:space="preserve"> Not only the mouth gives thanks, but the body itself in the act of acknowledgment.</w:t>
      </w:r>
    </w:p>
    <w:p>
      <w:r>
        <w:rPr>
          <w:i/>
        </w:rPr>
        <w:t>L’ma’aseh</w:t>
      </w:r>
      <w:r>
        <w:t xml:space="preserve"> (</w:t>
      </w:r>
      <w:r>
        <w:rPr>
          <w:rFonts w:ascii="David" w:hAnsi="David"/>
        </w:rPr>
        <w:t>למעשה</w:t>
      </w:r>
      <w:r>
        <w:t xml:space="preserve">): those who suffer from back trouble must take care, and the </w:t>
      </w:r>
      <w:r>
        <w:rPr>
          <w:i/>
        </w:rPr>
        <w:t>poskim</w:t>
      </w:r>
      <w:r>
        <w:t xml:space="preserve"> (</w:t>
      </w:r>
      <w:r>
        <w:rPr>
          <w:rFonts w:ascii="David" w:hAnsi="David"/>
        </w:rPr>
        <w:t>פוסקים</w:t>
      </w:r>
      <w:r>
        <w:t xml:space="preserve">) address it. The </w:t>
      </w:r>
      <w:r>
        <w:rPr>
          <w:i/>
        </w:rPr>
        <w:t>halachah</w:t>
      </w:r>
      <w:r>
        <w:t xml:space="preserve"> is </w:t>
      </w:r>
      <w:r>
        <w:rPr>
          <w:i/>
        </w:rPr>
        <w:t>lechatchilah</w:t>
      </w:r>
      <w:r>
        <w:t xml:space="preserve"> (</w:t>
      </w:r>
      <w:r>
        <w:rPr>
          <w:rFonts w:ascii="David" w:hAnsi="David"/>
        </w:rPr>
        <w:t>לכתחילה</w:t>
      </w:r>
      <w:r>
        <w:t>); no one is asked to injure himself. But one who is able should do it the right way every day.</w:t>
      </w:r>
    </w:p>
    <w:p>
      <w:r>
        <w:rPr>
          <w:b/>
          <w:color w:val="1E3A8A"/>
          <w:sz w:val="26"/>
        </w:rPr>
        <w:t>IX. THE MEANING OF“MODIM”</w:t>
      </w:r>
    </w:p>
    <w:p>
      <w:pPr>
        <w:pBdr>
          <w:bottom w:val="single" w:sz="6" w:space="1" w:color="B8860B"/>
        </w:pBdr>
      </w:pPr>
    </w:p>
    <w:p>
      <w:r>
        <w:t xml:space="preserve">In plain speech, </w:t>
      </w:r>
      <w:r>
        <w:rPr>
          <w:i/>
        </w:rPr>
        <w:t>modim</w:t>
      </w:r>
      <w:r>
        <w:t xml:space="preserve"> is </w:t>
      </w:r>
      <w:r>
        <w:rPr>
          <w:i/>
        </w:rPr>
        <w:t>“thanks.”</w:t>
      </w:r>
      <w:r>
        <w:t xml:space="preserve"> In the </w:t>
      </w:r>
      <w:r>
        <w:rPr>
          <w:i/>
        </w:rPr>
        <w:t>Mishnah</w:t>
      </w:r>
      <w:r>
        <w:t xml:space="preserve"> (</w:t>
      </w:r>
      <w:r>
        <w:rPr>
          <w:rFonts w:ascii="David" w:hAnsi="David"/>
        </w:rPr>
        <w:t>משנה</w:t>
      </w:r>
      <w:r>
        <w:t xml:space="preserve">) and the </w:t>
      </w:r>
      <w:r>
        <w:rPr>
          <w:i/>
        </w:rPr>
        <w:t>Gemara</w:t>
      </w:r>
      <w:r>
        <w:t xml:space="preserve">, however, </w:t>
      </w:r>
      <w:r>
        <w:rPr>
          <w:i/>
        </w:rPr>
        <w:t>“modeh”</w:t>
      </w:r>
      <w:r>
        <w:t xml:space="preserve"> (</w:t>
      </w:r>
      <w:r>
        <w:rPr>
          <w:rFonts w:ascii="David" w:hAnsi="David"/>
        </w:rPr>
        <w:t>מודה</w:t>
      </w:r>
      <w:r>
        <w:t xml:space="preserve">) means </w:t>
      </w:r>
      <w:r>
        <w:rPr>
          <w:i/>
        </w:rPr>
        <w:t>“acknowledges, agrees, admits”</w:t>
      </w:r>
      <w:r>
        <w:t xml:space="preserve">: </w:t>
      </w:r>
      <w:r>
        <w:rPr>
          <w:i/>
        </w:rPr>
        <w:t>“modim chachamim l’Rebbi”</w:t>
      </w:r>
      <w:r>
        <w:t xml:space="preserve"> (</w:t>
      </w:r>
      <w:r>
        <w:rPr>
          <w:rFonts w:ascii="David" w:hAnsi="David"/>
        </w:rPr>
        <w:t>מודים חכמים לרבי</w:t>
      </w:r>
      <w:r>
        <w:t>) — the Sages agree.</w:t>
      </w:r>
    </w:p>
    <w:p>
      <w:r>
        <w:t xml:space="preserve">The two senses fold into one. The essence of </w:t>
      </w:r>
      <w:r>
        <w:rPr>
          <w:i/>
        </w:rPr>
        <w:t>todah</w:t>
      </w:r>
      <w:r>
        <w:t xml:space="preserve"> (</w:t>
      </w:r>
      <w:r>
        <w:rPr>
          <w:rFonts w:ascii="David" w:hAnsi="David"/>
        </w:rPr>
        <w:t>תודה</w:t>
      </w:r>
      <w:r>
        <w:t xml:space="preserve">) is </w:t>
      </w:r>
      <w:r>
        <w:rPr>
          <w:i/>
        </w:rPr>
        <w:t>acknowledgment</w:t>
      </w:r>
      <w:r>
        <w:t xml:space="preserve"> — the recognition that </w:t>
      </w:r>
      <w:r>
        <w:rPr>
          <w:i/>
        </w:rPr>
        <w:t>HaKadosh Baruch Hu</w:t>
      </w:r>
      <w:r>
        <w:t xml:space="preserve"> gives us life at every moment and protects us at every moment; that recognition </w:t>
      </w:r>
      <w:r>
        <w:rPr>
          <w:i/>
        </w:rPr>
        <w:t>obligates</w:t>
      </w:r>
      <w:r>
        <w:t xml:space="preserve"> thanks. So </w:t>
      </w:r>
      <w:r>
        <w:rPr>
          <w:i/>
        </w:rPr>
        <w:t>“modim”</w:t>
      </w:r>
      <w:r>
        <w:t xml:space="preserve"> says both at once: we acknowledge that You are God and that You sustain us — and therefore we thank You.</w:t>
      </w:r>
    </w:p>
    <w:p>
      <w:r>
        <w:rPr>
          <w:b/>
          <w:color w:val="1E3A8A"/>
          <w:sz w:val="26"/>
        </w:rPr>
        <w:t>X.“L’DOR VA-DOR”— THE HIDDENBERACHAHFOR CHILDREN</w:t>
      </w:r>
    </w:p>
    <w:p>
      <w:pPr>
        <w:pBdr>
          <w:bottom w:val="single" w:sz="6" w:space="1" w:color="B8860B"/>
        </w:pBdr>
      </w:pPr>
    </w:p>
    <w:p>
      <w:r>
        <w:rPr>
          <w:i/>
          <w:color w:val="B8860B"/>
          <w:sz w:val="24"/>
        </w:rPr>
        <w:t>The MissingBerachah</w:t>
      </w:r>
    </w:p>
    <w:p>
      <w:r>
        <w:rPr>
          <w:i/>
        </w:rPr>
        <w:t>Shemoneh Esrei</w:t>
      </w:r>
      <w:r>
        <w:t xml:space="preserve"> contains no explicit </w:t>
      </w:r>
      <w:r>
        <w:rPr>
          <w:i/>
        </w:rPr>
        <w:t>berachah</w:t>
      </w:r>
      <w:r>
        <w:t xml:space="preserve"> for children. The most important thing in a person’s life, the continuity of his family, the </w:t>
      </w:r>
      <w:r>
        <w:rPr>
          <w:i/>
        </w:rPr>
        <w:t>nachas</w:t>
      </w:r>
      <w:r>
        <w:t xml:space="preserve"> (</w:t>
      </w:r>
      <w:r>
        <w:rPr>
          <w:rFonts w:ascii="David" w:hAnsi="David"/>
        </w:rPr>
        <w:t>נחת</w:t>
      </w:r>
      <w:r>
        <w:t xml:space="preserve">) of grandchildren in the </w:t>
      </w:r>
      <w:r>
        <w:rPr>
          <w:i/>
        </w:rPr>
        <w:t>beis knesses</w:t>
      </w:r>
      <w:r>
        <w:t xml:space="preserve"> — and there is no formal </w:t>
      </w:r>
      <w:r>
        <w:rPr>
          <w:i/>
        </w:rPr>
        <w:t>berachah</w:t>
      </w:r>
      <w:r>
        <w:t xml:space="preserve"> for it? We add such a request, in our own words, within </w:t>
      </w:r>
      <w:r>
        <w:rPr>
          <w:i/>
        </w:rPr>
        <w:t>Shema Koleinu</w:t>
      </w:r>
      <w:r>
        <w:t xml:space="preserve">. But why is there no formal </w:t>
      </w:r>
      <w:r>
        <w:rPr>
          <w:i/>
        </w:rPr>
        <w:t>berachah</w:t>
      </w:r>
      <w:r>
        <w:t>?</w:t>
      </w:r>
    </w:p>
    <w:p>
      <w:r>
        <w:t xml:space="preserve">One candidate presents itself in </w:t>
      </w:r>
      <w:r>
        <w:rPr>
          <w:i/>
        </w:rPr>
        <w:t>Birkas Avos</w:t>
      </w:r>
      <w:r>
        <w:t xml:space="preserve">, in the words </w:t>
      </w:r>
      <w:r>
        <w:rPr>
          <w:i/>
        </w:rPr>
        <w:t>“u’meivi go’el li-vnei v’neihem”</w:t>
      </w:r>
      <w:r>
        <w:t xml:space="preserve"> (</w:t>
      </w:r>
      <w:r>
        <w:rPr>
          <w:rFonts w:ascii="David" w:hAnsi="David"/>
        </w:rPr>
        <w:t>ומביא גואל לבני בניהם</w:t>
      </w:r>
      <w:r>
        <w:t xml:space="preserve">), which has been proposed as a reference to the continuing generations. But </w:t>
      </w:r>
      <w:r>
        <w:rPr>
          <w:i/>
        </w:rPr>
        <w:t>Birkas Avos</w:t>
      </w:r>
      <w:r>
        <w:t xml:space="preserve"> is </w:t>
      </w:r>
      <w:r>
        <w:rPr>
          <w:i/>
        </w:rPr>
        <w:t>shevach</w:t>
      </w:r>
      <w:r>
        <w:t xml:space="preserve"> (</w:t>
      </w:r>
      <w:r>
        <w:rPr>
          <w:rFonts w:ascii="David" w:hAnsi="David"/>
        </w:rPr>
        <w:t>שבח</w:t>
      </w:r>
      <w:r>
        <w:t xml:space="preserve">), praise, and not </w:t>
      </w:r>
      <w:r>
        <w:rPr>
          <w:i/>
        </w:rPr>
        <w:t>bakashah</w:t>
      </w:r>
      <w:r>
        <w:t xml:space="preserve"> (</w:t>
      </w:r>
      <w:r>
        <w:rPr>
          <w:rFonts w:ascii="David" w:hAnsi="David"/>
        </w:rPr>
        <w:t>בקשה</w:t>
      </w:r>
      <w:r>
        <w:t xml:space="preserve">), request: it is an expression of faith that </w:t>
      </w:r>
      <w:r>
        <w:rPr>
          <w:i/>
        </w:rPr>
        <w:t>Hashem</w:t>
      </w:r>
      <w:r>
        <w:t xml:space="preserve"> will bring redemption to the grandchildren, not a petition on their behalf. It does not answer the question.</w:t>
      </w:r>
    </w:p>
    <w:p>
      <w:r>
        <w:t xml:space="preserve">One </w:t>
      </w:r>
      <w:r>
        <w:rPr>
          <w:i/>
        </w:rPr>
        <w:t>acharon</w:t>
      </w:r>
      <w:r>
        <w:t xml:space="preserve"> has proposed that the </w:t>
      </w:r>
      <w:r>
        <w:rPr>
          <w:i/>
        </w:rPr>
        <w:t>berachah</w:t>
      </w:r>
      <w:r>
        <w:t xml:space="preserve"> for children is hidden in </w:t>
      </w:r>
      <w:r>
        <w:rPr>
          <w:i/>
        </w:rPr>
        <w:t>“l’dor va-dor”</w:t>
      </w:r>
      <w:r>
        <w:t xml:space="preserve"> here in </w:t>
      </w:r>
      <w:r>
        <w:rPr>
          <w:i/>
        </w:rPr>
        <w:t>Modim</w:t>
      </w:r>
      <w:r>
        <w:t>.</w:t>
      </w:r>
      <w:r>
        <w:rPr>
          <w:color w:val="B8860B"/>
          <w:sz w:val="16"/>
          <w:vertAlign w:val="superscript"/>
        </w:rPr>
        <w:t>[26]</w:t>
      </w:r>
    </w:p>
    <w:p>
      <w:r>
        <w:rPr>
          <w:i/>
          <w:color w:val="B8860B"/>
          <w:sz w:val="24"/>
        </w:rPr>
        <w:t>The Three-Year-Old’sBerachos</w:t>
      </w:r>
    </w:p>
    <w:p>
      <w:r>
        <w:t xml:space="preserve">One should therefore have </w:t>
      </w:r>
      <w:r>
        <w:rPr>
          <w:i/>
        </w:rPr>
        <w:t>kavanah</w:t>
      </w:r>
      <w:r>
        <w:t xml:space="preserve"> at </w:t>
      </w:r>
      <w:r>
        <w:rPr>
          <w:i/>
        </w:rPr>
        <w:t>“l’dor va-dor”</w:t>
      </w:r>
      <w:r>
        <w:t xml:space="preserve">: although there is no explicit </w:t>
      </w:r>
      <w:r>
        <w:rPr>
          <w:i/>
        </w:rPr>
        <w:t>berachah</w:t>
      </w:r>
      <w:r>
        <w:t xml:space="preserve"> for children, the </w:t>
      </w:r>
      <w:r>
        <w:rPr>
          <w:i/>
        </w:rPr>
        <w:t>tefillah</w:t>
      </w:r>
      <w:r>
        <w:t xml:space="preserve"> is held in those words — the generations continuing; </w:t>
      </w:r>
      <w:r>
        <w:rPr>
          <w:i/>
        </w:rPr>
        <w:t>nachas</w:t>
      </w:r>
      <w:r>
        <w:t xml:space="preserve"> from them; the chain unbroken.</w:t>
      </w:r>
    </w:p>
    <w:p>
      <w:r>
        <w:rPr>
          <w:b/>
          <w:color w:val="1E3A8A"/>
          <w:sz w:val="26"/>
        </w:rPr>
        <w:t>XI. EPILOGUE</w:t>
      </w:r>
    </w:p>
    <w:p>
      <w:pPr>
        <w:pBdr>
          <w:bottom w:val="single" w:sz="6" w:space="1" w:color="B8860B"/>
        </w:pBdr>
      </w:pPr>
    </w:p>
    <w:p>
      <w:r>
        <w:t xml:space="preserve">From </w:t>
      </w:r>
      <w:r>
        <w:rPr>
          <w:i/>
        </w:rPr>
        <w:t>Tefillas Nachem</w:t>
      </w:r>
      <w:r>
        <w:t xml:space="preserve"> at </w:t>
      </w:r>
      <w:r>
        <w:rPr>
          <w:i/>
        </w:rPr>
        <w:t>Minchah</w:t>
      </w:r>
      <w:r>
        <w:t xml:space="preserve"> of </w:t>
      </w:r>
      <w:r>
        <w:rPr>
          <w:i/>
        </w:rPr>
        <w:t>Tisha B’Av</w:t>
      </w:r>
      <w:r>
        <w:t xml:space="preserve">, where the mourning of a year rises in a single </w:t>
      </w:r>
      <w:r>
        <w:rPr>
          <w:i/>
        </w:rPr>
        <w:t>chasimah</w:t>
      </w:r>
      <w:r>
        <w:t xml:space="preserve">; through </w:t>
      </w:r>
      <w:r>
        <w:rPr>
          <w:i/>
        </w:rPr>
        <w:t>Modim</w:t>
      </w:r>
      <w:r>
        <w:t xml:space="preserve">, where the body bows to acknowledge what the mind already knows; into </w:t>
      </w:r>
      <w:r>
        <w:rPr>
          <w:i/>
        </w:rPr>
        <w:t>“l’dor va-dor,”</w:t>
      </w:r>
      <w:r>
        <w:t xml:space="preserve"> where every Jew prays for the children he has and the children he has not yet had — </w:t>
      </w:r>
      <w:r>
        <w:rPr>
          <w:i/>
        </w:rPr>
        <w:t>tefillah</w:t>
      </w:r>
      <w:r>
        <w:t xml:space="preserve"> follows a single arc: </w:t>
      </w:r>
      <w:r>
        <w:rPr>
          <w:i/>
        </w:rPr>
        <w:t>churban</w:t>
      </w:r>
      <w:r>
        <w:t xml:space="preserve"> answered by </w:t>
      </w:r>
      <w:r>
        <w:rPr>
          <w:i/>
        </w:rPr>
        <w:t>nechamah</w:t>
      </w:r>
      <w:r>
        <w:t xml:space="preserve">; </w:t>
      </w:r>
      <w:r>
        <w:rPr>
          <w:i/>
        </w:rPr>
        <w:t>kafui tov</w:t>
      </w:r>
      <w:r>
        <w:t xml:space="preserve"> answered by </w:t>
      </w:r>
      <w:r>
        <w:rPr>
          <w:i/>
        </w:rPr>
        <w:t>hakaras ha-tov</w:t>
      </w:r>
      <w:r>
        <w:t xml:space="preserve"> (</w:t>
      </w:r>
      <w:r>
        <w:rPr>
          <w:rFonts w:ascii="David" w:hAnsi="David"/>
        </w:rPr>
        <w:t>הכרת הטוב</w:t>
      </w:r>
      <w:r>
        <w:t xml:space="preserve">); a broken generation answered by a faithful one. </w:t>
      </w:r>
      <w:r>
        <w:rPr>
          <w:i/>
        </w:rPr>
        <w:t>B’ezras Hashem</w:t>
      </w:r>
      <w:r>
        <w:t xml:space="preserve"> (</w:t>
      </w:r>
      <w:r>
        <w:rPr>
          <w:rFonts w:ascii="David" w:hAnsi="David"/>
        </w:rPr>
        <w:t>בעזרת ה'</w:t>
      </w:r>
      <w:r>
        <w:t xml:space="preserve">), may we be privileged to hear </w:t>
      </w:r>
      <w:r>
        <w:rPr>
          <w:i/>
        </w:rPr>
        <w:t>besoros tovos</w:t>
      </w:r>
      <w:r>
        <w:t xml:space="preserve"> (</w:t>
      </w:r>
      <w:r>
        <w:rPr>
          <w:rFonts w:ascii="David" w:hAnsi="David"/>
        </w:rPr>
        <w:t>בשורות טובות</w:t>
      </w:r>
      <w:r>
        <w:t>) very soon.</w:t>
      </w:r>
    </w:p>
    <w:p>
      <w:pPr>
        <w:pBdr>
          <w:bottom w:val="single" w:sz="6" w:space="1" w:color="B8860B"/>
        </w:pBdr>
      </w:pPr>
    </w:p>
    <w:p>
      <w:r>
        <w:rPr>
          <w:rFonts w:ascii="David" w:hAnsi="David"/>
          <w:b/>
          <w:color w:val="1E3A8A"/>
          <w:sz w:val="26"/>
        </w:rPr>
        <w:t>מראה מקומות·  MAREH MEKOMOS</w:t>
      </w:r>
    </w:p>
    <w:p>
      <w:r>
        <w:rPr>
          <w:b/>
          <w:color w:val="1E3A8A"/>
        </w:rPr>
        <w:t xml:space="preserve">1. </w:t>
      </w:r>
    </w:p>
    <w:p>
      <w:pPr>
        <w:ind w:left="432"/>
      </w:pPr>
      <w:r>
        <w:rPr>
          <w:b/>
          <w:color w:val="D4A017"/>
          <w:sz w:val="18"/>
        </w:rPr>
        <w:t xml:space="preserve">[Note] </w:t>
      </w:r>
      <w:r>
        <w:rPr>
          <w:b/>
          <w:color w:val="5A4B1A"/>
          <w:sz w:val="18"/>
        </w:rPr>
        <w:t>Rabbi Yonasan Eibeschutz</w:t>
      </w:r>
      <w:r>
        <w:rPr>
          <w:color w:val="5A4B1A"/>
          <w:sz w:val="18"/>
        </w:rPr>
        <w:t xml:space="preserve"> (</w:t>
      </w:r>
      <w:r>
        <w:rPr>
          <w:rFonts w:ascii="David" w:hAnsi="David"/>
          <w:color w:val="5A4B1A"/>
          <w:sz w:val="18"/>
        </w:rPr>
        <w:t>רבי יונתן אייבשיץ</w:t>
      </w:r>
      <w:r>
        <w:rPr>
          <w:color w:val="5A4B1A"/>
          <w:sz w:val="18"/>
        </w:rPr>
        <w:t xml:space="preserve">, c. 1690–1764; rabbi of Prague, Metz, and Altona-Hamburg-Wandsbek; author of </w:t>
      </w:r>
      <w:r>
        <w:rPr>
          <w:i/>
          <w:color w:val="5A4B1A"/>
          <w:sz w:val="18"/>
        </w:rPr>
        <w:t>Ye’aros Devash</w:t>
      </w:r>
      <w:r>
        <w:rPr>
          <w:color w:val="5A4B1A"/>
          <w:sz w:val="18"/>
        </w:rPr>
        <w:t xml:space="preserve">, </w:t>
      </w:r>
      <w:r>
        <w:rPr>
          <w:rFonts w:ascii="David" w:hAnsi="David"/>
          <w:color w:val="5A4B1A"/>
          <w:sz w:val="18"/>
        </w:rPr>
        <w:t>יערות דבש</w:t>
      </w:r>
      <w:r>
        <w:rPr>
          <w:color w:val="5A4B1A"/>
          <w:sz w:val="18"/>
        </w:rPr>
        <w:t xml:space="preserve">, and many other works) — the </w:t>
      </w:r>
      <w:r>
        <w:rPr>
          <w:i/>
          <w:color w:val="5A4B1A"/>
          <w:sz w:val="18"/>
        </w:rPr>
        <w:t>ma’aseh</w:t>
      </w:r>
      <w:r>
        <w:rPr>
          <w:color w:val="5A4B1A"/>
          <w:sz w:val="18"/>
        </w:rPr>
        <w:t xml:space="preserve"> of the bear taught to turn the pages of a </w:t>
      </w:r>
      <w:r>
        <w:rPr>
          <w:i/>
          <w:color w:val="5A4B1A"/>
          <w:sz w:val="18"/>
        </w:rPr>
        <w:t>siddur</w:t>
      </w:r>
      <w:r>
        <w:rPr>
          <w:color w:val="5A4B1A"/>
          <w:sz w:val="18"/>
        </w:rPr>
        <w:t xml:space="preserve"> by means of honey circulates in oral and printed </w:t>
      </w:r>
      <w:r>
        <w:rPr>
          <w:i/>
          <w:color w:val="5A4B1A"/>
          <w:sz w:val="18"/>
        </w:rPr>
        <w:t>chassidic</w:t>
      </w:r>
      <w:r>
        <w:rPr>
          <w:color w:val="5A4B1A"/>
          <w:sz w:val="18"/>
        </w:rPr>
        <w:t xml:space="preserve">-influenced sources as a paradigmatic </w:t>
      </w:r>
      <w:r>
        <w:rPr>
          <w:i/>
          <w:color w:val="5A4B1A"/>
          <w:sz w:val="18"/>
        </w:rPr>
        <w:t>mashal</w:t>
      </w:r>
      <w:r>
        <w:rPr>
          <w:color w:val="5A4B1A"/>
          <w:sz w:val="18"/>
        </w:rPr>
        <w:t xml:space="preserve">. </w:t>
      </w:r>
      <w:r>
        <w:rPr>
          <w:i/>
          <w:color w:val="5A4B1A"/>
          <w:sz w:val="18"/>
        </w:rPr>
        <w:t>Caveat:</w:t>
      </w:r>
      <w:r>
        <w:rPr>
          <w:color w:val="5A4B1A"/>
          <w:sz w:val="18"/>
        </w:rPr>
        <w:t xml:space="preserve"> the attribution of the story itself to </w:t>
      </w:r>
      <w:r>
        <w:rPr>
          <w:i/>
          <w:color w:val="5A4B1A"/>
          <w:sz w:val="18"/>
        </w:rPr>
        <w:t>Rabbi Yonasan</w:t>
      </w:r>
      <w:r>
        <w:rPr>
          <w:color w:val="5A4B1A"/>
          <w:sz w:val="18"/>
        </w:rPr>
        <w:t xml:space="preserve"> is not established by any source known to this edition; the Rav himself introduced it with the remark that one should not let the truth interfere with a good story. It is retained here as a </w:t>
      </w:r>
      <w:r>
        <w:rPr>
          <w:i/>
          <w:color w:val="5A4B1A"/>
          <w:sz w:val="18"/>
        </w:rPr>
        <w:t>mashal</w:t>
      </w:r>
      <w:r>
        <w:rPr>
          <w:color w:val="5A4B1A"/>
          <w:sz w:val="18"/>
        </w:rPr>
        <w:t>, not as a documented episode.</w:t>
      </w:r>
    </w:p>
    <w:p>
      <w:r>
        <w:rPr>
          <w:b/>
          <w:color w:val="1E3A8A"/>
        </w:rPr>
        <w:t xml:space="preserve">2. </w:t>
      </w:r>
      <w:r>
        <w:rPr>
          <w:b/>
          <w:i/>
          <w:color w:val="1E3A8A"/>
        </w:rPr>
        <w:t>Yerushalmi Berachos</w:t>
      </w:r>
      <w:r>
        <w:rPr>
          <w:b/>
          <w:color w:val="1E3A8A"/>
        </w:rPr>
        <w:t xml:space="preserve"> 4:3; </w:t>
      </w:r>
      <w:r>
        <w:rPr>
          <w:b/>
          <w:i/>
          <w:color w:val="1E3A8A"/>
        </w:rPr>
        <w:t>Yerushalmi Taanis</w:t>
      </w:r>
      <w:r>
        <w:rPr>
          <w:b/>
          <w:color w:val="1E3A8A"/>
        </w:rPr>
        <w:t xml:space="preserve"> 2:2 — the individual’s </w:t>
      </w:r>
      <w:r>
        <w:rPr>
          <w:b/>
          <w:i/>
          <w:color w:val="1E3A8A"/>
        </w:rPr>
        <w:t>me’ein ha-me’ora</w:t>
      </w:r>
      <w:r>
        <w:rPr>
          <w:b/>
          <w:color w:val="1E3A8A"/>
        </w:rPr>
        <w:t xml:space="preserve"> on </w:t>
      </w:r>
      <w:r>
        <w:rPr>
          <w:b/>
          <w:i/>
          <w:color w:val="1E3A8A"/>
        </w:rPr>
        <w:t>Tisha B’Av</w:t>
      </w:r>
      <w:r>
        <w:rPr>
          <w:b/>
          <w:color w:val="1E3A8A"/>
        </w:rPr>
        <w:t xml:space="preserve">; </w:t>
      </w:r>
      <w:r>
        <w:rPr>
          <w:b/>
          <w:i/>
          <w:color w:val="1E3A8A"/>
        </w:rPr>
        <w:t>Rav Muna</w:t>
      </w:r>
      <w:r>
        <w:rPr>
          <w:b/>
          <w:color w:val="1E3A8A"/>
        </w:rPr>
        <w:t>’s rule.</w:t>
      </w:r>
      <w:r>
        <w:t xml:space="preserve"> </w:t>
      </w:r>
      <w:r>
        <w:t xml:space="preserve">— In </w:t>
      </w:r>
      <w:r>
        <w:rPr>
          <w:i/>
        </w:rPr>
        <w:t>Yerushalmi Berachos</w:t>
      </w:r>
      <w:r>
        <w:t xml:space="preserve"> 4:3 (and in the parallel passage in </w:t>
      </w:r>
      <w:r>
        <w:rPr>
          <w:i/>
        </w:rPr>
        <w:t>Taanis</w:t>
      </w:r>
      <w:r>
        <w:t xml:space="preserve"> 2:2), </w:t>
      </w:r>
      <w:r>
        <w:rPr>
          <w:i/>
        </w:rPr>
        <w:t>Rabbi Acha bar Yitzchak</w:t>
      </w:r>
      <w:r>
        <w:t xml:space="preserve"> reports in the name of </w:t>
      </w:r>
      <w:r>
        <w:rPr>
          <w:i/>
        </w:rPr>
        <w:t>Rabbi Chunah Rubah of Tzippori</w:t>
      </w:r>
      <w:r>
        <w:t xml:space="preserve"> that an individual on </w:t>
      </w:r>
      <w:r>
        <w:rPr>
          <w:i/>
        </w:rPr>
        <w:t>Tisha B’Av</w:t>
      </w:r>
      <w:r>
        <w:t xml:space="preserve"> must mention the </w:t>
      </w:r>
      <w:r>
        <w:rPr>
          <w:i/>
        </w:rPr>
        <w:t>me’ein ha-me’ora</w:t>
      </w:r>
      <w:r>
        <w:t xml:space="preserve">, and the passage gives its text — a precursor of our </w:t>
      </w:r>
      <w:r>
        <w:rPr>
          <w:i/>
        </w:rPr>
        <w:t>Nachem</w:t>
      </w:r>
      <w:r>
        <w:t xml:space="preserve">, beginning </w:t>
      </w:r>
      <w:r>
        <w:rPr>
          <w:rFonts w:ascii="David" w:hAnsi="David"/>
        </w:rPr>
        <w:t>רחם ה' אלהינו</w:t>
      </w:r>
      <w:r>
        <w:t xml:space="preserve"> and ending (in </w:t>
      </w:r>
      <w:r>
        <w:rPr>
          <w:i/>
        </w:rPr>
        <w:t>Berachos</w:t>
      </w:r>
      <w:r>
        <w:t xml:space="preserve">) </w:t>
      </w:r>
      <w:r>
        <w:rPr>
          <w:rFonts w:ascii="David" w:hAnsi="David"/>
        </w:rPr>
        <w:t>כי באש היצתה ובאש אתה עתיד לבנותה</w:t>
      </w:r>
      <w:r>
        <w:t xml:space="preserve">. There follows the question of </w:t>
      </w:r>
      <w:r>
        <w:rPr>
          <w:i/>
        </w:rPr>
        <w:t>Rabbi Avdima of Tzippori</w:t>
      </w:r>
      <w:r>
        <w:t xml:space="preserve"> before </w:t>
      </w:r>
      <w:r>
        <w:rPr>
          <w:i/>
        </w:rPr>
        <w:t>Rabbi Mana</w:t>
      </w:r>
      <w:r>
        <w:t xml:space="preserve"> (</w:t>
      </w:r>
      <w:r>
        <w:rPr>
          <w:i/>
        </w:rPr>
        <w:t>Rav Muna</w:t>
      </w:r>
      <w:r>
        <w:t xml:space="preserve">): where is it said? </w:t>
      </w:r>
      <w:r>
        <w:rPr>
          <w:i/>
        </w:rPr>
        <w:t>Rabbi Mana</w:t>
      </w:r>
      <w:r>
        <w:t xml:space="preserve"> answers with the rule </w:t>
      </w:r>
      <w:r>
        <w:rPr>
          <w:rFonts w:ascii="David" w:hAnsi="David"/>
        </w:rPr>
        <w:t>כל דבר שהוא לבא אומרה בעבודה, וכל דבר שהוא לשעבר אומרה בהודאה</w:t>
      </w:r>
      <w:r>
        <w:t xml:space="preserve">; in </w:t>
      </w:r>
      <w:r>
        <w:rPr>
          <w:i/>
        </w:rPr>
        <w:t>Taanis</w:t>
      </w:r>
      <w:r>
        <w:t xml:space="preserve"> he cites it in the name of </w:t>
      </w:r>
      <w:r>
        <w:rPr>
          <w:i/>
        </w:rPr>
        <w:t>Rav Yirmiyah</w:t>
      </w:r>
      <w:r>
        <w:t xml:space="preserve"> in the name of </w:t>
      </w:r>
      <w:r>
        <w:rPr>
          <w:i/>
        </w:rPr>
        <w:t>Rav</w:t>
      </w:r>
      <w:r>
        <w:t xml:space="preserve">. The same </w:t>
      </w:r>
      <w:r>
        <w:rPr>
          <w:i/>
        </w:rPr>
        <w:t>Yerushalmi</w:t>
      </w:r>
      <w:r>
        <w:t xml:space="preserve"> passage (</w:t>
      </w:r>
      <w:r>
        <w:rPr>
          <w:i/>
        </w:rPr>
        <w:t>Berachos</w:t>
      </w:r>
      <w:r>
        <w:t xml:space="preserve"> 4:3, in the name of </w:t>
      </w:r>
      <w:r>
        <w:rPr>
          <w:i/>
        </w:rPr>
        <w:t>Rabbi Simon</w:t>
      </w:r>
      <w:r>
        <w:t xml:space="preserve">) also ties the eighteen </w:t>
      </w:r>
      <w:r>
        <w:rPr>
          <w:i/>
        </w:rPr>
        <w:t>berachos</w:t>
      </w:r>
      <w:r>
        <w:t xml:space="preserve"> to the eighteen vertebrae of the spine and cites </w:t>
      </w:r>
      <w:r>
        <w:rPr>
          <w:i/>
        </w:rPr>
        <w:t>“kol atzmosai tomarnah Hashem mi chamocha”</w:t>
      </w:r>
      <w:r>
        <w:t xml:space="preserve"> as the ground for bowing through all of them — a source we shall meet again in the discussion of </w:t>
      </w:r>
      <w:r>
        <w:rPr>
          <w:i/>
        </w:rPr>
        <w:t>Modim</w:t>
      </w:r>
      <w:r>
        <w:t>. (Verified against Sefaria.)</w:t>
      </w:r>
    </w:p>
    <w:p>
      <w:pPr>
        <w:ind w:left="432"/>
      </w:pPr>
      <w:r>
        <w:rPr>
          <w:b/>
          <w:color w:val="D4A017"/>
          <w:sz w:val="18"/>
        </w:rPr>
        <w:t xml:space="preserve">[Note] </w:t>
      </w:r>
      <w:r>
        <w:rPr>
          <w:b/>
          <w:color w:val="5A4B1A"/>
          <w:sz w:val="18"/>
        </w:rPr>
        <w:t>Flag:</w:t>
      </w:r>
      <w:r>
        <w:rPr>
          <w:color w:val="5A4B1A"/>
          <w:sz w:val="18"/>
        </w:rPr>
        <w:t xml:space="preserve"> The </w:t>
      </w:r>
      <w:r>
        <w:rPr>
          <w:i/>
          <w:color w:val="5A4B1A"/>
          <w:sz w:val="18"/>
        </w:rPr>
        <w:t>Rav Muna</w:t>
      </w:r>
      <w:r>
        <w:rPr>
          <w:color w:val="5A4B1A"/>
          <w:sz w:val="18"/>
        </w:rPr>
        <w:t xml:space="preserve"> biographical description given in the delivered text (that he was </w:t>
      </w:r>
      <w:r>
        <w:rPr>
          <w:i/>
          <w:color w:val="5A4B1A"/>
          <w:sz w:val="18"/>
        </w:rPr>
        <w:t>rosh yeshivah</w:t>
      </w:r>
      <w:r>
        <w:rPr>
          <w:color w:val="5A4B1A"/>
          <w:sz w:val="18"/>
        </w:rPr>
        <w:t xml:space="preserve"> in Tzippori, and </w:t>
      </w:r>
      <w:r>
        <w:rPr>
          <w:i/>
          <w:color w:val="5A4B1A"/>
          <w:sz w:val="18"/>
        </w:rPr>
        <w:t>Rabbi Avdima</w:t>
      </w:r>
      <w:r>
        <w:rPr>
          <w:color w:val="5A4B1A"/>
          <w:sz w:val="18"/>
        </w:rPr>
        <w:t xml:space="preserve"> his </w:t>
      </w:r>
      <w:r>
        <w:rPr>
          <w:i/>
          <w:color w:val="5A4B1A"/>
          <w:sz w:val="18"/>
        </w:rPr>
        <w:t>talmid</w:t>
      </w:r>
      <w:r>
        <w:rPr>
          <w:color w:val="5A4B1A"/>
          <w:sz w:val="18"/>
        </w:rPr>
        <w:t>) was not confirmed in the source text and is omitted.</w:t>
      </w:r>
    </w:p>
    <w:p>
      <w:r>
        <w:rPr>
          <w:b/>
          <w:color w:val="1E3A8A"/>
        </w:rPr>
        <w:t xml:space="preserve">3. </w:t>
      </w:r>
      <w:r>
        <w:rPr>
          <w:b/>
          <w:i/>
          <w:color w:val="1E3A8A"/>
        </w:rPr>
        <w:t>Siddur Rav Saadia Gaon</w:t>
      </w:r>
      <w:r>
        <w:rPr>
          <w:b/>
          <w:color w:val="1E3A8A"/>
        </w:rPr>
        <w:t xml:space="preserve"> — the saying of </w:t>
      </w:r>
      <w:r>
        <w:rPr>
          <w:b/>
          <w:i/>
          <w:color w:val="1E3A8A"/>
        </w:rPr>
        <w:t>Nachem</w:t>
      </w:r>
      <w:r>
        <w:rPr>
          <w:b/>
          <w:color w:val="1E3A8A"/>
        </w:rPr>
        <w:t xml:space="preserve"> despite the silence of the </w:t>
      </w:r>
      <w:r>
        <w:rPr>
          <w:b/>
          <w:i/>
          <w:color w:val="1E3A8A"/>
        </w:rPr>
        <w:t>Bavli</w:t>
      </w:r>
      <w:r>
        <w:rPr>
          <w:b/>
          <w:color w:val="1E3A8A"/>
        </w:rPr>
        <w:t>.</w:t>
      </w:r>
      <w:r>
        <w:t xml:space="preserve"> </w:t>
      </w:r>
      <w:r>
        <w:t xml:space="preserve">— </w:t>
      </w:r>
      <w:r>
        <w:rPr>
          <w:i/>
        </w:rPr>
        <w:t>Rav Saadia Gaon</w:t>
      </w:r>
      <w:r>
        <w:t xml:space="preserve"> (882–942, head of the academy of </w:t>
      </w:r>
      <w:r>
        <w:rPr>
          <w:i/>
        </w:rPr>
        <w:t>Sura</w:t>
      </w:r>
      <w:r>
        <w:t xml:space="preserve">) is reported to have addressed the absence of </w:t>
      </w:r>
      <w:r>
        <w:rPr>
          <w:i/>
        </w:rPr>
        <w:t>Nachem</w:t>
      </w:r>
      <w:r>
        <w:t xml:space="preserve"> from the </w:t>
      </w:r>
      <w:r>
        <w:rPr>
          <w:i/>
        </w:rPr>
        <w:t>Bavli</w:t>
      </w:r>
      <w:r>
        <w:t xml:space="preserve">: the </w:t>
      </w:r>
      <w:r>
        <w:rPr>
          <w:i/>
        </w:rPr>
        <w:t>Yerushalmi</w:t>
      </w:r>
      <w:r>
        <w:t xml:space="preserve"> records it and the </w:t>
      </w:r>
      <w:r>
        <w:rPr>
          <w:i/>
        </w:rPr>
        <w:t>bnei Eretz Yisrael</w:t>
      </w:r>
      <w:r>
        <w:t xml:space="preserve"> recite it, and </w:t>
      </w:r>
      <w:r>
        <w:rPr>
          <w:i/>
        </w:rPr>
        <w:t>“ein hefsed b’amiraso.”</w:t>
      </w:r>
    </w:p>
    <w:p>
      <w:pPr>
        <w:ind w:left="432"/>
      </w:pPr>
      <w:r>
        <w:rPr>
          <w:b/>
          <w:color w:val="D4A017"/>
          <w:sz w:val="18"/>
        </w:rPr>
        <w:t xml:space="preserve">[Note] </w:t>
      </w:r>
      <w:r>
        <w:rPr>
          <w:b/>
          <w:color w:val="5A4B1A"/>
          <w:sz w:val="18"/>
        </w:rPr>
        <w:t>Flag:</w:t>
      </w:r>
      <w:r>
        <w:rPr>
          <w:color w:val="5A4B1A"/>
          <w:sz w:val="18"/>
        </w:rPr>
        <w:t xml:space="preserve"> </w:t>
      </w:r>
      <w:r>
        <w:rPr>
          <w:i/>
          <w:color w:val="5A4B1A"/>
          <w:sz w:val="18"/>
        </w:rPr>
        <w:t>Sefaria verification:</w:t>
      </w:r>
      <w:r>
        <w:rPr>
          <w:color w:val="5A4B1A"/>
          <w:sz w:val="18"/>
        </w:rPr>
        <w:t xml:space="preserve"> the phrase </w:t>
      </w:r>
      <w:r>
        <w:rPr>
          <w:rFonts w:ascii="David" w:hAnsi="David"/>
          <w:color w:val="5A4B1A"/>
          <w:sz w:val="18"/>
        </w:rPr>
        <w:t>אין הפסד באמירתו</w:t>
      </w:r>
      <w:r>
        <w:rPr>
          <w:color w:val="5A4B1A"/>
          <w:sz w:val="18"/>
        </w:rPr>
        <w:t xml:space="preserve"> and the stated position of </w:t>
      </w:r>
      <w:r>
        <w:rPr>
          <w:i/>
          <w:color w:val="5A4B1A"/>
          <w:sz w:val="18"/>
        </w:rPr>
        <w:t>Rav Saadia</w:t>
      </w:r>
      <w:r>
        <w:rPr>
          <w:color w:val="5A4B1A"/>
          <w:sz w:val="18"/>
        </w:rPr>
        <w:t xml:space="preserve"> could not be located. What Sefaria does record (</w:t>
      </w:r>
      <w:r>
        <w:rPr>
          <w:i/>
          <w:color w:val="5A4B1A"/>
          <w:sz w:val="18"/>
        </w:rPr>
        <w:t>Beis Yosef</w:t>
      </w:r>
      <w:r>
        <w:rPr>
          <w:color w:val="5A4B1A"/>
          <w:sz w:val="18"/>
        </w:rPr>
        <w:t xml:space="preserve">, </w:t>
      </w:r>
      <w:r>
        <w:rPr>
          <w:i/>
          <w:color w:val="5A4B1A"/>
          <w:sz w:val="18"/>
        </w:rPr>
        <w:t>Orach Chayim</w:t>
      </w:r>
      <w:r>
        <w:rPr>
          <w:color w:val="5A4B1A"/>
          <w:sz w:val="18"/>
        </w:rPr>
        <w:t xml:space="preserve"> 557, citing the </w:t>
      </w:r>
      <w:r>
        <w:rPr>
          <w:i/>
          <w:color w:val="5A4B1A"/>
          <w:sz w:val="18"/>
        </w:rPr>
        <w:t>Avudraham</w:t>
      </w:r>
      <w:r>
        <w:rPr>
          <w:color w:val="5A4B1A"/>
          <w:sz w:val="18"/>
        </w:rPr>
        <w:t xml:space="preserve">) is that </w:t>
      </w:r>
      <w:r>
        <w:rPr>
          <w:i/>
          <w:color w:val="5A4B1A"/>
          <w:sz w:val="18"/>
        </w:rPr>
        <w:t>Rav Amram</w:t>
      </w:r>
      <w:r>
        <w:rPr>
          <w:color w:val="5A4B1A"/>
          <w:sz w:val="18"/>
        </w:rPr>
        <w:t xml:space="preserve"> and </w:t>
      </w:r>
      <w:r>
        <w:rPr>
          <w:i/>
          <w:color w:val="5A4B1A"/>
          <w:sz w:val="18"/>
        </w:rPr>
        <w:t>Rav Saadia</w:t>
      </w:r>
      <w:r>
        <w:rPr>
          <w:color w:val="5A4B1A"/>
          <w:sz w:val="18"/>
        </w:rPr>
        <w:t xml:space="preserve"> differed, and that the practice spread in accordance with </w:t>
      </w:r>
      <w:r>
        <w:rPr>
          <w:i/>
          <w:color w:val="5A4B1A"/>
          <w:sz w:val="18"/>
        </w:rPr>
        <w:t>Rav Saadia</w:t>
      </w:r>
      <w:r>
        <w:rPr>
          <w:color w:val="5A4B1A"/>
          <w:sz w:val="18"/>
        </w:rPr>
        <w:t xml:space="preserve"> that </w:t>
      </w:r>
      <w:r>
        <w:rPr>
          <w:i/>
          <w:color w:val="5A4B1A"/>
          <w:sz w:val="18"/>
        </w:rPr>
        <w:t>Nachem</w:t>
      </w:r>
      <w:r>
        <w:rPr>
          <w:color w:val="5A4B1A"/>
          <w:sz w:val="18"/>
        </w:rPr>
        <w:t xml:space="preserve"> is said only at </w:t>
      </w:r>
      <w:r>
        <w:rPr>
          <w:i/>
          <w:color w:val="5A4B1A"/>
          <w:sz w:val="18"/>
        </w:rPr>
        <w:t>Minchah</w:t>
      </w:r>
      <w:r>
        <w:rPr>
          <w:color w:val="5A4B1A"/>
          <w:sz w:val="18"/>
        </w:rPr>
        <w:t xml:space="preserve">. To be checked against the </w:t>
      </w:r>
      <w:r>
        <w:rPr>
          <w:i/>
          <w:color w:val="5A4B1A"/>
          <w:sz w:val="18"/>
        </w:rPr>
        <w:t>Siddur Rav Saadia Gaon</w:t>
      </w:r>
      <w:r>
        <w:rPr>
          <w:color w:val="5A4B1A"/>
          <w:sz w:val="18"/>
        </w:rPr>
        <w:t xml:space="preserve"> itself.</w:t>
      </w:r>
    </w:p>
    <w:p>
      <w:r>
        <w:rPr>
          <w:b/>
          <w:color w:val="1E3A8A"/>
        </w:rPr>
        <w:t xml:space="preserve">4. </w:t>
      </w:r>
      <w:r>
        <w:rPr>
          <w:b/>
          <w:i/>
          <w:color w:val="1E3A8A"/>
        </w:rPr>
        <w:t>Beis Yosef</w:t>
      </w:r>
      <w:r>
        <w:rPr>
          <w:b/>
          <w:color w:val="1E3A8A"/>
        </w:rPr>
        <w:t xml:space="preserve"> and </w:t>
      </w:r>
      <w:r>
        <w:rPr>
          <w:b/>
          <w:i/>
          <w:color w:val="1E3A8A"/>
        </w:rPr>
        <w:t>Taz</w:t>
      </w:r>
      <w:r>
        <w:rPr>
          <w:b/>
          <w:color w:val="1E3A8A"/>
        </w:rPr>
        <w:t xml:space="preserve"> on </w:t>
      </w:r>
      <w:r>
        <w:rPr>
          <w:b/>
          <w:i/>
          <w:color w:val="1E3A8A"/>
        </w:rPr>
        <w:t>Orach Chayim</w:t>
      </w:r>
      <w:r>
        <w:rPr>
          <w:b/>
          <w:color w:val="1E3A8A"/>
        </w:rPr>
        <w:t xml:space="preserve"> 557 — whether </w:t>
      </w:r>
      <w:r>
        <w:rPr>
          <w:b/>
          <w:i/>
          <w:color w:val="1E3A8A"/>
        </w:rPr>
        <w:t>Nachem</w:t>
      </w:r>
      <w:r>
        <w:rPr>
          <w:b/>
          <w:color w:val="1E3A8A"/>
        </w:rPr>
        <w:t xml:space="preserve"> belongs to the past or the future.</w:t>
      </w:r>
      <w:r>
        <w:t xml:space="preserve"> </w:t>
      </w:r>
      <w:r>
        <w:t xml:space="preserve">— The question appears in the </w:t>
      </w:r>
      <w:r>
        <w:rPr>
          <w:i/>
        </w:rPr>
        <w:t>Taz</w:t>
      </w:r>
      <w:r>
        <w:t xml:space="preserve"> on </w:t>
      </w:r>
      <w:r>
        <w:rPr>
          <w:i/>
        </w:rPr>
        <w:t>Shulchan Aruch</w:t>
      </w:r>
      <w:r>
        <w:t xml:space="preserve"> </w:t>
      </w:r>
      <w:r>
        <w:rPr>
          <w:i/>
        </w:rPr>
        <w:t>Orach Chayim</w:t>
      </w:r>
      <w:r>
        <w:t xml:space="preserve"> 557:1, who cites the </w:t>
      </w:r>
      <w:r>
        <w:rPr>
          <w:i/>
        </w:rPr>
        <w:t>Beis Yosef</w:t>
      </w:r>
      <w:r>
        <w:t xml:space="preserve"> citing the </w:t>
      </w:r>
      <w:r>
        <w:rPr>
          <w:i/>
        </w:rPr>
        <w:t>Avudraham</w:t>
      </w:r>
      <w:r>
        <w:t xml:space="preserve"> that a forgotten </w:t>
      </w:r>
      <w:r>
        <w:rPr>
          <w:i/>
        </w:rPr>
        <w:t>Nachem</w:t>
      </w:r>
      <w:r>
        <w:t xml:space="preserve"> is said in </w:t>
      </w:r>
      <w:r>
        <w:rPr>
          <w:i/>
        </w:rPr>
        <w:t>Hoda’ah</w:t>
      </w:r>
      <w:r>
        <w:t xml:space="preserve"> (</w:t>
      </w:r>
      <w:r>
        <w:rPr>
          <w:i/>
        </w:rPr>
        <w:t>Modim</w:t>
      </w:r>
      <w:r>
        <w:t xml:space="preserve">), and who objects that, since </w:t>
      </w:r>
      <w:r>
        <w:rPr>
          <w:i/>
        </w:rPr>
        <w:t>Nachem</w:t>
      </w:r>
      <w:r>
        <w:t xml:space="preserve"> concerns the future, the reading </w:t>
      </w:r>
      <w:r>
        <w:rPr>
          <w:rFonts w:ascii="David" w:hAnsi="David"/>
        </w:rPr>
        <w:t>הודאה</w:t>
      </w:r>
      <w:r>
        <w:t xml:space="preserve"> must be a misprint for </w:t>
      </w:r>
      <w:r>
        <w:rPr>
          <w:rFonts w:ascii="David" w:hAnsi="David"/>
        </w:rPr>
        <w:t>עבודה</w:t>
      </w:r>
      <w:r>
        <w:t xml:space="preserve"> (</w:t>
      </w:r>
      <w:r>
        <w:rPr>
          <w:i/>
        </w:rPr>
        <w:t>Retzei</w:t>
      </w:r>
      <w:r>
        <w:t xml:space="preserve">). The </w:t>
      </w:r>
      <w:r>
        <w:rPr>
          <w:i/>
        </w:rPr>
        <w:t>Beis Yosef</w:t>
      </w:r>
      <w:r>
        <w:t xml:space="preserve"> has the former in the name of </w:t>
      </w:r>
      <w:r>
        <w:rPr>
          <w:i/>
        </w:rPr>
        <w:t>Rabbeinu Gershom bar Shlomo</w:t>
      </w:r>
      <w:r>
        <w:t>. This is the textual form of the dispute “past or future.”</w:t>
      </w:r>
    </w:p>
    <w:p>
      <w:r>
        <w:rPr>
          <w:b/>
          <w:color w:val="1E3A8A"/>
        </w:rPr>
        <w:t xml:space="preserve">5. </w:t>
      </w:r>
      <w:r>
        <w:rPr>
          <w:b/>
          <w:i/>
          <w:color w:val="1E3A8A"/>
        </w:rPr>
        <w:t>Rif</w:t>
      </w:r>
      <w:r>
        <w:rPr>
          <w:b/>
          <w:color w:val="1E3A8A"/>
        </w:rPr>
        <w:t xml:space="preserve"> and </w:t>
      </w:r>
      <w:r>
        <w:rPr>
          <w:b/>
          <w:i/>
          <w:color w:val="1E3A8A"/>
        </w:rPr>
        <w:t>Rosh</w:t>
      </w:r>
      <w:r>
        <w:rPr>
          <w:b/>
          <w:color w:val="1E3A8A"/>
        </w:rPr>
        <w:t xml:space="preserve">, end of </w:t>
      </w:r>
      <w:r>
        <w:rPr>
          <w:b/>
          <w:i/>
          <w:color w:val="1E3A8A"/>
        </w:rPr>
        <w:t>Taanis</w:t>
      </w:r>
      <w:r>
        <w:rPr>
          <w:b/>
          <w:color w:val="1E3A8A"/>
        </w:rPr>
        <w:t xml:space="preserve"> — saying </w:t>
      </w:r>
      <w:r>
        <w:rPr>
          <w:b/>
          <w:i/>
          <w:color w:val="1E3A8A"/>
        </w:rPr>
        <w:t>Nachem</w:t>
      </w:r>
      <w:r>
        <w:rPr>
          <w:b/>
          <w:color w:val="1E3A8A"/>
        </w:rPr>
        <w:t xml:space="preserve"> in </w:t>
      </w:r>
      <w:r>
        <w:rPr>
          <w:b/>
          <w:i/>
          <w:color w:val="1E3A8A"/>
        </w:rPr>
        <w:t>Birkas Yerushalayim</w:t>
      </w:r>
      <w:r>
        <w:rPr>
          <w:b/>
          <w:color w:val="1E3A8A"/>
        </w:rPr>
        <w:t>.</w:t>
      </w:r>
      <w:r>
        <w:t xml:space="preserve"> </w:t>
      </w:r>
      <w:r>
        <w:t xml:space="preserve">— </w:t>
      </w:r>
      <w:r>
        <w:rPr>
          <w:i/>
        </w:rPr>
        <w:t>Rabbeinu Yitzchak Alfasi</w:t>
      </w:r>
      <w:r>
        <w:t xml:space="preserve"> (the </w:t>
      </w:r>
      <w:r>
        <w:rPr>
          <w:i/>
        </w:rPr>
        <w:t>Rif</w:t>
      </w:r>
      <w:r>
        <w:t xml:space="preserve">, 1013–1103) and the </w:t>
      </w:r>
      <w:r>
        <w:rPr>
          <w:i/>
        </w:rPr>
        <w:t>Rosh</w:t>
      </w:r>
      <w:r>
        <w:t xml:space="preserve"> write at the end of </w:t>
      </w:r>
      <w:r>
        <w:rPr>
          <w:i/>
        </w:rPr>
        <w:t>Maseches Taanis</w:t>
      </w:r>
      <w:r>
        <w:t xml:space="preserve"> that the custom is to say </w:t>
      </w:r>
      <w:r>
        <w:rPr>
          <w:i/>
        </w:rPr>
        <w:t>Nachem</w:t>
      </w:r>
      <w:r>
        <w:t xml:space="preserve"> in </w:t>
      </w:r>
      <w:r>
        <w:rPr>
          <w:i/>
        </w:rPr>
        <w:t>bonei Yerushalayim</w:t>
      </w:r>
      <w:r>
        <w:t xml:space="preserve">, relying on </w:t>
      </w:r>
      <w:r>
        <w:rPr>
          <w:i/>
        </w:rPr>
        <w:t>Avodah Zarah</w:t>
      </w:r>
      <w:r>
        <w:t xml:space="preserve"> 8a; so the </w:t>
      </w:r>
      <w:r>
        <w:rPr>
          <w:i/>
        </w:rPr>
        <w:t>Beis Yosef</w:t>
      </w:r>
      <w:r>
        <w:t xml:space="preserve"> (</w:t>
      </w:r>
      <w:r>
        <w:rPr>
          <w:i/>
        </w:rPr>
        <w:t>Orach Chayim</w:t>
      </w:r>
      <w:r>
        <w:t xml:space="preserve"> 557) and the </w:t>
      </w:r>
      <w:r>
        <w:rPr>
          <w:i/>
        </w:rPr>
        <w:t>Taz</w:t>
      </w:r>
      <w:r>
        <w:t xml:space="preserve"> report. The placement is adopted by the </w:t>
      </w:r>
      <w:r>
        <w:rPr>
          <w:i/>
        </w:rPr>
        <w:t>Tur</w:t>
      </w:r>
      <w:r>
        <w:t xml:space="preserve"> (</w:t>
      </w:r>
      <w:r>
        <w:rPr>
          <w:rFonts w:ascii="David" w:hAnsi="David"/>
        </w:rPr>
        <w:t>ואומר אותה בבונה ירושלים לפי שהיא מענינה</w:t>
      </w:r>
      <w:r>
        <w:t xml:space="preserve">), the </w:t>
      </w:r>
      <w:r>
        <w:rPr>
          <w:i/>
        </w:rPr>
        <w:t>Shulchan Aruch</w:t>
      </w:r>
      <w:r>
        <w:t xml:space="preserve">, and the standard </w:t>
      </w:r>
      <w:r>
        <w:rPr>
          <w:i/>
        </w:rPr>
        <w:t>siddurim</w:t>
      </w:r>
      <w:r>
        <w:t>.</w:t>
      </w:r>
    </w:p>
    <w:p>
      <w:r>
        <w:rPr>
          <w:b/>
          <w:color w:val="1E3A8A"/>
        </w:rPr>
        <w:t xml:space="preserve">6. </w:t>
      </w:r>
      <w:r>
        <w:rPr>
          <w:b/>
          <w:i/>
          <w:color w:val="1E3A8A"/>
        </w:rPr>
        <w:t>Avodah Zarah</w:t>
      </w:r>
      <w:r>
        <w:rPr>
          <w:b/>
          <w:color w:val="1E3A8A"/>
        </w:rPr>
        <w:t xml:space="preserve"> 8a — adding </w:t>
      </w:r>
      <w:r>
        <w:rPr>
          <w:b/>
          <w:i/>
          <w:color w:val="1E3A8A"/>
        </w:rPr>
        <w:t>me’ein ha-berachah</w:t>
      </w:r>
      <w:r>
        <w:rPr>
          <w:b/>
          <w:color w:val="1E3A8A"/>
        </w:rPr>
        <w:t xml:space="preserve"> in any </w:t>
      </w:r>
      <w:r>
        <w:rPr>
          <w:b/>
          <w:i/>
          <w:color w:val="1E3A8A"/>
        </w:rPr>
        <w:t>berachah</w:t>
      </w:r>
      <w:r>
        <w:rPr>
          <w:b/>
          <w:color w:val="1E3A8A"/>
        </w:rPr>
        <w:t>.</w:t>
      </w:r>
      <w:r>
        <w:t xml:space="preserve"> </w:t>
      </w:r>
      <w:r>
        <w:t xml:space="preserve">— As cited by the </w:t>
      </w:r>
      <w:r>
        <w:rPr>
          <w:i/>
        </w:rPr>
        <w:t>Beis Yosef</w:t>
      </w:r>
      <w:r>
        <w:t xml:space="preserve"> (</w:t>
      </w:r>
      <w:r>
        <w:rPr>
          <w:i/>
        </w:rPr>
        <w:t>Orach Chayim</w:t>
      </w:r>
      <w:r>
        <w:t xml:space="preserve"> 557): </w:t>
      </w:r>
      <w:r>
        <w:rPr>
          <w:i/>
        </w:rPr>
        <w:t>Rav Yehudah bar Shmuel bar Sheilat</w:t>
      </w:r>
      <w:r>
        <w:t xml:space="preserve"> in the name of </w:t>
      </w:r>
      <w:r>
        <w:rPr>
          <w:i/>
        </w:rPr>
        <w:t>Rav</w:t>
      </w:r>
      <w:r>
        <w:t xml:space="preserve"> — </w:t>
      </w:r>
      <w:r>
        <w:rPr>
          <w:rFonts w:ascii="David" w:hAnsi="David"/>
        </w:rPr>
        <w:t>אף על פי שאמרו שואל אדם צרכיו בשומע תפלה, אם בא לומר בסוף כל ברכה מעין אותה ברכה אומר</w:t>
      </w:r>
      <w:r>
        <w:t xml:space="preserve"> — although one may ask for his needs in </w:t>
      </w:r>
      <w:r>
        <w:rPr>
          <w:i/>
        </w:rPr>
        <w:t>Shomea Tefillah</w:t>
      </w:r>
      <w:r>
        <w:t xml:space="preserve">, one who wishes may say at the end of any </w:t>
      </w:r>
      <w:r>
        <w:rPr>
          <w:i/>
        </w:rPr>
        <w:t>berachah</w:t>
      </w:r>
      <w:r>
        <w:t xml:space="preserve"> something that is </w:t>
      </w:r>
      <w:r>
        <w:rPr>
          <w:i/>
        </w:rPr>
        <w:t>me’ein</w:t>
      </w:r>
      <w:r>
        <w:t xml:space="preserve"> that </w:t>
      </w:r>
      <w:r>
        <w:rPr>
          <w:i/>
        </w:rPr>
        <w:t>berachah</w:t>
      </w:r>
      <w:r>
        <w:t xml:space="preserve">. This is the ground of the </w:t>
      </w:r>
      <w:r>
        <w:rPr>
          <w:i/>
        </w:rPr>
        <w:t>Rif</w:t>
      </w:r>
      <w:r>
        <w:t xml:space="preserve">’s placement of </w:t>
      </w:r>
      <w:r>
        <w:rPr>
          <w:i/>
        </w:rPr>
        <w:t>Nachem</w:t>
      </w:r>
      <w:r>
        <w:t xml:space="preserve"> in </w:t>
      </w:r>
      <w:r>
        <w:rPr>
          <w:i/>
        </w:rPr>
        <w:t>Birkas Yerushalayim</w:t>
      </w:r>
      <w:r>
        <w:t xml:space="preserve">. (Verified via the </w:t>
      </w:r>
      <w:r>
        <w:rPr>
          <w:i/>
        </w:rPr>
        <w:t>Beis Yosef</w:t>
      </w:r>
      <w:r>
        <w:t xml:space="preserve">’s citation; the page of </w:t>
      </w:r>
      <w:r>
        <w:rPr>
          <w:i/>
        </w:rPr>
        <w:t>Avodah Zarah</w:t>
      </w:r>
      <w:r>
        <w:t xml:space="preserve"> itself was not separately fetched.)</w:t>
      </w:r>
    </w:p>
    <w:p>
      <w:r>
        <w:rPr>
          <w:b/>
          <w:color w:val="1E3A8A"/>
        </w:rPr>
        <w:t xml:space="preserve">7. </w:t>
      </w:r>
      <w:r>
        <w:rPr>
          <w:b/>
          <w:i/>
          <w:color w:val="1E3A8A"/>
        </w:rPr>
        <w:t>Shulchan Aruch Orach Chayim</w:t>
      </w:r>
      <w:r>
        <w:rPr>
          <w:b/>
          <w:color w:val="1E3A8A"/>
        </w:rPr>
        <w:t xml:space="preserve"> 557:1 — </w:t>
      </w:r>
      <w:r>
        <w:rPr>
          <w:b/>
          <w:i/>
          <w:color w:val="1E3A8A"/>
        </w:rPr>
        <w:t>Nachem</w:t>
      </w:r>
      <w:r>
        <w:rPr>
          <w:b/>
          <w:color w:val="1E3A8A"/>
        </w:rPr>
        <w:t xml:space="preserve"> on </w:t>
      </w:r>
      <w:r>
        <w:rPr>
          <w:b/>
          <w:i/>
          <w:color w:val="1E3A8A"/>
        </w:rPr>
        <w:t>Tisha B’Av</w:t>
      </w:r>
      <w:r>
        <w:rPr>
          <w:b/>
          <w:color w:val="1E3A8A"/>
        </w:rPr>
        <w:t>.</w:t>
      </w:r>
      <w:r>
        <w:t xml:space="preserve"> </w:t>
      </w:r>
      <w:r>
        <w:t xml:space="preserve">— The </w:t>
      </w:r>
      <w:r>
        <w:rPr>
          <w:i/>
        </w:rPr>
        <w:t>Mechaber</w:t>
      </w:r>
      <w:r>
        <w:t xml:space="preserve">: </w:t>
      </w:r>
      <w:r>
        <w:rPr>
          <w:rFonts w:ascii="David" w:hAnsi="David"/>
        </w:rPr>
        <w:t>בתשעה באב אומר בבונה ירושלים נחם ה' אלהינו את אבילי ציון וכו' ועננו בשומע תפלה, ואם לא אמר לא זה ולא זה אין מחזירין אותו</w:t>
      </w:r>
      <w:r>
        <w:t xml:space="preserve">. The </w:t>
      </w:r>
      <w:r>
        <w:rPr>
          <w:i/>
        </w:rPr>
        <w:t>Rama</w:t>
      </w:r>
      <w:r>
        <w:t xml:space="preserve">: </w:t>
      </w:r>
      <w:r>
        <w:rPr>
          <w:rFonts w:ascii="David" w:hAnsi="David"/>
        </w:rPr>
        <w:t>והמנהג פשוט שאין אומרים נחם רק בתפלת מנחה של תשעה באב לפי שאז הציתו אש במקדש ולכן מתפללים אז על נחמה</w:t>
      </w:r>
      <w:r>
        <w:t xml:space="preserve"> (</w:t>
      </w:r>
      <w:r>
        <w:rPr>
          <w:i/>
        </w:rPr>
        <w:t>Rokeach</w:t>
      </w:r>
      <w:r>
        <w:t xml:space="preserve"> and </w:t>
      </w:r>
      <w:r>
        <w:rPr>
          <w:i/>
        </w:rPr>
        <w:t>Avudraham</w:t>
      </w:r>
      <w:r>
        <w:t xml:space="preserve">); one who ate on </w:t>
      </w:r>
      <w:r>
        <w:rPr>
          <w:i/>
        </w:rPr>
        <w:t>Tisha B’Av</w:t>
      </w:r>
      <w:r>
        <w:t xml:space="preserve"> says </w:t>
      </w:r>
      <w:r>
        <w:rPr>
          <w:i/>
        </w:rPr>
        <w:t>Nachem</w:t>
      </w:r>
      <w:r>
        <w:t xml:space="preserve"> in </w:t>
      </w:r>
      <w:r>
        <w:rPr>
          <w:i/>
        </w:rPr>
        <w:t>Birkas HaMazon</w:t>
      </w:r>
      <w:r>
        <w:t xml:space="preserve"> (</w:t>
      </w:r>
      <w:r>
        <w:rPr>
          <w:i/>
        </w:rPr>
        <w:t>Maharil</w:t>
      </w:r>
      <w:r>
        <w:t xml:space="preserve">). The </w:t>
      </w:r>
      <w:r>
        <w:rPr>
          <w:i/>
        </w:rPr>
        <w:t>siman</w:t>
      </w:r>
      <w:r>
        <w:t xml:space="preserve"> consists of a single </w:t>
      </w:r>
      <w:r>
        <w:rPr>
          <w:i/>
        </w:rPr>
        <w:t>seif</w:t>
      </w:r>
      <w:r>
        <w:t>.</w:t>
      </w:r>
    </w:p>
    <w:p>
      <w:r>
        <w:rPr>
          <w:b/>
          <w:color w:val="1E3A8A"/>
        </w:rPr>
        <w:t xml:space="preserve">8. </w:t>
      </w:r>
      <w:r>
        <w:rPr>
          <w:b/>
          <w:i/>
          <w:color w:val="1E3A8A"/>
        </w:rPr>
        <w:t>Taz</w:t>
      </w:r>
      <w:r>
        <w:rPr>
          <w:b/>
          <w:color w:val="1E3A8A"/>
        </w:rPr>
        <w:t xml:space="preserve"> on </w:t>
      </w:r>
      <w:r>
        <w:rPr>
          <w:b/>
          <w:i/>
          <w:color w:val="1E3A8A"/>
        </w:rPr>
        <w:t>Orach Chayim</w:t>
      </w:r>
      <w:r>
        <w:rPr>
          <w:b/>
          <w:color w:val="1E3A8A"/>
        </w:rPr>
        <w:t xml:space="preserve"> 557:1 — forgotten in </w:t>
      </w:r>
      <w:r>
        <w:rPr>
          <w:b/>
          <w:i/>
          <w:color w:val="1E3A8A"/>
        </w:rPr>
        <w:t>Yerushalayim</w:t>
      </w:r>
      <w:r>
        <w:rPr>
          <w:b/>
          <w:color w:val="1E3A8A"/>
        </w:rPr>
        <w:t xml:space="preserve">: said in </w:t>
      </w:r>
      <w:r>
        <w:rPr>
          <w:b/>
          <w:i/>
          <w:color w:val="1E3A8A"/>
        </w:rPr>
        <w:t>Shema Koleinu</w:t>
      </w:r>
      <w:r>
        <w:rPr>
          <w:b/>
          <w:color w:val="1E3A8A"/>
        </w:rPr>
        <w:t xml:space="preserve"> without the special </w:t>
      </w:r>
      <w:r>
        <w:rPr>
          <w:b/>
          <w:i/>
          <w:color w:val="1E3A8A"/>
        </w:rPr>
        <w:t>chasimah</w:t>
      </w:r>
      <w:r>
        <w:rPr>
          <w:b/>
          <w:color w:val="1E3A8A"/>
        </w:rPr>
        <w:t>.</w:t>
      </w:r>
      <w:r>
        <w:t xml:space="preserve"> </w:t>
      </w:r>
      <w:r>
        <w:t xml:space="preserve">— The </w:t>
      </w:r>
      <w:r>
        <w:rPr>
          <w:i/>
        </w:rPr>
        <w:t>Taz</w:t>
      </w:r>
      <w:r>
        <w:t>, reasoning on his own (</w:t>
      </w:r>
      <w:r>
        <w:rPr>
          <w:rFonts w:ascii="David" w:hAnsi="David"/>
        </w:rPr>
        <w:t>ולענ"ד</w:t>
      </w:r>
      <w:r>
        <w:t xml:space="preserve">) from the ground of the </w:t>
      </w:r>
      <w:r>
        <w:rPr>
          <w:i/>
        </w:rPr>
        <w:t>Rif</w:t>
      </w:r>
      <w:r>
        <w:t xml:space="preserve"> and </w:t>
      </w:r>
      <w:r>
        <w:rPr>
          <w:i/>
        </w:rPr>
        <w:t>Rosh</w:t>
      </w:r>
      <w:r>
        <w:t xml:space="preserve"> (</w:t>
      </w:r>
      <w:r>
        <w:rPr>
          <w:rFonts w:ascii="David" w:hAnsi="David"/>
        </w:rPr>
        <w:t>שואל אדם צרכיו</w:t>
      </w:r>
      <w:r>
        <w:t xml:space="preserve">, </w:t>
      </w:r>
      <w:r>
        <w:rPr>
          <w:rFonts w:ascii="David" w:hAnsi="David"/>
        </w:rPr>
        <w:t>מעין הברכה</w:t>
      </w:r>
      <w:r>
        <w:t xml:space="preserve">): one who forgot to say </w:t>
      </w:r>
      <w:r>
        <w:rPr>
          <w:i/>
        </w:rPr>
        <w:t>Nachem</w:t>
      </w:r>
      <w:r>
        <w:t xml:space="preserve"> in its place says it in </w:t>
      </w:r>
      <w:r>
        <w:rPr>
          <w:i/>
        </w:rPr>
        <w:t>Shomea Tefillah</w:t>
      </w:r>
      <w:r>
        <w:t xml:space="preserve">, a comprehensive </w:t>
      </w:r>
      <w:r>
        <w:rPr>
          <w:i/>
        </w:rPr>
        <w:t>berachah</w:t>
      </w:r>
      <w:r>
        <w:t xml:space="preserve">, </w:t>
      </w:r>
      <w:r>
        <w:rPr>
          <w:rFonts w:ascii="David" w:hAnsi="David"/>
        </w:rPr>
        <w:t>ועכ"פ לא יחתום בברוך מנחם ציון רק בש"ת</w:t>
      </w:r>
      <w:r>
        <w:t xml:space="preserve"> — but he does not close with </w:t>
      </w:r>
      <w:r>
        <w:rPr>
          <w:i/>
        </w:rPr>
        <w:t>menachem Tziyon</w:t>
      </w:r>
      <w:r>
        <w:t xml:space="preserve">, only with </w:t>
      </w:r>
      <w:r>
        <w:rPr>
          <w:i/>
        </w:rPr>
        <w:t>shomea tefillah</w:t>
      </w:r>
      <w:r>
        <w:t xml:space="preserve">, as with </w:t>
      </w:r>
      <w:r>
        <w:rPr>
          <w:i/>
        </w:rPr>
        <w:t>Aneinu</w:t>
      </w:r>
      <w:r>
        <w:t xml:space="preserve">. The </w:t>
      </w:r>
      <w:r>
        <w:rPr>
          <w:i/>
        </w:rPr>
        <w:t>Beis Yosef</w:t>
      </w:r>
      <w:r>
        <w:t xml:space="preserve">, by contrast, cites the </w:t>
      </w:r>
      <w:r>
        <w:rPr>
          <w:i/>
        </w:rPr>
        <w:t>Avudraham</w:t>
      </w:r>
      <w:r>
        <w:t xml:space="preserve"> in the name of </w:t>
      </w:r>
      <w:r>
        <w:rPr>
          <w:i/>
        </w:rPr>
        <w:t>Rabbeinu Gershom bar Shlomo</w:t>
      </w:r>
      <w:r>
        <w:t xml:space="preserve"> that one who forgot says it in </w:t>
      </w:r>
      <w:r>
        <w:rPr>
          <w:i/>
        </w:rPr>
        <w:t>Hoda’ah</w:t>
      </w:r>
      <w:r>
        <w:t xml:space="preserve">. </w:t>
      </w:r>
      <w:r>
        <w:rPr>
          <w:i/>
        </w:rPr>
        <w:t>Note on the delivered text:</w:t>
      </w:r>
      <w:r>
        <w:t xml:space="preserve"> that text credited the </w:t>
      </w:r>
      <w:r>
        <w:rPr>
          <w:i/>
        </w:rPr>
        <w:t>Tur</w:t>
      </w:r>
      <w:r>
        <w:t xml:space="preserve"> together with the </w:t>
      </w:r>
      <w:r>
        <w:rPr>
          <w:i/>
        </w:rPr>
        <w:t>Taz</w:t>
      </w:r>
      <w:r>
        <w:t xml:space="preserve"> for the </w:t>
      </w:r>
      <w:r>
        <w:rPr>
          <w:i/>
        </w:rPr>
        <w:t>Shema Koleinu</w:t>
      </w:r>
      <w:r>
        <w:t xml:space="preserve"> ruling; the </w:t>
      </w:r>
      <w:r>
        <w:rPr>
          <w:i/>
        </w:rPr>
        <w:t>Tur</w:t>
      </w:r>
      <w:r>
        <w:t xml:space="preserve"> (557) gives the placement in </w:t>
      </w:r>
      <w:r>
        <w:rPr>
          <w:i/>
        </w:rPr>
        <w:t>Yerushalayim</w:t>
      </w:r>
      <w:r>
        <w:t xml:space="preserve"> and the </w:t>
      </w:r>
      <w:r>
        <w:rPr>
          <w:i/>
        </w:rPr>
        <w:t>Rosh</w:t>
      </w:r>
      <w:r>
        <w:t xml:space="preserve">’s wonder but not this ruling, which is the </w:t>
      </w:r>
      <w:r>
        <w:rPr>
          <w:i/>
        </w:rPr>
        <w:t>Taz</w:t>
      </w:r>
      <w:r>
        <w:t>’s own.</w:t>
      </w:r>
    </w:p>
    <w:p>
      <w:r>
        <w:rPr>
          <w:b/>
          <w:color w:val="1E3A8A"/>
        </w:rPr>
        <w:t xml:space="preserve">9. </w:t>
      </w:r>
      <w:r>
        <w:rPr>
          <w:b/>
          <w:i/>
          <w:color w:val="1E3A8A"/>
        </w:rPr>
        <w:t>Beis Yosef Orach Chayim</w:t>
      </w:r>
      <w:r>
        <w:rPr>
          <w:b/>
          <w:color w:val="1E3A8A"/>
        </w:rPr>
        <w:t xml:space="preserve"> 557 — no repetition on a day without </w:t>
      </w:r>
      <w:r>
        <w:rPr>
          <w:b/>
          <w:i/>
          <w:color w:val="1E3A8A"/>
        </w:rPr>
        <w:t>Mussaf</w:t>
      </w:r>
      <w:r>
        <w:rPr>
          <w:b/>
          <w:color w:val="1E3A8A"/>
        </w:rPr>
        <w:t>.</w:t>
      </w:r>
      <w:r>
        <w:t xml:space="preserve"> </w:t>
      </w:r>
      <w:r>
        <w:t xml:space="preserve">— The </w:t>
      </w:r>
      <w:r>
        <w:rPr>
          <w:i/>
        </w:rPr>
        <w:t>Beis Yosef</w:t>
      </w:r>
      <w:r>
        <w:t xml:space="preserve">, citing the </w:t>
      </w:r>
      <w:r>
        <w:rPr>
          <w:i/>
        </w:rPr>
        <w:t>Avudraham</w:t>
      </w:r>
      <w:r>
        <w:t xml:space="preserve"> in the name of </w:t>
      </w:r>
      <w:r>
        <w:rPr>
          <w:i/>
        </w:rPr>
        <w:t>Rabbeinu Gershom bar Shlomo</w:t>
      </w:r>
      <w:r>
        <w:t xml:space="preserve">: one who completed his </w:t>
      </w:r>
      <w:r>
        <w:rPr>
          <w:i/>
        </w:rPr>
        <w:t>tefillah</w:t>
      </w:r>
      <w:r>
        <w:t xml:space="preserve"> without mentioning </w:t>
      </w:r>
      <w:r>
        <w:rPr>
          <w:i/>
        </w:rPr>
        <w:t>Nachem</w:t>
      </w:r>
      <w:r>
        <w:t xml:space="preserve"> does not return, </w:t>
      </w:r>
      <w:r>
        <w:rPr>
          <w:rFonts w:ascii="David" w:hAnsi="David"/>
        </w:rPr>
        <w:t>כי בימים שאין בהן קרבן מוסף אם טעה ולא אמר מעין המאורע אין מחזירין אותו</w:t>
      </w:r>
      <w:r>
        <w:t xml:space="preserve">. The </w:t>
      </w:r>
      <w:r>
        <w:rPr>
          <w:i/>
        </w:rPr>
        <w:t>Mechaber</w:t>
      </w:r>
      <w:r>
        <w:t xml:space="preserve"> likewise rules </w:t>
      </w:r>
      <w:r>
        <w:rPr>
          <w:rFonts w:ascii="David" w:hAnsi="David"/>
        </w:rPr>
        <w:t>אין מחזירין אותו</w:t>
      </w:r>
      <w:r>
        <w:t xml:space="preserve">. The </w:t>
      </w:r>
      <w:r>
        <w:rPr>
          <w:i/>
        </w:rPr>
        <w:t>Mishnah Berurah</w:t>
      </w:r>
      <w:r>
        <w:t xml:space="preserve"> on the </w:t>
      </w:r>
      <w:r>
        <w:rPr>
          <w:i/>
        </w:rPr>
        <w:t>siman</w:t>
      </w:r>
      <w:r>
        <w:t xml:space="preserve"> develops the applications.</w:t>
      </w:r>
    </w:p>
    <w:p>
      <w:pPr>
        <w:ind w:left="432"/>
      </w:pPr>
      <w:r>
        <w:rPr>
          <w:b/>
          <w:color w:val="D4A017"/>
          <w:sz w:val="18"/>
        </w:rPr>
        <w:t xml:space="preserve">[Note] </w:t>
      </w:r>
      <w:r>
        <w:rPr>
          <w:b/>
          <w:color w:val="5A4B1A"/>
          <w:sz w:val="18"/>
        </w:rPr>
        <w:t>Flag:</w:t>
      </w:r>
      <w:r>
        <w:rPr>
          <w:color w:val="5A4B1A"/>
          <w:sz w:val="18"/>
        </w:rPr>
        <w:t xml:space="preserve"> </w:t>
      </w:r>
      <w:r>
        <w:rPr>
          <w:i/>
          <w:color w:val="5A4B1A"/>
          <w:sz w:val="18"/>
        </w:rPr>
        <w:t>Mishnah Berurah</w:t>
      </w:r>
      <w:r>
        <w:rPr>
          <w:color w:val="5A4B1A"/>
          <w:sz w:val="18"/>
        </w:rPr>
        <w:t xml:space="preserve"> wording not independently verified in this pass; the </w:t>
      </w:r>
      <w:r>
        <w:rPr>
          <w:i/>
          <w:color w:val="5A4B1A"/>
          <w:sz w:val="18"/>
        </w:rPr>
        <w:t>Shulchan Aruch</w:t>
      </w:r>
      <w:r>
        <w:rPr>
          <w:color w:val="5A4B1A"/>
          <w:sz w:val="18"/>
        </w:rPr>
        <w:t xml:space="preserve">’s own treatment may include exceptions where the forgotten addition belongs to the essence of the </w:t>
      </w:r>
      <w:r>
        <w:rPr>
          <w:i/>
          <w:color w:val="5A4B1A"/>
          <w:sz w:val="18"/>
        </w:rPr>
        <w:t>berachah</w:t>
      </w:r>
      <w:r>
        <w:rPr>
          <w:color w:val="5A4B1A"/>
          <w:sz w:val="18"/>
        </w:rPr>
        <w:t>; to be checked before print.</w:t>
      </w:r>
    </w:p>
    <w:p>
      <w:r>
        <w:rPr>
          <w:b/>
          <w:color w:val="1E3A8A"/>
        </w:rPr>
        <w:t xml:space="preserve">10. </w:t>
      </w:r>
    </w:p>
    <w:p>
      <w:pPr>
        <w:ind w:left="432"/>
      </w:pPr>
      <w:r>
        <w:rPr>
          <w:b/>
          <w:color w:val="D4A017"/>
          <w:sz w:val="18"/>
        </w:rPr>
        <w:t xml:space="preserve">[Note] </w:t>
      </w:r>
      <w:r>
        <w:rPr>
          <w:b/>
          <w:color w:val="5A4B1A"/>
          <w:sz w:val="18"/>
        </w:rPr>
        <w:t xml:space="preserve">The position of </w:t>
      </w:r>
      <w:r>
        <w:rPr>
          <w:b/>
          <w:i/>
          <w:color w:val="5A4B1A"/>
          <w:sz w:val="18"/>
        </w:rPr>
        <w:t>Rabbeinu Yitzchak ibn Giyas</w:t>
      </w:r>
      <w:r>
        <w:rPr>
          <w:b/>
          <w:color w:val="5A4B1A"/>
          <w:sz w:val="18"/>
        </w:rPr>
        <w:t xml:space="preserve"> (the </w:t>
      </w:r>
      <w:r>
        <w:rPr>
          <w:b/>
          <w:i/>
          <w:color w:val="5A4B1A"/>
          <w:sz w:val="18"/>
        </w:rPr>
        <w:t>Ritz Geyos</w:t>
      </w:r>
      <w:r>
        <w:rPr>
          <w:b/>
          <w:color w:val="5A4B1A"/>
          <w:sz w:val="18"/>
        </w:rPr>
        <w:t>)</w:t>
      </w:r>
      <w:r>
        <w:rPr>
          <w:color w:val="5A4B1A"/>
          <w:sz w:val="18"/>
        </w:rPr>
        <w:t xml:space="preserve"> — a contemporary of the </w:t>
      </w:r>
      <w:r>
        <w:rPr>
          <w:i/>
          <w:color w:val="5A4B1A"/>
          <w:sz w:val="18"/>
        </w:rPr>
        <w:t>Rif</w:t>
      </w:r>
      <w:r>
        <w:rPr>
          <w:color w:val="5A4B1A"/>
          <w:sz w:val="18"/>
        </w:rPr>
        <w:t xml:space="preserve"> — was raised in the course of discussion of the forgotten </w:t>
      </w:r>
      <w:r>
        <w:rPr>
          <w:i/>
          <w:color w:val="5A4B1A"/>
          <w:sz w:val="18"/>
        </w:rPr>
        <w:t>Nachem</w:t>
      </w:r>
      <w:r>
        <w:rPr>
          <w:color w:val="5A4B1A"/>
          <w:sz w:val="18"/>
        </w:rPr>
        <w:t xml:space="preserve">. As reported, he holds that since </w:t>
      </w:r>
      <w:r>
        <w:rPr>
          <w:i/>
          <w:color w:val="5A4B1A"/>
          <w:sz w:val="18"/>
        </w:rPr>
        <w:t>Chazal</w:t>
      </w:r>
      <w:r>
        <w:rPr>
          <w:color w:val="5A4B1A"/>
          <w:sz w:val="18"/>
        </w:rPr>
        <w:t xml:space="preserve"> added a </w:t>
      </w:r>
      <w:r>
        <w:rPr>
          <w:i/>
          <w:color w:val="5A4B1A"/>
          <w:sz w:val="18"/>
        </w:rPr>
        <w:t>chasimah</w:t>
      </w:r>
      <w:r>
        <w:rPr>
          <w:color w:val="5A4B1A"/>
          <w:sz w:val="18"/>
        </w:rPr>
        <w:t xml:space="preserve"> to the </w:t>
      </w:r>
      <w:r>
        <w:rPr>
          <w:i/>
          <w:color w:val="5A4B1A"/>
          <w:sz w:val="18"/>
        </w:rPr>
        <w:t>berachah</w:t>
      </w:r>
      <w:r>
        <w:rPr>
          <w:color w:val="5A4B1A"/>
          <w:sz w:val="18"/>
        </w:rPr>
        <w:t xml:space="preserve"> that became part of </w:t>
      </w:r>
      <w:r>
        <w:rPr>
          <w:i/>
          <w:color w:val="5A4B1A"/>
          <w:sz w:val="18"/>
        </w:rPr>
        <w:t>Kri’as Shema</w:t>
      </w:r>
      <w:r>
        <w:rPr>
          <w:color w:val="5A4B1A"/>
          <w:sz w:val="18"/>
        </w:rPr>
        <w:t xml:space="preserve">, forgetting requires repetition; and the question was floated whether, on that model, a worshipper who realized only late that he had omitted </w:t>
      </w:r>
      <w:r>
        <w:rPr>
          <w:i/>
          <w:color w:val="5A4B1A"/>
          <w:sz w:val="18"/>
        </w:rPr>
        <w:t>Nachem</w:t>
      </w:r>
      <w:r>
        <w:rPr>
          <w:color w:val="5A4B1A"/>
          <w:sz w:val="18"/>
        </w:rPr>
        <w:t xml:space="preserve"> might say the </w:t>
      </w:r>
      <w:r>
        <w:rPr>
          <w:i/>
          <w:color w:val="5A4B1A"/>
          <w:sz w:val="18"/>
        </w:rPr>
        <w:t>Nachem</w:t>
      </w:r>
      <w:r>
        <w:rPr>
          <w:color w:val="5A4B1A"/>
          <w:sz w:val="18"/>
        </w:rPr>
        <w:t xml:space="preserve"> </w:t>
      </w:r>
      <w:r>
        <w:rPr>
          <w:i/>
          <w:color w:val="5A4B1A"/>
          <w:sz w:val="18"/>
        </w:rPr>
        <w:t>chasimah</w:t>
      </w:r>
      <w:r>
        <w:rPr>
          <w:color w:val="5A4B1A"/>
          <w:sz w:val="18"/>
        </w:rPr>
        <w:t xml:space="preserve"> at the end of </w:t>
      </w:r>
      <w:r>
        <w:rPr>
          <w:i/>
          <w:color w:val="5A4B1A"/>
          <w:sz w:val="18"/>
        </w:rPr>
        <w:t>Shemoneh Esrei</w:t>
      </w:r>
      <w:r>
        <w:rPr>
          <w:color w:val="5A4B1A"/>
          <w:sz w:val="18"/>
        </w:rPr>
        <w:t xml:space="preserve">, at </w:t>
      </w:r>
      <w:r>
        <w:rPr>
          <w:i/>
          <w:color w:val="5A4B1A"/>
          <w:sz w:val="18"/>
        </w:rPr>
        <w:t>Elokai Netzor</w:t>
      </w:r>
      <w:r>
        <w:rPr>
          <w:color w:val="5A4B1A"/>
          <w:sz w:val="18"/>
        </w:rPr>
        <w:t xml:space="preserve">. The Rav explicitly noted that he did not know how we rule. </w:t>
      </w:r>
      <w:r>
        <w:rPr>
          <w:i/>
          <w:color w:val="5A4B1A"/>
          <w:sz w:val="18"/>
        </w:rPr>
        <w:t>Caveat:</w:t>
      </w:r>
      <w:r>
        <w:rPr>
          <w:color w:val="5A4B1A"/>
          <w:sz w:val="18"/>
        </w:rPr>
        <w:t xml:space="preserve"> this note records the question as raised and does not give a </w:t>
      </w:r>
      <w:r>
        <w:rPr>
          <w:i/>
          <w:color w:val="5A4B1A"/>
          <w:sz w:val="18"/>
        </w:rPr>
        <w:t>psak</w:t>
      </w:r>
      <w:r>
        <w:rPr>
          <w:color w:val="5A4B1A"/>
          <w:sz w:val="18"/>
        </w:rPr>
        <w:t xml:space="preserve">; the question is </w:t>
      </w:r>
      <w:r>
        <w:rPr>
          <w:i/>
          <w:color w:val="5A4B1A"/>
          <w:sz w:val="18"/>
        </w:rPr>
        <w:t>nogea l’ma’aseh</w:t>
      </w:r>
      <w:r>
        <w:rPr>
          <w:color w:val="5A4B1A"/>
          <w:sz w:val="18"/>
        </w:rPr>
        <w:t xml:space="preserve"> and should be put to a </w:t>
      </w:r>
      <w:r>
        <w:rPr>
          <w:i/>
          <w:color w:val="5A4B1A"/>
          <w:sz w:val="18"/>
        </w:rPr>
        <w:t>moreh hora’ah</w:t>
      </w:r>
      <w:r>
        <w:rPr>
          <w:color w:val="5A4B1A"/>
          <w:sz w:val="18"/>
        </w:rPr>
        <w:t>.</w:t>
      </w:r>
    </w:p>
    <w:p>
      <w:r>
        <w:rPr>
          <w:b/>
          <w:color w:val="1E3A8A"/>
        </w:rPr>
        <w:t xml:space="preserve">11. </w:t>
      </w:r>
    </w:p>
    <w:p>
      <w:pPr>
        <w:ind w:left="432"/>
      </w:pPr>
      <w:r>
        <w:rPr>
          <w:b/>
          <w:color w:val="D4A017"/>
          <w:sz w:val="18"/>
        </w:rPr>
        <w:t xml:space="preserve">[Note] </w:t>
      </w:r>
      <w:r>
        <w:rPr>
          <w:b/>
          <w:color w:val="5A4B1A"/>
          <w:sz w:val="18"/>
        </w:rPr>
        <w:t>Shlomo Simchi</w:t>
      </w:r>
      <w:r>
        <w:rPr>
          <w:color w:val="5A4B1A"/>
          <w:sz w:val="18"/>
        </w:rPr>
        <w:t xml:space="preserve"> (as the name was given) — a contemporary Israeli composer of a well-known melody for these words, circulating in contemporary </w:t>
      </w:r>
      <w:r>
        <w:rPr>
          <w:i/>
          <w:color w:val="5A4B1A"/>
          <w:sz w:val="18"/>
        </w:rPr>
        <w:t>Tisha B’Av</w:t>
      </w:r>
      <w:r>
        <w:rPr>
          <w:color w:val="5A4B1A"/>
          <w:sz w:val="18"/>
        </w:rPr>
        <w:t xml:space="preserve"> services and recordings. </w:t>
      </w:r>
      <w:r>
        <w:rPr>
          <w:i/>
          <w:color w:val="5A4B1A"/>
          <w:sz w:val="18"/>
        </w:rPr>
        <w:t>Caveat:</w:t>
      </w:r>
      <w:r>
        <w:rPr>
          <w:color w:val="5A4B1A"/>
          <w:sz w:val="18"/>
        </w:rPr>
        <w:t xml:space="preserve"> no recording reference was supplied; the spelling of the name has not been confirmed.</w:t>
      </w:r>
    </w:p>
    <w:p>
      <w:r>
        <w:rPr>
          <w:b/>
          <w:color w:val="1E3A8A"/>
        </w:rPr>
        <w:t xml:space="preserve">12. </w:t>
      </w:r>
    </w:p>
    <w:p>
      <w:pPr>
        <w:ind w:left="432"/>
      </w:pPr>
      <w:r>
        <w:rPr>
          <w:b/>
          <w:color w:val="D4A017"/>
          <w:sz w:val="18"/>
        </w:rPr>
        <w:t xml:space="preserve">[Note] </w:t>
      </w:r>
      <w:r>
        <w:rPr>
          <w:b/>
          <w:color w:val="5A4B1A"/>
          <w:sz w:val="18"/>
        </w:rPr>
        <w:t xml:space="preserve">The words of the </w:t>
      </w:r>
      <w:r>
        <w:rPr>
          <w:b/>
          <w:i/>
          <w:color w:val="5A4B1A"/>
          <w:sz w:val="18"/>
        </w:rPr>
        <w:t>nusach</w:t>
      </w:r>
      <w:r>
        <w:rPr>
          <w:b/>
          <w:color w:val="5A4B1A"/>
          <w:sz w:val="18"/>
        </w:rPr>
        <w:t>.</w:t>
      </w:r>
      <w:r>
        <w:rPr>
          <w:color w:val="5A4B1A"/>
          <w:sz w:val="18"/>
        </w:rPr>
        <w:t xml:space="preserve"> The delivered text rendered the phrases “</w:t>
      </w:r>
      <w:r>
        <w:rPr>
          <w:i/>
          <w:color w:val="5A4B1A"/>
          <w:sz w:val="18"/>
        </w:rPr>
        <w:t>Yerushalayim ka-almanah</w:t>
      </w:r>
      <w:r>
        <w:rPr>
          <w:color w:val="5A4B1A"/>
          <w:sz w:val="18"/>
        </w:rPr>
        <w:t>” and “</w:t>
      </w:r>
      <w:r>
        <w:rPr>
          <w:i/>
          <w:color w:val="5A4B1A"/>
          <w:sz w:val="18"/>
        </w:rPr>
        <w:t>lifei libi al chalalai</w:t>
      </w:r>
      <w:r>
        <w:rPr>
          <w:color w:val="5A4B1A"/>
          <w:sz w:val="18"/>
        </w:rPr>
        <w:t xml:space="preserve">,” and quoted the close of the </w:t>
      </w:r>
      <w:r>
        <w:rPr>
          <w:i/>
          <w:color w:val="5A4B1A"/>
          <w:sz w:val="18"/>
        </w:rPr>
        <w:t>berachah</w:t>
      </w:r>
      <w:r>
        <w:rPr>
          <w:color w:val="5A4B1A"/>
          <w:sz w:val="18"/>
        </w:rPr>
        <w:t xml:space="preserve"> in two slightly different forms (</w:t>
      </w:r>
      <w:r>
        <w:rPr>
          <w:rFonts w:ascii="David" w:hAnsi="David"/>
          <w:color w:val="5A4B1A"/>
          <w:sz w:val="18"/>
        </w:rPr>
        <w:t>ובאש אתה עתיד לבנותו</w:t>
      </w:r>
      <w:r>
        <w:rPr>
          <w:color w:val="5A4B1A"/>
          <w:sz w:val="18"/>
        </w:rPr>
        <w:t xml:space="preserve"> and </w:t>
      </w:r>
      <w:r>
        <w:rPr>
          <w:rFonts w:ascii="David" w:hAnsi="David"/>
          <w:color w:val="5A4B1A"/>
          <w:sz w:val="18"/>
        </w:rPr>
        <w:t>ובו אש אתה עתיד לבנותה</w:t>
      </w:r>
      <w:r>
        <w:rPr>
          <w:color w:val="5A4B1A"/>
          <w:sz w:val="18"/>
        </w:rPr>
        <w:t xml:space="preserve">). The form given here is the received </w:t>
      </w:r>
      <w:r>
        <w:rPr>
          <w:i/>
          <w:color w:val="5A4B1A"/>
          <w:sz w:val="18"/>
        </w:rPr>
        <w:t>nusach</w:t>
      </w:r>
      <w:r>
        <w:rPr>
          <w:color w:val="5A4B1A"/>
          <w:sz w:val="18"/>
        </w:rPr>
        <w:t xml:space="preserve">: </w:t>
      </w:r>
      <w:r>
        <w:rPr>
          <w:rFonts w:ascii="David" w:hAnsi="David"/>
          <w:color w:val="5A4B1A"/>
          <w:sz w:val="18"/>
        </w:rPr>
        <w:t>כי אתה ה' באש הצתה ובאש אתה עתיד לבנותה</w:t>
      </w:r>
      <w:r>
        <w:rPr>
          <w:color w:val="5A4B1A"/>
          <w:sz w:val="18"/>
        </w:rPr>
        <w:t xml:space="preserve">, which matches the </w:t>
      </w:r>
      <w:r>
        <w:rPr>
          <w:i/>
          <w:color w:val="5A4B1A"/>
          <w:sz w:val="18"/>
        </w:rPr>
        <w:t>Yerushalmi</w:t>
      </w:r>
      <w:r>
        <w:rPr>
          <w:color w:val="5A4B1A"/>
          <w:sz w:val="18"/>
        </w:rPr>
        <w:t xml:space="preserve">’s text in </w:t>
      </w:r>
      <w:r>
        <w:rPr>
          <w:i/>
          <w:color w:val="5A4B1A"/>
          <w:sz w:val="18"/>
        </w:rPr>
        <w:t>Berachos</w:t>
      </w:r>
      <w:r>
        <w:rPr>
          <w:color w:val="5A4B1A"/>
          <w:sz w:val="18"/>
        </w:rPr>
        <w:t xml:space="preserve"> 4:3 (</w:t>
      </w:r>
      <w:r>
        <w:rPr>
          <w:rFonts w:ascii="David" w:hAnsi="David"/>
          <w:color w:val="5A4B1A"/>
          <w:sz w:val="18"/>
        </w:rPr>
        <w:t>כי באש היצתה ובאש אתה עתיד לבנותה</w:t>
      </w:r>
      <w:r>
        <w:rPr>
          <w:color w:val="5A4B1A"/>
          <w:sz w:val="18"/>
        </w:rPr>
        <w:t xml:space="preserve">; in </w:t>
      </w:r>
      <w:r>
        <w:rPr>
          <w:i/>
          <w:color w:val="5A4B1A"/>
          <w:sz w:val="18"/>
        </w:rPr>
        <w:t>Taanis</w:t>
      </w:r>
      <w:r>
        <w:rPr>
          <w:color w:val="5A4B1A"/>
          <w:sz w:val="18"/>
        </w:rPr>
        <w:t xml:space="preserve"> 2:2, </w:t>
      </w:r>
      <w:r>
        <w:rPr>
          <w:rFonts w:ascii="David" w:hAnsi="David"/>
          <w:color w:val="5A4B1A"/>
          <w:sz w:val="18"/>
        </w:rPr>
        <w:t>החרבתה</w:t>
      </w:r>
      <w:r>
        <w:rPr>
          <w:color w:val="5A4B1A"/>
          <w:sz w:val="18"/>
        </w:rPr>
        <w:t xml:space="preserve">). The earlier phrases in the </w:t>
      </w:r>
      <w:r>
        <w:rPr>
          <w:i/>
          <w:color w:val="5A4B1A"/>
          <w:sz w:val="18"/>
        </w:rPr>
        <w:t>nusach</w:t>
      </w:r>
      <w:r>
        <w:rPr>
          <w:color w:val="5A4B1A"/>
          <w:sz w:val="18"/>
        </w:rPr>
        <w:t xml:space="preserve"> as printed in the </w:t>
      </w:r>
      <w:r>
        <w:rPr>
          <w:i/>
          <w:color w:val="5A4B1A"/>
          <w:sz w:val="18"/>
        </w:rPr>
        <w:t>siddurim</w:t>
      </w:r>
      <w:r>
        <w:rPr>
          <w:color w:val="5A4B1A"/>
          <w:sz w:val="18"/>
        </w:rPr>
        <w:t xml:space="preserve"> are </w:t>
      </w:r>
      <w:r>
        <w:rPr>
          <w:rFonts w:ascii="David" w:hAnsi="David"/>
          <w:color w:val="5A4B1A"/>
          <w:sz w:val="18"/>
        </w:rPr>
        <w:t>כאשה עקרה שלא ילדה</w:t>
      </w:r>
      <w:r>
        <w:rPr>
          <w:color w:val="5A4B1A"/>
          <w:sz w:val="18"/>
        </w:rPr>
        <w:t xml:space="preserve"> and </w:t>
      </w:r>
      <w:r>
        <w:rPr>
          <w:rFonts w:ascii="David" w:hAnsi="David"/>
          <w:color w:val="5A4B1A"/>
          <w:sz w:val="18"/>
        </w:rPr>
        <w:t>לבי לבי על חלליהם</w:t>
      </w:r>
      <w:r>
        <w:rPr>
          <w:color w:val="5A4B1A"/>
          <w:sz w:val="18"/>
        </w:rPr>
        <w:t xml:space="preserve">; the wording of the delivered text, which reflects the live rendering, should be checked against a printed </w:t>
      </w:r>
      <w:r>
        <w:rPr>
          <w:i/>
          <w:color w:val="5A4B1A"/>
          <w:sz w:val="18"/>
        </w:rPr>
        <w:t>siddur</w:t>
      </w:r>
      <w:r>
        <w:rPr>
          <w:color w:val="5A4B1A"/>
          <w:sz w:val="18"/>
        </w:rPr>
        <w:t>.</w:t>
      </w:r>
    </w:p>
    <w:p>
      <w:r>
        <w:rPr>
          <w:b/>
          <w:color w:val="1E3A8A"/>
        </w:rPr>
        <w:t xml:space="preserve">13. </w:t>
      </w:r>
    </w:p>
    <w:p>
      <w:pPr>
        <w:ind w:left="432"/>
      </w:pPr>
      <w:r>
        <w:rPr>
          <w:b/>
          <w:color w:val="D4A017"/>
          <w:sz w:val="18"/>
        </w:rPr>
        <w:t xml:space="preserve">[Note] </w:t>
      </w:r>
      <w:r>
        <w:rPr>
          <w:b/>
          <w:color w:val="5A4B1A"/>
          <w:sz w:val="18"/>
        </w:rPr>
        <w:t xml:space="preserve">The descent of the third </w:t>
      </w:r>
      <w:r>
        <w:rPr>
          <w:b/>
          <w:i/>
          <w:color w:val="5A4B1A"/>
          <w:sz w:val="18"/>
        </w:rPr>
        <w:t>Beis HaMikdash</w:t>
      </w:r>
      <w:r>
        <w:rPr>
          <w:b/>
          <w:color w:val="5A4B1A"/>
          <w:sz w:val="18"/>
        </w:rPr>
        <w:t>.</w:t>
      </w:r>
      <w:r>
        <w:rPr>
          <w:color w:val="5A4B1A"/>
          <w:sz w:val="18"/>
        </w:rPr>
        <w:t xml:space="preserve"> The delivered text presented the view that the third </w:t>
      </w:r>
      <w:r>
        <w:rPr>
          <w:i/>
          <w:color w:val="5A4B1A"/>
          <w:sz w:val="18"/>
        </w:rPr>
        <w:t>Beis HaMikdash</w:t>
      </w:r>
      <w:r>
        <w:rPr>
          <w:color w:val="5A4B1A"/>
          <w:sz w:val="18"/>
        </w:rPr>
        <w:t xml:space="preserve"> descends from </w:t>
      </w:r>
      <w:r>
        <w:rPr>
          <w:i/>
          <w:color w:val="5A4B1A"/>
          <w:sz w:val="18"/>
        </w:rPr>
        <w:t>Shamayim</w:t>
      </w:r>
      <w:r>
        <w:rPr>
          <w:color w:val="5A4B1A"/>
          <w:sz w:val="18"/>
        </w:rPr>
        <w:t xml:space="preserve"> in fire as the view of “the </w:t>
      </w:r>
      <w:r>
        <w:rPr>
          <w:i/>
          <w:color w:val="5A4B1A"/>
          <w:sz w:val="18"/>
        </w:rPr>
        <w:t>rishonim</w:t>
      </w:r>
      <w:r>
        <w:rPr>
          <w:color w:val="5A4B1A"/>
          <w:sz w:val="18"/>
        </w:rPr>
        <w:t xml:space="preserve"> and </w:t>
      </w:r>
      <w:r>
        <w:rPr>
          <w:i/>
          <w:color w:val="5A4B1A"/>
          <w:sz w:val="18"/>
        </w:rPr>
        <w:t>acharonim</w:t>
      </w:r>
      <w:r>
        <w:rPr>
          <w:color w:val="5A4B1A"/>
          <w:sz w:val="18"/>
        </w:rPr>
        <w:t>.” It is better described as one view in a well-known dispute: one line holds that it descends already built (</w:t>
      </w:r>
      <w:r>
        <w:rPr>
          <w:i/>
          <w:color w:val="5A4B1A"/>
          <w:sz w:val="18"/>
        </w:rPr>
        <w:t>Rashi</w:t>
      </w:r>
      <w:r>
        <w:rPr>
          <w:color w:val="5A4B1A"/>
          <w:sz w:val="18"/>
        </w:rPr>
        <w:t xml:space="preserve">, </w:t>
      </w:r>
      <w:r>
        <w:rPr>
          <w:i/>
          <w:color w:val="5A4B1A"/>
          <w:sz w:val="18"/>
        </w:rPr>
        <w:t>Sukkah</w:t>
      </w:r>
      <w:r>
        <w:rPr>
          <w:color w:val="5A4B1A"/>
          <w:sz w:val="18"/>
        </w:rPr>
        <w:t xml:space="preserve"> 41a), another that it is built by </w:t>
      </w:r>
      <w:r>
        <w:rPr>
          <w:i/>
          <w:color w:val="5A4B1A"/>
          <w:sz w:val="18"/>
        </w:rPr>
        <w:t>Mashiach</w:t>
      </w:r>
      <w:r>
        <w:rPr>
          <w:color w:val="5A4B1A"/>
          <w:sz w:val="18"/>
        </w:rPr>
        <w:t xml:space="preserve"> (</w:t>
      </w:r>
      <w:r>
        <w:rPr>
          <w:i/>
          <w:color w:val="5A4B1A"/>
          <w:sz w:val="18"/>
        </w:rPr>
        <w:t>Rambam</w:t>
      </w:r>
      <w:r>
        <w:rPr>
          <w:color w:val="5A4B1A"/>
          <w:sz w:val="18"/>
        </w:rPr>
        <w:t xml:space="preserve">, </w:t>
      </w:r>
      <w:r>
        <w:rPr>
          <w:i/>
          <w:color w:val="5A4B1A"/>
          <w:sz w:val="18"/>
        </w:rPr>
        <w:t>Hilchos Melachim</w:t>
      </w:r>
      <w:r>
        <w:rPr>
          <w:color w:val="5A4B1A"/>
          <w:sz w:val="18"/>
        </w:rPr>
        <w:t xml:space="preserve"> 11:1). </w:t>
      </w:r>
      <w:r>
        <w:rPr>
          <w:i/>
          <w:color w:val="5A4B1A"/>
          <w:sz w:val="18"/>
        </w:rPr>
        <w:t>Caveat:</w:t>
      </w:r>
      <w:r>
        <w:rPr>
          <w:color w:val="5A4B1A"/>
          <w:sz w:val="18"/>
        </w:rPr>
        <w:t xml:space="preserve"> these references were supplied from the standard literature and were not verified in this pass; they should be checked before print. The debate among the </w:t>
      </w:r>
      <w:r>
        <w:rPr>
          <w:i/>
          <w:color w:val="5A4B1A"/>
          <w:sz w:val="18"/>
        </w:rPr>
        <w:t>acharonim</w:t>
      </w:r>
      <w:r>
        <w:rPr>
          <w:color w:val="5A4B1A"/>
          <w:sz w:val="18"/>
        </w:rPr>
        <w:t xml:space="preserve"> concerning the </w:t>
      </w:r>
      <w:r>
        <w:rPr>
          <w:i/>
          <w:color w:val="5A4B1A"/>
          <w:sz w:val="18"/>
        </w:rPr>
        <w:t>mitzvah</w:t>
      </w:r>
      <w:r>
        <w:rPr>
          <w:color w:val="5A4B1A"/>
          <w:sz w:val="18"/>
        </w:rPr>
        <w:t xml:space="preserve"> of </w:t>
      </w:r>
      <w:r>
        <w:rPr>
          <w:i/>
          <w:color w:val="5A4B1A"/>
          <w:sz w:val="18"/>
        </w:rPr>
        <w:t>binyan beis ha-bechirah</w:t>
      </w:r>
      <w:r>
        <w:rPr>
          <w:color w:val="5A4B1A"/>
          <w:sz w:val="18"/>
        </w:rPr>
        <w:t xml:space="preserve"> was reported without naming its participants.</w:t>
      </w:r>
    </w:p>
    <w:p>
      <w:r>
        <w:rPr>
          <w:b/>
          <w:color w:val="1E3A8A"/>
        </w:rPr>
        <w:t xml:space="preserve">14. </w:t>
      </w:r>
      <w:r>
        <w:rPr>
          <w:b/>
          <w:i/>
          <w:color w:val="1E3A8A"/>
        </w:rPr>
        <w:t>Tur Orach Chayim</w:t>
      </w:r>
      <w:r>
        <w:rPr>
          <w:b/>
          <w:color w:val="1E3A8A"/>
        </w:rPr>
        <w:t xml:space="preserve"> 557; </w:t>
      </w:r>
      <w:r>
        <w:rPr>
          <w:b/>
          <w:i/>
          <w:color w:val="1E3A8A"/>
        </w:rPr>
        <w:t>Beis Yosef</w:t>
      </w:r>
      <w:r>
        <w:rPr>
          <w:b/>
          <w:color w:val="1E3A8A"/>
        </w:rPr>
        <w:t xml:space="preserve"> there — the </w:t>
      </w:r>
      <w:r>
        <w:rPr>
          <w:b/>
          <w:i/>
          <w:color w:val="1E3A8A"/>
        </w:rPr>
        <w:t>Rosh</w:t>
      </w:r>
      <w:r>
        <w:rPr>
          <w:b/>
          <w:color w:val="1E3A8A"/>
        </w:rPr>
        <w:t xml:space="preserve">’s wonder; </w:t>
      </w:r>
      <w:r>
        <w:rPr>
          <w:b/>
          <w:i/>
          <w:color w:val="1E3A8A"/>
        </w:rPr>
        <w:t>Rachem</w:t>
      </w:r>
      <w:r>
        <w:rPr>
          <w:b/>
          <w:color w:val="1E3A8A"/>
        </w:rPr>
        <w:t xml:space="preserve"> at night and morning; </w:t>
      </w:r>
      <w:r>
        <w:rPr>
          <w:b/>
          <w:i/>
          <w:color w:val="1E3A8A"/>
        </w:rPr>
        <w:t>Nachem</w:t>
      </w:r>
      <w:r>
        <w:rPr>
          <w:b/>
          <w:color w:val="1E3A8A"/>
        </w:rPr>
        <w:t xml:space="preserve"> at </w:t>
      </w:r>
      <w:r>
        <w:rPr>
          <w:b/>
          <w:i/>
          <w:color w:val="1E3A8A"/>
        </w:rPr>
        <w:t>Minchah</w:t>
      </w:r>
      <w:r>
        <w:rPr>
          <w:b/>
          <w:color w:val="1E3A8A"/>
        </w:rPr>
        <w:t>.</w:t>
      </w:r>
      <w:r>
        <w:t xml:space="preserve"> </w:t>
      </w:r>
      <w:r>
        <w:t xml:space="preserve">— The </w:t>
      </w:r>
      <w:r>
        <w:rPr>
          <w:i/>
        </w:rPr>
        <w:t>Tur</w:t>
      </w:r>
      <w:r>
        <w:t xml:space="preserve">: </w:t>
      </w:r>
      <w:r>
        <w:rPr>
          <w:rFonts w:ascii="David" w:hAnsi="David"/>
        </w:rPr>
        <w:t>כתב א"א הרא"ש ז"ל כל ימי תמהתי למה אין אומרים אותו אלא בתפלת המנחה</w:t>
      </w:r>
      <w:r>
        <w:t xml:space="preserve"> — the </w:t>
      </w:r>
      <w:r>
        <w:rPr>
          <w:i/>
        </w:rPr>
        <w:t>Rosh</w:t>
      </w:r>
      <w:r>
        <w:t xml:space="preserve"> wondered, since an individual on </w:t>
      </w:r>
      <w:r>
        <w:rPr>
          <w:i/>
        </w:rPr>
        <w:t>Tisha B’Av</w:t>
      </w:r>
      <w:r>
        <w:t xml:space="preserve"> must mention the </w:t>
      </w:r>
      <w:r>
        <w:rPr>
          <w:i/>
        </w:rPr>
        <w:t>me’ein ha-me’ora</w:t>
      </w:r>
      <w:r>
        <w:t xml:space="preserve">, presumably in all his </w:t>
      </w:r>
      <w:r>
        <w:rPr>
          <w:i/>
        </w:rPr>
        <w:t>tefillos</w:t>
      </w:r>
      <w:r>
        <w:t xml:space="preserve">, as on </w:t>
      </w:r>
      <w:r>
        <w:rPr>
          <w:i/>
        </w:rPr>
        <w:t>Rosh Chodesh</w:t>
      </w:r>
      <w:r>
        <w:t xml:space="preserve">, </w:t>
      </w:r>
      <w:r>
        <w:rPr>
          <w:i/>
        </w:rPr>
        <w:t>Chanukah</w:t>
      </w:r>
      <w:r>
        <w:t xml:space="preserve">, and </w:t>
      </w:r>
      <w:r>
        <w:rPr>
          <w:i/>
        </w:rPr>
        <w:t>Purim</w:t>
      </w:r>
      <w:r>
        <w:t xml:space="preserve">. And the </w:t>
      </w:r>
      <w:r>
        <w:rPr>
          <w:i/>
        </w:rPr>
        <w:t>Tur</w:t>
      </w:r>
      <w:r>
        <w:t xml:space="preserve">: </w:t>
      </w:r>
      <w:r>
        <w:rPr>
          <w:rFonts w:ascii="David" w:hAnsi="David"/>
        </w:rPr>
        <w:t>ואיכא דוכתין דנהיגי למימר ערבית שחרית רחם ובמנחה נחם והא מלתא תליא במנהגא</w:t>
      </w:r>
      <w:r>
        <w:t xml:space="preserve">. The </w:t>
      </w:r>
      <w:r>
        <w:rPr>
          <w:i/>
        </w:rPr>
        <w:t>Beis Yosef</w:t>
      </w:r>
      <w:r>
        <w:t xml:space="preserve"> adds that the </w:t>
      </w:r>
      <w:r>
        <w:rPr>
          <w:i/>
        </w:rPr>
        <w:t>Kol Bo</w:t>
      </w:r>
      <w:r>
        <w:t xml:space="preserve"> writes that on </w:t>
      </w:r>
      <w:r>
        <w:rPr>
          <w:i/>
        </w:rPr>
        <w:t>Tisha B’Av</w:t>
      </w:r>
      <w:r>
        <w:t xml:space="preserve"> it is said in all </w:t>
      </w:r>
      <w:r>
        <w:rPr>
          <w:i/>
        </w:rPr>
        <w:t>tefillos</w:t>
      </w:r>
      <w:r>
        <w:t xml:space="preserve">, while the </w:t>
      </w:r>
      <w:r>
        <w:rPr>
          <w:i/>
        </w:rPr>
        <w:t>Rokeach</w:t>
      </w:r>
      <w:r>
        <w:t xml:space="preserve"> writes that it is said only at </w:t>
      </w:r>
      <w:r>
        <w:rPr>
          <w:i/>
        </w:rPr>
        <w:t>Minchah</w:t>
      </w:r>
      <w:r>
        <w:t>.</w:t>
      </w:r>
    </w:p>
    <w:p>
      <w:r>
        <w:rPr>
          <w:b/>
          <w:color w:val="1E3A8A"/>
        </w:rPr>
        <w:t xml:space="preserve">15. </w:t>
      </w:r>
      <w:r>
        <w:rPr>
          <w:b/>
          <w:i/>
          <w:color w:val="1E3A8A"/>
        </w:rPr>
        <w:t>Rama</w:t>
      </w:r>
      <w:r>
        <w:rPr>
          <w:b/>
          <w:color w:val="1E3A8A"/>
        </w:rPr>
        <w:t xml:space="preserve"> on </w:t>
      </w:r>
      <w:r>
        <w:rPr>
          <w:b/>
          <w:i/>
          <w:color w:val="1E3A8A"/>
        </w:rPr>
        <w:t>Orach Chayim</w:t>
      </w:r>
      <w:r>
        <w:rPr>
          <w:b/>
          <w:color w:val="1E3A8A"/>
        </w:rPr>
        <w:t xml:space="preserve"> 557:1; </w:t>
      </w:r>
      <w:r>
        <w:rPr>
          <w:b/>
          <w:i/>
          <w:color w:val="1E3A8A"/>
        </w:rPr>
        <w:t>Beis Yosef</w:t>
      </w:r>
      <w:r>
        <w:rPr>
          <w:b/>
          <w:color w:val="1E3A8A"/>
        </w:rPr>
        <w:t xml:space="preserve"> — the reason: the fire was set late in the day.</w:t>
      </w:r>
      <w:r>
        <w:t xml:space="preserve"> </w:t>
      </w:r>
      <w:r>
        <w:t xml:space="preserve">— See note on </w:t>
      </w:r>
      <w:r>
        <w:rPr>
          <w:i/>
        </w:rPr>
        <w:t>Shulchan Aruch</w:t>
      </w:r>
      <w:r>
        <w:t xml:space="preserve"> 557:1 above. The </w:t>
      </w:r>
      <w:r>
        <w:rPr>
          <w:i/>
        </w:rPr>
        <w:t>Beis Yosef</w:t>
      </w:r>
      <w:r>
        <w:t xml:space="preserve"> gives the reason for the practice of </w:t>
      </w:r>
      <w:r>
        <w:rPr>
          <w:i/>
        </w:rPr>
        <w:t>Rabbeinu Saadia</w:t>
      </w:r>
      <w:r>
        <w:t xml:space="preserve"> in his own words: </w:t>
      </w:r>
      <w:r>
        <w:rPr>
          <w:rFonts w:ascii="David" w:hAnsi="David"/>
        </w:rPr>
        <w:t>ונראה לי שטעם רבינו סעדיה משום דלעת ערב הציתו בו אש הלכך באותה שעה מזכירין שפלות ירושלים ואביליה ומתפללין על תנחומיה</w:t>
      </w:r>
      <w:r>
        <w:t>.</w:t>
      </w:r>
    </w:p>
    <w:p>
      <w:r>
        <w:rPr>
          <w:b/>
          <w:color w:val="1E3A8A"/>
        </w:rPr>
        <w:t xml:space="preserve">16. </w:t>
      </w:r>
      <w:r>
        <w:rPr>
          <w:b/>
          <w:i/>
          <w:color w:val="1E3A8A"/>
        </w:rPr>
        <w:t>Yirmeyahu</w:t>
      </w:r>
      <w:r>
        <w:rPr>
          <w:b/>
          <w:color w:val="1E3A8A"/>
        </w:rPr>
        <w:t xml:space="preserve"> 52:12–13; </w:t>
      </w:r>
      <w:r>
        <w:rPr>
          <w:b/>
          <w:i/>
          <w:color w:val="1E3A8A"/>
        </w:rPr>
        <w:t>Melachim II</w:t>
      </w:r>
      <w:r>
        <w:rPr>
          <w:b/>
          <w:color w:val="1E3A8A"/>
        </w:rPr>
        <w:t xml:space="preserve"> 25:8–9 — the tenth and the seventh of </w:t>
      </w:r>
      <w:r>
        <w:rPr>
          <w:b/>
          <w:i/>
          <w:color w:val="1E3A8A"/>
        </w:rPr>
        <w:t>Av</w:t>
      </w:r>
      <w:r>
        <w:rPr>
          <w:b/>
          <w:color w:val="1E3A8A"/>
        </w:rPr>
        <w:t>.</w:t>
      </w:r>
      <w:r>
        <w:t xml:space="preserve"> </w:t>
      </w:r>
      <w:r>
        <w:t xml:space="preserve">— </w:t>
      </w:r>
      <w:r>
        <w:rPr>
          <w:i/>
        </w:rPr>
        <w:t>Yirmeyahu</w:t>
      </w:r>
      <w:r>
        <w:t xml:space="preserve"> 52:12–13 gives the tenth of the fifth month (the nineteenth year of </w:t>
      </w:r>
      <w:r>
        <w:rPr>
          <w:i/>
        </w:rPr>
        <w:t>Nevuchadnezzar</w:t>
      </w:r>
      <w:r>
        <w:t xml:space="preserve">); </w:t>
      </w:r>
      <w:r>
        <w:rPr>
          <w:i/>
        </w:rPr>
        <w:t>Melachim II</w:t>
      </w:r>
      <w:r>
        <w:t xml:space="preserve"> 25:8–9 gives the seventh. Both name </w:t>
      </w:r>
      <w:r>
        <w:rPr>
          <w:i/>
        </w:rPr>
        <w:t>Nevuzaradan</w:t>
      </w:r>
      <w:r>
        <w:t xml:space="preserve">, </w:t>
      </w:r>
      <w:r>
        <w:rPr>
          <w:i/>
        </w:rPr>
        <w:t>rav tabbachim</w:t>
      </w:r>
      <w:r>
        <w:t xml:space="preserve">, servant of the king of </w:t>
      </w:r>
      <w:r>
        <w:rPr>
          <w:i/>
        </w:rPr>
        <w:t>Bavel</w:t>
      </w:r>
      <w:r>
        <w:t xml:space="preserve">, as the one who came and burned the house of </w:t>
      </w:r>
      <w:r>
        <w:rPr>
          <w:i/>
        </w:rPr>
        <w:t>Hashem</w:t>
      </w:r>
      <w:r>
        <w:t xml:space="preserve">. Neither gives the ninth. </w:t>
      </w:r>
      <w:r>
        <w:rPr>
          <w:i/>
        </w:rPr>
        <w:t>Chazal</w:t>
      </w:r>
      <w:r>
        <w:t xml:space="preserve"> reconcile them in </w:t>
      </w:r>
      <w:r>
        <w:rPr>
          <w:i/>
        </w:rPr>
        <w:t>Taanis</w:t>
      </w:r>
      <w:r>
        <w:t xml:space="preserve"> 29a. (Both verses quoted in </w:t>
      </w:r>
      <w:r>
        <w:rPr>
          <w:i/>
        </w:rPr>
        <w:t>Taanis</w:t>
      </w:r>
      <w:r>
        <w:t xml:space="preserve"> 29a; verified.)</w:t>
      </w:r>
    </w:p>
    <w:p>
      <w:r>
        <w:rPr>
          <w:b/>
          <w:color w:val="1E3A8A"/>
        </w:rPr>
        <w:t xml:space="preserve">17. </w:t>
      </w:r>
      <w:r>
        <w:rPr>
          <w:b/>
          <w:i/>
          <w:color w:val="1E3A8A"/>
        </w:rPr>
        <w:t>Taanis</w:t>
      </w:r>
      <w:r>
        <w:rPr>
          <w:b/>
          <w:color w:val="1E3A8A"/>
        </w:rPr>
        <w:t xml:space="preserve"> 29a — the process from the seventh through the tenth.</w:t>
      </w:r>
      <w:r>
        <w:t xml:space="preserve"> </w:t>
      </w:r>
      <w:r>
        <w:t xml:space="preserve">— The </w:t>
      </w:r>
      <w:r>
        <w:rPr>
          <w:i/>
        </w:rPr>
        <w:t>baraisa</w:t>
      </w:r>
      <w:r>
        <w:t xml:space="preserve"> reconciles the two </w:t>
      </w:r>
      <w:r>
        <w:rPr>
          <w:i/>
        </w:rPr>
        <w:t>pesukim</w:t>
      </w:r>
      <w:r>
        <w:t xml:space="preserve">: </w:t>
      </w:r>
      <w:r>
        <w:rPr>
          <w:rFonts w:ascii="David" w:hAnsi="David"/>
        </w:rPr>
        <w:t>אי אפשר לומר בשבעה שהרי כבר נאמר בעשור, ואי אפשר לומר בעשור שהרי כבר נאמר בשבעה, הא כיצד</w:t>
      </w:r>
      <w:r>
        <w:t xml:space="preserve"> — on the seventh the gentiles entered the </w:t>
      </w:r>
      <w:r>
        <w:rPr>
          <w:i/>
        </w:rPr>
        <w:t>heichal</w:t>
      </w:r>
      <w:r>
        <w:t xml:space="preserve"> and ate and desecrated it on the seventh and eighth; on the ninth, adjacent to nightfall (</w:t>
      </w:r>
      <w:r>
        <w:rPr>
          <w:rFonts w:ascii="David" w:hAnsi="David"/>
        </w:rPr>
        <w:t>סמוך לחשכה</w:t>
      </w:r>
      <w:r>
        <w:t xml:space="preserve">), they set it afire, and it burned throughout the day of the tenth, as in </w:t>
      </w:r>
      <w:r>
        <w:rPr>
          <w:i/>
        </w:rPr>
        <w:t>“Oy lanu ki panah ha-yom ki yinatu tzilelei erev”</w:t>
      </w:r>
      <w:r>
        <w:t xml:space="preserve"> (</w:t>
      </w:r>
      <w:r>
        <w:rPr>
          <w:i/>
        </w:rPr>
        <w:t>Yirmeyahu</w:t>
      </w:r>
      <w:r>
        <w:t xml:space="preserve"> 6:4). The delivered text had the fire set “after midday”; the </w:t>
      </w:r>
      <w:r>
        <w:rPr>
          <w:i/>
        </w:rPr>
        <w:t>Gemara</w:t>
      </w:r>
      <w:r>
        <w:t xml:space="preserve"> says </w:t>
      </w:r>
      <w:r>
        <w:rPr>
          <w:i/>
        </w:rPr>
        <w:t>semuch la-chashechah</w:t>
      </w:r>
      <w:r>
        <w:t>, near nightfall, and the text has been corrected here. (Verified against Sefaria.)</w:t>
      </w:r>
    </w:p>
    <w:p>
      <w:pPr>
        <w:ind w:left="432"/>
      </w:pPr>
      <w:r>
        <w:rPr>
          <w:b/>
          <w:color w:val="D4A017"/>
          <w:sz w:val="18"/>
        </w:rPr>
        <w:t xml:space="preserve">[Note] </w:t>
      </w:r>
      <w:r>
        <w:rPr>
          <w:b/>
          <w:color w:val="5A4B1A"/>
          <w:sz w:val="18"/>
        </w:rPr>
        <w:t>Flag:</w:t>
      </w:r>
      <w:r>
        <w:rPr>
          <w:color w:val="5A4B1A"/>
          <w:sz w:val="18"/>
        </w:rPr>
        <w:t xml:space="preserve"> The word </w:t>
      </w:r>
      <w:r>
        <w:rPr>
          <w:rFonts w:ascii="David" w:hAnsi="David"/>
          <w:color w:val="5A4B1A"/>
          <w:sz w:val="18"/>
        </w:rPr>
        <w:t>מקרקרין</w:t>
      </w:r>
      <w:r>
        <w:rPr>
          <w:color w:val="5A4B1A"/>
          <w:sz w:val="18"/>
        </w:rPr>
        <w:t xml:space="preserve"> and the phrase </w:t>
      </w:r>
      <w:r>
        <w:rPr>
          <w:rFonts w:ascii="David" w:hAnsi="David"/>
          <w:color w:val="5A4B1A"/>
          <w:sz w:val="18"/>
        </w:rPr>
        <w:t>אוכלין ושותין</w:t>
      </w:r>
      <w:r>
        <w:rPr>
          <w:color w:val="5A4B1A"/>
          <w:sz w:val="18"/>
        </w:rPr>
        <w:t xml:space="preserve"> are the Rav’s language, not the </w:t>
      </w:r>
      <w:r>
        <w:rPr>
          <w:i/>
          <w:color w:val="5A4B1A"/>
          <w:sz w:val="18"/>
        </w:rPr>
        <w:t>Gemara</w:t>
      </w:r>
      <w:r>
        <w:rPr>
          <w:color w:val="5A4B1A"/>
          <w:sz w:val="18"/>
        </w:rPr>
        <w:t xml:space="preserve">’s, whose own words are </w:t>
      </w:r>
      <w:r>
        <w:rPr>
          <w:rFonts w:ascii="David" w:hAnsi="David"/>
          <w:color w:val="5A4B1A"/>
          <w:sz w:val="18"/>
        </w:rPr>
        <w:t>ואכלו וקלקלו בו</w:t>
      </w:r>
      <w:r>
        <w:rPr>
          <w:color w:val="5A4B1A"/>
          <w:sz w:val="18"/>
        </w:rPr>
        <w:t>.</w:t>
      </w:r>
    </w:p>
    <w:p>
      <w:r>
        <w:rPr>
          <w:b/>
          <w:color w:val="1E3A8A"/>
        </w:rPr>
        <w:t xml:space="preserve">18. </w:t>
      </w:r>
    </w:p>
    <w:p>
      <w:pPr>
        <w:ind w:left="432"/>
      </w:pPr>
      <w:r>
        <w:rPr>
          <w:b/>
          <w:color w:val="D4A017"/>
          <w:sz w:val="18"/>
        </w:rPr>
        <w:t xml:space="preserve">[Note] </w:t>
      </w:r>
      <w:r>
        <w:rPr>
          <w:b/>
          <w:color w:val="5A4B1A"/>
          <w:sz w:val="18"/>
        </w:rPr>
        <w:t>Restraint into the tenth.</w:t>
      </w:r>
      <w:r>
        <w:rPr>
          <w:color w:val="5A4B1A"/>
          <w:sz w:val="18"/>
        </w:rPr>
        <w:t xml:space="preserve"> The custom of refraining from meat and wine until midday of the tenth is codified in the </w:t>
      </w:r>
      <w:r>
        <w:rPr>
          <w:i/>
          <w:color w:val="5A4B1A"/>
          <w:sz w:val="18"/>
        </w:rPr>
        <w:t>Shulchan Aruch</w:t>
      </w:r>
      <w:r>
        <w:rPr>
          <w:color w:val="5A4B1A"/>
          <w:sz w:val="18"/>
        </w:rPr>
        <w:t xml:space="preserve"> (</w:t>
      </w:r>
      <w:r>
        <w:rPr>
          <w:i/>
          <w:color w:val="5A4B1A"/>
          <w:sz w:val="18"/>
        </w:rPr>
        <w:t>Hilchos Tisha B’Av</w:t>
      </w:r>
      <w:r>
        <w:rPr>
          <w:color w:val="5A4B1A"/>
          <w:sz w:val="18"/>
        </w:rPr>
        <w:t xml:space="preserve">), and is not derived in </w:t>
      </w:r>
      <w:r>
        <w:rPr>
          <w:i/>
          <w:color w:val="5A4B1A"/>
          <w:sz w:val="18"/>
        </w:rPr>
        <w:t>Taanis</w:t>
      </w:r>
      <w:r>
        <w:rPr>
          <w:color w:val="5A4B1A"/>
          <w:sz w:val="18"/>
        </w:rPr>
        <w:t xml:space="preserve"> 29a. </w:t>
      </w:r>
      <w:r>
        <w:rPr>
          <w:i/>
          <w:color w:val="5A4B1A"/>
          <w:sz w:val="18"/>
        </w:rPr>
        <w:t>Caveat:</w:t>
      </w:r>
      <w:r>
        <w:rPr>
          <w:color w:val="5A4B1A"/>
          <w:sz w:val="18"/>
        </w:rPr>
        <w:t xml:space="preserve"> the precise </w:t>
      </w:r>
      <w:r>
        <w:rPr>
          <w:i/>
          <w:color w:val="5A4B1A"/>
          <w:sz w:val="18"/>
        </w:rPr>
        <w:t>siman</w:t>
      </w:r>
      <w:r>
        <w:rPr>
          <w:color w:val="5A4B1A"/>
          <w:sz w:val="18"/>
        </w:rPr>
        <w:t xml:space="preserve"> was not verified in this pass. The delivered text stated the rule in terms of a particular year (“Sunday night through midday Monday”); it is restated here in general terms.</w:t>
      </w:r>
    </w:p>
    <w:p>
      <w:r>
        <w:rPr>
          <w:b/>
          <w:color w:val="1E3A8A"/>
        </w:rPr>
        <w:t xml:space="preserve">19. </w:t>
      </w:r>
    </w:p>
    <w:p>
      <w:pPr>
        <w:ind w:left="432"/>
      </w:pPr>
      <w:r>
        <w:rPr>
          <w:b/>
          <w:color w:val="D4A017"/>
          <w:sz w:val="18"/>
        </w:rPr>
        <w:t xml:space="preserve">[Note] </w:t>
      </w:r>
      <w:r>
        <w:rPr>
          <w:b/>
          <w:i/>
          <w:color w:val="5A4B1A"/>
          <w:sz w:val="18"/>
        </w:rPr>
        <w:t>Mashiach</w:t>
      </w:r>
      <w:r>
        <w:rPr>
          <w:b/>
          <w:color w:val="5A4B1A"/>
          <w:sz w:val="18"/>
        </w:rPr>
        <w:t xml:space="preserve"> born on </w:t>
      </w:r>
      <w:r>
        <w:rPr>
          <w:b/>
          <w:i/>
          <w:color w:val="5A4B1A"/>
          <w:sz w:val="18"/>
        </w:rPr>
        <w:t>Tisha B’Av</w:t>
      </w:r>
      <w:r>
        <w:rPr>
          <w:b/>
          <w:color w:val="5A4B1A"/>
          <w:sz w:val="18"/>
        </w:rPr>
        <w:t>.</w:t>
      </w:r>
      <w:r>
        <w:rPr>
          <w:color w:val="5A4B1A"/>
          <w:sz w:val="18"/>
        </w:rPr>
        <w:t xml:space="preserve"> The tradition appears in the </w:t>
      </w:r>
      <w:r>
        <w:rPr>
          <w:i/>
          <w:color w:val="5A4B1A"/>
          <w:sz w:val="18"/>
        </w:rPr>
        <w:t>Yerushalmi</w:t>
      </w:r>
      <w:r>
        <w:rPr>
          <w:color w:val="5A4B1A"/>
          <w:sz w:val="18"/>
        </w:rPr>
        <w:t xml:space="preserve"> (</w:t>
      </w:r>
      <w:r>
        <w:rPr>
          <w:i/>
          <w:color w:val="5A4B1A"/>
          <w:sz w:val="18"/>
        </w:rPr>
        <w:t>Berachos</w:t>
      </w:r>
      <w:r>
        <w:rPr>
          <w:color w:val="5A4B1A"/>
          <w:sz w:val="18"/>
        </w:rPr>
        <w:t xml:space="preserve"> 2:4) and in </w:t>
      </w:r>
      <w:r>
        <w:rPr>
          <w:i/>
          <w:color w:val="5A4B1A"/>
          <w:sz w:val="18"/>
        </w:rPr>
        <w:t>Eichah Rabbah</w:t>
      </w:r>
      <w:r>
        <w:rPr>
          <w:color w:val="5A4B1A"/>
          <w:sz w:val="18"/>
        </w:rPr>
        <w:t xml:space="preserve"> (1:51). </w:t>
      </w:r>
      <w:r>
        <w:rPr>
          <w:i/>
          <w:color w:val="5A4B1A"/>
          <w:sz w:val="18"/>
        </w:rPr>
        <w:t>Caveat:</w:t>
      </w:r>
      <w:r>
        <w:rPr>
          <w:color w:val="5A4B1A"/>
          <w:sz w:val="18"/>
        </w:rPr>
        <w:t xml:space="preserve"> these references are supplied from the standard literature; the delivered text gave no source, and they were not verified in this pass. That this </w:t>
      </w:r>
      <w:r>
        <w:rPr>
          <w:i/>
          <w:color w:val="5A4B1A"/>
          <w:sz w:val="18"/>
        </w:rPr>
        <w:t>mesorah</w:t>
      </w:r>
      <w:r>
        <w:rPr>
          <w:color w:val="5A4B1A"/>
          <w:sz w:val="18"/>
        </w:rPr>
        <w:t xml:space="preserve"> is the ground of the midday </w:t>
      </w:r>
      <w:r>
        <w:rPr>
          <w:i/>
          <w:color w:val="5A4B1A"/>
          <w:sz w:val="18"/>
        </w:rPr>
        <w:t>kulah</w:t>
      </w:r>
      <w:r>
        <w:rPr>
          <w:color w:val="5A4B1A"/>
          <w:sz w:val="18"/>
        </w:rPr>
        <w:t xml:space="preserve"> is the Rav’s explanation; others ground the relief after midday in the burning continuing into the tenth.</w:t>
      </w:r>
    </w:p>
    <w:p>
      <w:r>
        <w:rPr>
          <w:b/>
          <w:color w:val="1E3A8A"/>
        </w:rPr>
        <w:t xml:space="preserve">20. </w:t>
      </w:r>
      <w:r>
        <w:rPr>
          <w:b/>
          <w:i/>
          <w:color w:val="1E3A8A"/>
        </w:rPr>
        <w:t>Taanis</w:t>
      </w:r>
      <w:r>
        <w:rPr>
          <w:b/>
          <w:color w:val="1E3A8A"/>
        </w:rPr>
        <w:t xml:space="preserve"> 29a — </w:t>
      </w:r>
      <w:r>
        <w:rPr>
          <w:b/>
          <w:i/>
          <w:color w:val="1E3A8A"/>
        </w:rPr>
        <w:t>Rebbi Yochanan</w:t>
      </w:r>
      <w:r>
        <w:rPr>
          <w:b/>
          <w:color w:val="1E3A8A"/>
        </w:rPr>
        <w:t>: the fast should have been the tenth.</w:t>
      </w:r>
      <w:r>
        <w:t xml:space="preserve"> </w:t>
      </w:r>
      <w:r>
        <w:t xml:space="preserve">— </w:t>
      </w:r>
      <w:r>
        <w:rPr>
          <w:rFonts w:ascii="David" w:hAnsi="David"/>
        </w:rPr>
        <w:t>אילמלי הייתי באותו הדור לא קבעתיו אלא בעשירי, מפני שרובו של היכל בו נשרף. ורבנן — אתחלתא דפורענותא עדיפא</w:t>
      </w:r>
      <w:r>
        <w:t xml:space="preserve"> — quoted verbatim (verified against Sefaria). </w:t>
      </w:r>
      <w:r>
        <w:rPr>
          <w:i/>
        </w:rPr>
        <w:t>Chazal</w:t>
      </w:r>
      <w:r>
        <w:t xml:space="preserve"> reject this view: the fast marks </w:t>
      </w:r>
      <w:r>
        <w:rPr>
          <w:i/>
        </w:rPr>
        <w:t>techilas ha-pur’anus</w:t>
      </w:r>
      <w:r>
        <w:t>, the moment the fire was set, not the moment of greatest damage.</w:t>
      </w:r>
    </w:p>
    <w:p>
      <w:r>
        <w:rPr>
          <w:b/>
          <w:color w:val="1E3A8A"/>
        </w:rPr>
        <w:t xml:space="preserve">21. </w:t>
      </w:r>
      <w:r>
        <w:rPr>
          <w:b/>
          <w:i/>
          <w:color w:val="1E3A8A"/>
        </w:rPr>
        <w:t>Bava Kamma</w:t>
      </w:r>
      <w:r>
        <w:rPr>
          <w:b/>
          <w:color w:val="1E3A8A"/>
        </w:rPr>
        <w:t xml:space="preserve"> 22a — </w:t>
      </w:r>
      <w:r>
        <w:rPr>
          <w:b/>
          <w:i/>
          <w:color w:val="1E3A8A"/>
        </w:rPr>
        <w:t>mishum chitzav</w:t>
      </w:r>
      <w:r>
        <w:rPr>
          <w:b/>
          <w:color w:val="1E3A8A"/>
        </w:rPr>
        <w:t xml:space="preserve"> versus </w:t>
      </w:r>
      <w:r>
        <w:rPr>
          <w:b/>
          <w:i/>
          <w:color w:val="1E3A8A"/>
        </w:rPr>
        <w:t>mishum mamono</w:t>
      </w:r>
      <w:r>
        <w:rPr>
          <w:b/>
          <w:color w:val="1E3A8A"/>
        </w:rPr>
        <w:t>.</w:t>
      </w:r>
      <w:r>
        <w:t xml:space="preserve"> </w:t>
      </w:r>
      <w:r>
        <w:t xml:space="preserve">— </w:t>
      </w:r>
      <w:r>
        <w:rPr>
          <w:i/>
        </w:rPr>
        <w:t>Rebbi Yochanan</w:t>
      </w:r>
      <w:r>
        <w:t xml:space="preserve">: </w:t>
      </w:r>
      <w:r>
        <w:rPr>
          <w:rFonts w:ascii="David" w:hAnsi="David"/>
        </w:rPr>
        <w:t>אשו משום חיציו</w:t>
      </w:r>
      <w:r>
        <w:t xml:space="preserve">; </w:t>
      </w:r>
      <w:r>
        <w:rPr>
          <w:i/>
        </w:rPr>
        <w:t>Resh Lakish</w:t>
      </w:r>
      <w:r>
        <w:t xml:space="preserve">: </w:t>
      </w:r>
      <w:r>
        <w:rPr>
          <w:rFonts w:ascii="David" w:hAnsi="David"/>
        </w:rPr>
        <w:t>אשו משום ממונו</w:t>
      </w:r>
      <w:r>
        <w:t xml:space="preserve">. </w:t>
      </w:r>
      <w:r>
        <w:rPr>
          <w:i/>
        </w:rPr>
        <w:t>Resh Lakish</w:t>
      </w:r>
      <w:r>
        <w:t xml:space="preserve"> reasons that fire is not an arrow, which proceeds by its owner’s own force; </w:t>
      </w:r>
      <w:r>
        <w:rPr>
          <w:i/>
        </w:rPr>
        <w:t>Rebbi Yochanan</w:t>
      </w:r>
      <w:r>
        <w:t xml:space="preserve"> that fire is not property, which is a tangible substance. The </w:t>
      </w:r>
      <w:r>
        <w:rPr>
          <w:i/>
        </w:rPr>
        <w:t>sugya</w:t>
      </w:r>
      <w:r>
        <w:t xml:space="preserve"> develops across the following </w:t>
      </w:r>
      <w:r>
        <w:rPr>
          <w:i/>
        </w:rPr>
        <w:t>amud</w:t>
      </w:r>
      <w:r>
        <w:t xml:space="preserve"> (verified for 22a). The </w:t>
      </w:r>
      <w:r>
        <w:rPr>
          <w:i/>
        </w:rPr>
        <w:t>lomdish</w:t>
      </w:r>
      <w:r>
        <w:t xml:space="preserve"> linking of </w:t>
      </w:r>
      <w:r>
        <w:rPr>
          <w:i/>
        </w:rPr>
        <w:t>Rebbi Yochanan</w:t>
      </w:r>
      <w:r>
        <w:t xml:space="preserve">’s position on the date of the fast to his position here is a </w:t>
      </w:r>
      <w:r>
        <w:rPr>
          <w:i/>
        </w:rPr>
        <w:t>tzeiruf</w:t>
      </w:r>
      <w:r>
        <w:t xml:space="preserve"> advanced in the exposition and not found in these sources.</w:t>
      </w:r>
    </w:p>
    <w:p>
      <w:r>
        <w:rPr>
          <w:b/>
          <w:color w:val="1E3A8A"/>
        </w:rPr>
        <w:t xml:space="preserve">22. </w:t>
      </w:r>
      <w:r>
        <w:rPr>
          <w:b/>
          <w:i/>
          <w:color w:val="1E3A8A"/>
        </w:rPr>
        <w:t>Bava Kamma</w:t>
      </w:r>
      <w:r>
        <w:rPr>
          <w:b/>
          <w:color w:val="1E3A8A"/>
        </w:rPr>
        <w:t xml:space="preserve"> 16a — the spine that becomes a snake.</w:t>
      </w:r>
      <w:r>
        <w:t xml:space="preserve"> </w:t>
      </w:r>
      <w:r>
        <w:t xml:space="preserve">— The passage is a </w:t>
      </w:r>
      <w:r>
        <w:rPr>
          <w:i/>
        </w:rPr>
        <w:t>baraisa</w:t>
      </w:r>
      <w:r>
        <w:t xml:space="preserve"> that describes a sequence of transformations (</w:t>
      </w:r>
      <w:r>
        <w:rPr>
          <w:rFonts w:ascii="David" w:hAnsi="David"/>
        </w:rPr>
        <w:t>צבוע זכר לאחר שבע שנים נעשה עטלף</w:t>
      </w:r>
      <w:r>
        <w:t xml:space="preserve"> and onward) and concludes: </w:t>
      </w:r>
      <w:r>
        <w:rPr>
          <w:rFonts w:ascii="David" w:hAnsi="David"/>
        </w:rPr>
        <w:t>שדרו של אדם לאחר שבע שנים נעשה נחש, והני מילי דלא כרע במודים</w:t>
      </w:r>
      <w:r>
        <w:t xml:space="preserve">. It establishes the </w:t>
      </w:r>
      <w:r>
        <w:rPr>
          <w:i/>
        </w:rPr>
        <w:t>chiyuv</w:t>
      </w:r>
      <w:r>
        <w:t xml:space="preserve"> of bowing at </w:t>
      </w:r>
      <w:r>
        <w:rPr>
          <w:i/>
        </w:rPr>
        <w:t>Modim</w:t>
      </w:r>
      <w:r>
        <w:t xml:space="preserve">, one of the four bows of </w:t>
      </w:r>
      <w:r>
        <w:rPr>
          <w:i/>
        </w:rPr>
        <w:t>Shemoneh Esrei</w:t>
      </w:r>
      <w:r>
        <w:t xml:space="preserve">. (Verified against Sefaria; the earlier paraphrase, </w:t>
      </w:r>
      <w:r>
        <w:rPr>
          <w:rFonts w:ascii="David" w:hAnsi="David"/>
        </w:rPr>
        <w:t>מי שאינו כורע במודים...</w:t>
      </w:r>
      <w:r>
        <w:t>, has been replaced by the actual text.)</w:t>
      </w:r>
    </w:p>
    <w:p>
      <w:r>
        <w:rPr>
          <w:b/>
          <w:color w:val="1E3A8A"/>
        </w:rPr>
        <w:t xml:space="preserve">23. </w:t>
      </w:r>
      <w:r>
        <w:rPr>
          <w:b/>
          <w:i/>
          <w:color w:val="1E3A8A"/>
        </w:rPr>
        <w:t>Tosafos Bava Kamma</w:t>
      </w:r>
      <w:r>
        <w:rPr>
          <w:b/>
          <w:color w:val="1E3A8A"/>
        </w:rPr>
        <w:t xml:space="preserve"> 16a, </w:t>
      </w:r>
      <w:r>
        <w:rPr>
          <w:b/>
          <w:i/>
          <w:color w:val="1E3A8A"/>
        </w:rPr>
        <w:t>d”h v’hu d’lo chara b’Modim</w:t>
      </w:r>
      <w:r>
        <w:rPr>
          <w:b/>
          <w:color w:val="1E3A8A"/>
        </w:rPr>
        <w:t xml:space="preserve"> — measure for measure; the </w:t>
      </w:r>
      <w:r>
        <w:rPr>
          <w:b/>
          <w:i/>
          <w:color w:val="1E3A8A"/>
        </w:rPr>
        <w:t>etzem ha-luz</w:t>
      </w:r>
      <w:r>
        <w:rPr>
          <w:b/>
          <w:color w:val="1E3A8A"/>
        </w:rPr>
        <w:t xml:space="preserve"> in the printed gloss.</w:t>
      </w:r>
      <w:r>
        <w:t xml:space="preserve"> </w:t>
      </w:r>
      <w:r>
        <w:t xml:space="preserve">— </w:t>
      </w:r>
      <w:r>
        <w:rPr>
          <w:rFonts w:ascii="David" w:hAnsi="David"/>
        </w:rPr>
        <w:t>לפי שמצוה לכרוע, וכי זקיף זקיף כחויא... מדה כנגד מדה ונעשה נחש זהו עונשו, שגנאי הוא לו במה שנעשה נחש</w:t>
      </w:r>
      <w:r>
        <w:t xml:space="preserve"> — because bowing is a </w:t>
      </w:r>
      <w:r>
        <w:rPr>
          <w:i/>
        </w:rPr>
        <w:t>mitzvah</w:t>
      </w:r>
      <w:r>
        <w:t xml:space="preserve">, and he rose like a snake (as with </w:t>
      </w:r>
      <w:r>
        <w:rPr>
          <w:i/>
        </w:rPr>
        <w:t>Rav Sheishes</w:t>
      </w:r>
      <w:r>
        <w:t xml:space="preserve">, </w:t>
      </w:r>
      <w:r>
        <w:rPr>
          <w:i/>
        </w:rPr>
        <w:t>Berachos</w:t>
      </w:r>
      <w:r>
        <w:t xml:space="preserve"> 12b), measure for measure he is made a snake. A </w:t>
      </w:r>
      <w:r>
        <w:rPr>
          <w:i/>
        </w:rPr>
        <w:t>gilayon</w:t>
      </w:r>
      <w:r>
        <w:t xml:space="preserve"> printed beside it adds </w:t>
      </w:r>
      <w:r>
        <w:rPr>
          <w:rFonts w:ascii="David" w:hAnsi="David"/>
        </w:rPr>
        <w:t>ויש מפרשים</w:t>
      </w:r>
      <w:r>
        <w:t xml:space="preserve">: there is a bone in the spine from which a person is re-formed in the future, so hard that fire cannot burn it; if it became a snake he would not live in the future — and the gloss rejects this: </w:t>
      </w:r>
      <w:r>
        <w:rPr>
          <w:rFonts w:ascii="David" w:hAnsi="David"/>
        </w:rPr>
        <w:t>ואין סברא לומר שיהא עונש גדול כל כך בשביל עון זה, דהא כל ישראל יש להם חלק לעולם הבא</w:t>
      </w:r>
      <w:r>
        <w:t>.</w:t>
      </w:r>
    </w:p>
    <w:p>
      <w:pPr>
        <w:ind w:left="432"/>
      </w:pPr>
      <w:r>
        <w:rPr>
          <w:b/>
          <w:color w:val="D4A017"/>
          <w:sz w:val="18"/>
        </w:rPr>
        <w:t xml:space="preserve">[Note] </w:t>
      </w:r>
      <w:r>
        <w:rPr>
          <w:b/>
          <w:color w:val="5A4B1A"/>
          <w:sz w:val="18"/>
        </w:rPr>
        <w:t>Flag:</w:t>
      </w:r>
      <w:r>
        <w:rPr>
          <w:color w:val="5A4B1A"/>
          <w:sz w:val="18"/>
        </w:rPr>
        <w:t xml:space="preserve"> </w:t>
      </w:r>
      <w:r>
        <w:rPr>
          <w:i/>
          <w:color w:val="5A4B1A"/>
          <w:sz w:val="18"/>
        </w:rPr>
        <w:t>Sefaria verification:</w:t>
      </w:r>
      <w:r>
        <w:rPr>
          <w:color w:val="5A4B1A"/>
          <w:sz w:val="18"/>
        </w:rPr>
        <w:t xml:space="preserve"> the delivered exposition attributed the </w:t>
      </w:r>
      <w:r>
        <w:rPr>
          <w:i/>
          <w:color w:val="5A4B1A"/>
          <w:sz w:val="18"/>
        </w:rPr>
        <w:t>luz</w:t>
      </w:r>
      <w:r>
        <w:rPr>
          <w:color w:val="5A4B1A"/>
          <w:sz w:val="18"/>
        </w:rPr>
        <w:t xml:space="preserve"> proposal and its rejection to </w:t>
      </w:r>
      <w:r>
        <w:rPr>
          <w:i/>
          <w:color w:val="5A4B1A"/>
          <w:sz w:val="18"/>
        </w:rPr>
        <w:t>Tosafos</w:t>
      </w:r>
      <w:r>
        <w:rPr>
          <w:color w:val="5A4B1A"/>
          <w:sz w:val="18"/>
        </w:rPr>
        <w:t xml:space="preserve"> itself; on Sefaria it appears in the printed </w:t>
      </w:r>
      <w:r>
        <w:rPr>
          <w:i/>
          <w:color w:val="5A4B1A"/>
          <w:sz w:val="18"/>
        </w:rPr>
        <w:t>gilayon</w:t>
      </w:r>
      <w:r>
        <w:rPr>
          <w:color w:val="5A4B1A"/>
          <w:sz w:val="18"/>
        </w:rPr>
        <w:t xml:space="preserve"> (“some explain”), not in the body of the </w:t>
      </w:r>
      <w:r>
        <w:rPr>
          <w:i/>
          <w:color w:val="5A4B1A"/>
          <w:sz w:val="18"/>
        </w:rPr>
        <w:t>Tosafos</w:t>
      </w:r>
      <w:r>
        <w:rPr>
          <w:color w:val="5A4B1A"/>
          <w:sz w:val="18"/>
        </w:rPr>
        <w:t>. The body text and this note reflect the printed text.</w:t>
      </w:r>
    </w:p>
    <w:p>
      <w:r>
        <w:rPr>
          <w:b/>
          <w:color w:val="1E3A8A"/>
        </w:rPr>
        <w:t xml:space="preserve">24. </w:t>
      </w:r>
      <w:r>
        <w:rPr>
          <w:b/>
          <w:i/>
          <w:color w:val="1E3A8A"/>
        </w:rPr>
        <w:t>Shulchan Aruch Orach Chayim</w:t>
      </w:r>
      <w:r>
        <w:rPr>
          <w:b/>
          <w:color w:val="1E3A8A"/>
        </w:rPr>
        <w:t xml:space="preserve"> 113:7; </w:t>
      </w:r>
      <w:r>
        <w:rPr>
          <w:b/>
          <w:i/>
          <w:color w:val="1E3A8A"/>
        </w:rPr>
        <w:t>Mishnah Berurah</w:t>
      </w:r>
      <w:r>
        <w:rPr>
          <w:b/>
          <w:color w:val="1E3A8A"/>
        </w:rPr>
        <w:t xml:space="preserve"> there — bowing at </w:t>
      </w:r>
      <w:r>
        <w:rPr>
          <w:b/>
          <w:i/>
          <w:color w:val="1E3A8A"/>
        </w:rPr>
        <w:t>Baruch</w:t>
      </w:r>
      <w:r>
        <w:rPr>
          <w:b/>
          <w:color w:val="1E3A8A"/>
        </w:rPr>
        <w:t>, standing at the Name; the depth of the bow.</w:t>
      </w:r>
      <w:r>
        <w:t xml:space="preserve"> </w:t>
      </w:r>
      <w:r>
        <w:t xml:space="preserve">— </w:t>
      </w:r>
      <w:r>
        <w:rPr>
          <w:i/>
        </w:rPr>
        <w:t>Shulchan Aruch</w:t>
      </w:r>
      <w:r>
        <w:t xml:space="preserve"> 113:7: </w:t>
      </w:r>
      <w:r>
        <w:rPr>
          <w:rFonts w:ascii="David" w:hAnsi="David"/>
        </w:rPr>
        <w:t>כשכורע כורע בברוך וכשזוקף זוקף בשם</w:t>
      </w:r>
      <w:r>
        <w:t xml:space="preserve"> (verified). The requirement of bowing </w:t>
      </w:r>
      <w:r>
        <w:rPr>
          <w:rFonts w:ascii="David" w:hAnsi="David"/>
        </w:rPr>
        <w:t>עד שיתפקקו כל חוליות שבשדרה</w:t>
      </w:r>
      <w:r>
        <w:t xml:space="preserve"> and the allowances for those with back conditions are developed in the </w:t>
      </w:r>
      <w:r>
        <w:rPr>
          <w:i/>
        </w:rPr>
        <w:t>poskim</w:t>
      </w:r>
      <w:r>
        <w:t>.</w:t>
      </w:r>
    </w:p>
    <w:p>
      <w:pPr>
        <w:ind w:left="432"/>
      </w:pPr>
      <w:r>
        <w:rPr>
          <w:b/>
          <w:color w:val="D4A017"/>
          <w:sz w:val="18"/>
        </w:rPr>
        <w:t xml:space="preserve">[Note] </w:t>
      </w:r>
      <w:r>
        <w:rPr>
          <w:b/>
          <w:color w:val="5A4B1A"/>
          <w:sz w:val="18"/>
        </w:rPr>
        <w:t>Flag:</w:t>
      </w:r>
      <w:r>
        <w:rPr>
          <w:color w:val="5A4B1A"/>
          <w:sz w:val="18"/>
        </w:rPr>
        <w:t xml:space="preserve"> The wording of the </w:t>
      </w:r>
      <w:r>
        <w:rPr>
          <w:i/>
          <w:color w:val="5A4B1A"/>
          <w:sz w:val="18"/>
        </w:rPr>
        <w:t>Mishnah Berurah</w:t>
      </w:r>
      <w:r>
        <w:rPr>
          <w:color w:val="5A4B1A"/>
          <w:sz w:val="18"/>
        </w:rPr>
        <w:t xml:space="preserve"> on a partial bow for those with back conditions was not located in this pass; the page-level reference should be verified before it is relied upon.</w:t>
      </w:r>
    </w:p>
    <w:p>
      <w:r>
        <w:rPr>
          <w:b/>
          <w:color w:val="1E3A8A"/>
        </w:rPr>
        <w:t xml:space="preserve">25. </w:t>
      </w:r>
      <w:r>
        <w:rPr>
          <w:b/>
          <w:i/>
          <w:color w:val="1E3A8A"/>
        </w:rPr>
        <w:t>Tehillim</w:t>
      </w:r>
      <w:r>
        <w:rPr>
          <w:b/>
          <w:color w:val="1E3A8A"/>
        </w:rPr>
        <w:t xml:space="preserve"> 35:10 — </w:t>
      </w:r>
      <w:r>
        <w:rPr>
          <w:b/>
          <w:i/>
          <w:color w:val="1E3A8A"/>
        </w:rPr>
        <w:t>“kol atzmosai tomarnah Hashem mi chamocha”</w:t>
      </w:r>
      <w:r>
        <w:rPr>
          <w:b/>
          <w:color w:val="1E3A8A"/>
        </w:rPr>
        <w:t>.</w:t>
      </w:r>
      <w:r>
        <w:t xml:space="preserve"> </w:t>
      </w:r>
      <w:r>
        <w:t xml:space="preserve">— </w:t>
      </w:r>
      <w:r>
        <w:rPr>
          <w:i/>
        </w:rPr>
        <w:t>David HaMelech</w:t>
      </w:r>
      <w:r>
        <w:t xml:space="preserve">: </w:t>
      </w:r>
      <w:r>
        <w:rPr>
          <w:i/>
        </w:rPr>
        <w:t>“All my bones shall declare, Hashem, who is like You?”</w:t>
      </w:r>
      <w:r>
        <w:t xml:space="preserve"> The </w:t>
      </w:r>
      <w:r>
        <w:rPr>
          <w:i/>
        </w:rPr>
        <w:t>Yerushalmi</w:t>
      </w:r>
      <w:r>
        <w:t xml:space="preserve"> (</w:t>
      </w:r>
      <w:r>
        <w:rPr>
          <w:i/>
        </w:rPr>
        <w:t>Berachos</w:t>
      </w:r>
      <w:r>
        <w:t xml:space="preserve"> 4:3, </w:t>
      </w:r>
      <w:r>
        <w:rPr>
          <w:i/>
        </w:rPr>
        <w:t>Rabbi Simon</w:t>
      </w:r>
      <w:r>
        <w:t xml:space="preserve">) cites the verse as the ground for bowing through all the vertebrae of the spine, corresponding to the eighteen </w:t>
      </w:r>
      <w:r>
        <w:rPr>
          <w:i/>
        </w:rPr>
        <w:t>berachos</w:t>
      </w:r>
      <w:r>
        <w:t xml:space="preserve">. (Verified: text as quoted in the </w:t>
      </w:r>
      <w:r>
        <w:rPr>
          <w:i/>
        </w:rPr>
        <w:t>Yerushalmi</w:t>
      </w:r>
      <w:r>
        <w:t>.)</w:t>
      </w:r>
    </w:p>
    <w:p>
      <w:r>
        <w:rPr>
          <w:b/>
          <w:color w:val="1E3A8A"/>
        </w:rPr>
        <w:t xml:space="preserve">26. </w:t>
      </w:r>
    </w:p>
    <w:p>
      <w:pPr>
        <w:ind w:left="432"/>
      </w:pPr>
      <w:r>
        <w:rPr>
          <w:b/>
          <w:color w:val="D4A017"/>
          <w:sz w:val="18"/>
        </w:rPr>
        <w:t xml:space="preserve">[Note] </w:t>
      </w:r>
      <w:r>
        <w:rPr>
          <w:b/>
          <w:color w:val="5A4B1A"/>
          <w:sz w:val="18"/>
        </w:rPr>
        <w:t xml:space="preserve">The </w:t>
      </w:r>
      <w:r>
        <w:rPr>
          <w:b/>
          <w:i/>
          <w:color w:val="5A4B1A"/>
          <w:sz w:val="18"/>
        </w:rPr>
        <w:t>acharon</w:t>
      </w:r>
      <w:r>
        <w:rPr>
          <w:color w:val="5A4B1A"/>
          <w:sz w:val="18"/>
        </w:rPr>
        <w:t xml:space="preserve"> to whom this </w:t>
      </w:r>
      <w:r>
        <w:rPr>
          <w:i/>
          <w:color w:val="5A4B1A"/>
          <w:sz w:val="18"/>
        </w:rPr>
        <w:t>chiddush</w:t>
      </w:r>
      <w:r>
        <w:rPr>
          <w:color w:val="5A4B1A"/>
          <w:sz w:val="18"/>
        </w:rPr>
        <w:t xml:space="preserve"> is attributed was not named in the delivered exposition. </w:t>
      </w:r>
      <w:r>
        <w:rPr>
          <w:i/>
          <w:color w:val="5A4B1A"/>
          <w:sz w:val="18"/>
        </w:rPr>
        <w:t>Caveat:</w:t>
      </w:r>
      <w:r>
        <w:rPr>
          <w:color w:val="5A4B1A"/>
          <w:sz w:val="18"/>
        </w:rPr>
        <w:t xml:space="preserve"> until he is named, the reading should be understood as one view reported without attribution, and not as an established position in the </w:t>
      </w:r>
      <w:r>
        <w:rPr>
          <w:i/>
          <w:color w:val="5A4B1A"/>
          <w:sz w:val="18"/>
        </w:rPr>
        <w:t>acharonim</w:t>
      </w:r>
      <w:r>
        <w:rPr>
          <w:color w:val="5A4B1A"/>
          <w:sz w:val="18"/>
        </w:rPr>
        <w:t xml:space="preserve">; the precise halachic status (a </w:t>
      </w:r>
      <w:r>
        <w:rPr>
          <w:i/>
          <w:color w:val="5A4B1A"/>
          <w:sz w:val="18"/>
        </w:rPr>
        <w:t>kavanah</w:t>
      </w:r>
      <w:r>
        <w:rPr>
          <w:color w:val="5A4B1A"/>
          <w:sz w:val="18"/>
        </w:rPr>
        <w:t>, or an obligation at that word) is likewise unspecified.</w:t>
      </w:r>
    </w:p>
    <w:p>
      <w:pPr>
        <w:pBdr>
          <w:bottom w:val="single" w:sz="6" w:space="1" w:color="B8860B"/>
        </w:pBdr>
      </w:pPr>
    </w:p>
    <w:p>
      <w:pPr>
        <w:jc w:val="center"/>
      </w:pPr>
      <w:r>
        <w:rPr>
          <w:i/>
          <w:color w:val="5A4B1A"/>
          <w:sz w:val="18"/>
        </w:rPr>
        <w:br/>
        <w:t xml:space="preserve">  Sefer Edition of Rabbi Ephrati’s Sunday-morning shiur on </w:t>
      </w:r>
      <w:r>
        <w:rPr>
          <w:i/>
          <w:color w:val="5A4B1A"/>
          <w:sz w:val="18"/>
        </w:rPr>
        <w:t>Tefillah</w:t>
      </w:r>
      <w:r>
        <w:rPr>
          <w:i/>
          <w:color w:val="5A4B1A"/>
          <w:sz w:val="18"/>
        </w:rPr>
        <w:t xml:space="preserve">, recorded </w:t>
      </w:r>
      <w:r>
        <w:rPr>
          <w:rFonts w:ascii="David" w:hAnsi="David"/>
          <w:i/>
          <w:color w:val="5A4B1A"/>
          <w:sz w:val="18"/>
        </w:rPr>
        <w:t>ג׳ אב תשפ״ה</w:t>
      </w:r>
      <w:r>
        <w:rPr>
          <w:i/>
          <w:color w:val="5A4B1A"/>
          <w:sz w:val="18"/>
        </w:rPr>
        <w:t xml:space="preserve"> · 27 July 2025. This edition rewrites the delivered shiur in the classical sefer voice; corrects the </w:t>
      </w:r>
      <w:r>
        <w:rPr>
          <w:i/>
          <w:color w:val="5A4B1A"/>
          <w:sz w:val="18"/>
        </w:rPr>
        <w:t>Taanis</w:t>
      </w:r>
      <w:r>
        <w:rPr>
          <w:i/>
          <w:color w:val="5A4B1A"/>
          <w:sz w:val="18"/>
        </w:rPr>
        <w:t xml:space="preserve"> 29a account (the fire set toward nightfall; </w:t>
      </w:r>
      <w:r>
        <w:rPr>
          <w:i/>
          <w:color w:val="5A4B1A"/>
          <w:sz w:val="18"/>
        </w:rPr>
        <w:t>Nevuzaradan</w:t>
      </w:r>
      <w:r>
        <w:rPr>
          <w:i/>
          <w:color w:val="5A4B1A"/>
          <w:sz w:val="18"/>
        </w:rPr>
        <w:t xml:space="preserve"> as the agent in </w:t>
      </w:r>
      <w:r>
        <w:rPr>
          <w:i/>
          <w:color w:val="5A4B1A"/>
          <w:sz w:val="18"/>
        </w:rPr>
        <w:t>Yirmeyahu</w:t>
      </w:r>
      <w:r>
        <w:rPr>
          <w:i/>
          <w:color w:val="5A4B1A"/>
          <w:sz w:val="18"/>
        </w:rPr>
        <w:t xml:space="preserve">); attributes the </w:t>
      </w:r>
      <w:r>
        <w:rPr>
          <w:i/>
          <w:color w:val="5A4B1A"/>
          <w:sz w:val="18"/>
        </w:rPr>
        <w:t>Shema Koleinu</w:t>
      </w:r>
      <w:r>
        <w:rPr>
          <w:i/>
          <w:color w:val="5A4B1A"/>
          <w:sz w:val="18"/>
        </w:rPr>
        <w:t xml:space="preserve"> ruling to the </w:t>
      </w:r>
      <w:r>
        <w:rPr>
          <w:i/>
          <w:color w:val="5A4B1A"/>
          <w:sz w:val="18"/>
        </w:rPr>
        <w:t>Taz</w:t>
      </w:r>
      <w:r>
        <w:rPr>
          <w:i/>
          <w:color w:val="5A4B1A"/>
          <w:sz w:val="18"/>
        </w:rPr>
        <w:t xml:space="preserve"> alone; restores the </w:t>
      </w:r>
      <w:r>
        <w:rPr>
          <w:i/>
          <w:color w:val="5A4B1A"/>
          <w:sz w:val="18"/>
        </w:rPr>
        <w:t>Rokeach</w:t>
      </w:r>
      <w:r>
        <w:rPr>
          <w:i/>
          <w:color w:val="5A4B1A"/>
          <w:sz w:val="18"/>
        </w:rPr>
        <w:t>/</w:t>
      </w:r>
      <w:r>
        <w:rPr>
          <w:i/>
          <w:color w:val="5A4B1A"/>
          <w:sz w:val="18"/>
        </w:rPr>
        <w:t>Avudraham</w:t>
      </w:r>
      <w:r>
        <w:rPr>
          <w:i/>
          <w:color w:val="5A4B1A"/>
          <w:sz w:val="18"/>
        </w:rPr>
        <w:t xml:space="preserve"> citations of the </w:t>
      </w:r>
      <w:r>
        <w:rPr>
          <w:i/>
          <w:color w:val="5A4B1A"/>
          <w:sz w:val="18"/>
        </w:rPr>
        <w:t>Rama</w:t>
      </w:r>
      <w:r>
        <w:rPr>
          <w:i/>
          <w:color w:val="5A4B1A"/>
          <w:sz w:val="18"/>
        </w:rPr>
        <w:t xml:space="preserve">; corrects the attribution of the </w:t>
      </w:r>
      <w:r>
        <w:rPr>
          <w:i/>
          <w:color w:val="5A4B1A"/>
          <w:sz w:val="18"/>
        </w:rPr>
        <w:t>etzem ha-luz</w:t>
      </w:r>
      <w:r>
        <w:rPr>
          <w:i/>
          <w:color w:val="5A4B1A"/>
          <w:sz w:val="18"/>
        </w:rPr>
        <w:t xml:space="preserve"> to the printed gloss beside the </w:t>
      </w:r>
      <w:r>
        <w:rPr>
          <w:i/>
          <w:color w:val="5A4B1A"/>
          <w:sz w:val="18"/>
        </w:rPr>
        <w:t>Tosafos</w:t>
      </w:r>
      <w:r>
        <w:rPr>
          <w:i/>
          <w:color w:val="5A4B1A"/>
          <w:sz w:val="18"/>
        </w:rPr>
        <w:t xml:space="preserve">; restores the grandfather’s riddle, the </w:t>
      </w:r>
      <w:r>
        <w:rPr>
          <w:i/>
          <w:color w:val="5A4B1A"/>
          <w:sz w:val="18"/>
        </w:rPr>
        <w:t>Eretz Yisrael</w:t>
      </w:r>
      <w:r>
        <w:rPr>
          <w:i/>
          <w:color w:val="5A4B1A"/>
          <w:sz w:val="18"/>
        </w:rPr>
        <w:t>/</w:t>
      </w:r>
      <w:r>
        <w:rPr>
          <w:i/>
          <w:color w:val="5A4B1A"/>
          <w:sz w:val="18"/>
        </w:rPr>
        <w:t>Chutz La’aretz</w:t>
      </w:r>
      <w:r>
        <w:rPr>
          <w:i/>
          <w:color w:val="5A4B1A"/>
          <w:sz w:val="18"/>
        </w:rPr>
        <w:t xml:space="preserve"> qualification on </w:t>
      </w:r>
      <w:r>
        <w:rPr>
          <w:i/>
          <w:color w:val="5A4B1A"/>
          <w:sz w:val="18"/>
        </w:rPr>
        <w:t>al achilas matzah</w:t>
      </w:r>
      <w:r>
        <w:rPr>
          <w:i/>
          <w:color w:val="5A4B1A"/>
          <w:sz w:val="18"/>
        </w:rPr>
        <w:t xml:space="preserve">, the </w:t>
      </w:r>
      <w:r>
        <w:rPr>
          <w:i/>
          <w:color w:val="5A4B1A"/>
          <w:sz w:val="18"/>
        </w:rPr>
        <w:t>Ritz Geyos</w:t>
      </w:r>
      <w:r>
        <w:rPr>
          <w:i/>
          <w:color w:val="5A4B1A"/>
          <w:sz w:val="18"/>
        </w:rPr>
        <w:t xml:space="preserve"> question, and the </w:t>
      </w:r>
      <w:r>
        <w:rPr>
          <w:i/>
          <w:color w:val="5A4B1A"/>
          <w:sz w:val="18"/>
        </w:rPr>
        <w:t>Avos</w:t>
      </w:r>
      <w:r>
        <w:rPr>
          <w:i/>
          <w:color w:val="5A4B1A"/>
          <w:sz w:val="18"/>
        </w:rPr>
        <w:t xml:space="preserve"> candidate for the children’s </w:t>
      </w:r>
      <w:r>
        <w:rPr>
          <w:i/>
          <w:color w:val="5A4B1A"/>
          <w:sz w:val="18"/>
        </w:rPr>
        <w:t>berachah</w:t>
      </w:r>
      <w:r>
        <w:rPr>
          <w:i/>
          <w:color w:val="5A4B1A"/>
          <w:sz w:val="18"/>
        </w:rPr>
        <w:t xml:space="preserve">; moves the discussion of the language of the </w:t>
      </w:r>
      <w:r>
        <w:rPr>
          <w:i/>
          <w:color w:val="5A4B1A"/>
          <w:sz w:val="18"/>
        </w:rPr>
        <w:t>nusach</w:t>
      </w:r>
      <w:r>
        <w:rPr>
          <w:i/>
          <w:color w:val="5A4B1A"/>
          <w:sz w:val="18"/>
        </w:rPr>
        <w:t xml:space="preserve"> beside the prohibition against altering it; and renumbers the </w:t>
      </w:r>
      <w:r>
        <w:rPr>
          <w:i/>
          <w:color w:val="5A4B1A"/>
          <w:sz w:val="18"/>
        </w:rPr>
        <w:t>Mareh Mekomos</w:t>
      </w:r>
      <w:r>
        <w:rPr>
          <w:i/>
          <w:color w:val="5A4B1A"/>
          <w:sz w:val="18"/>
        </w:rPr>
        <w:t xml:space="preserve"> in body order.</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