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B8860B"/>
        </w:pBdr>
      </w:pPr>
    </w:p>
    <w:p>
      <w:pPr>
        <w:jc w:val="center"/>
      </w:pPr>
      <w:r>
        <w:rPr>
          <w:rFonts w:ascii="David" w:hAnsi="David"/>
          <w:b/>
          <w:color w:val="1E3A8A"/>
          <w:sz w:val="36"/>
        </w:rPr>
        <w:t>מָגֵן אַבְרָהָם — נִשְׁמַת הַבְּרָכָה הָרִאשׁוֹנָה</w:t>
      </w:r>
    </w:p>
    <w:p>
      <w:pPr>
        <w:pBdr>
          <w:bottom w:val="single" w:sz="6" w:space="1" w:color="B8860B"/>
        </w:pBdr>
      </w:pPr>
    </w:p>
    <w:p>
      <w:r>
        <w:rPr>
          <w:i/>
        </w:rPr>
        <w:t xml:space="preserve">A single word stands at the head of the </w:t>
      </w:r>
      <w:r>
        <w:rPr>
          <w:rFonts w:ascii="David" w:hAnsi="David"/>
          <w:i/>
        </w:rPr>
        <w:t>שמונה עשרה</w:t>
      </w:r>
      <w:r>
        <w:rPr>
          <w:i/>
        </w:rPr>
        <w:t xml:space="preserve"> (Shemoneh Esrei) — </w:t>
      </w:r>
      <w:r>
        <w:rPr>
          <w:i/>
        </w:rPr>
        <w:t>“</w:t>
      </w:r>
      <w:r>
        <w:rPr>
          <w:rFonts w:ascii="David" w:hAnsi="David"/>
          <w:i/>
        </w:rPr>
        <w:t>מגן אברהם</w:t>
      </w:r>
      <w:r>
        <w:rPr>
          <w:i/>
        </w:rPr>
        <w:t>”</w:t>
      </w:r>
      <w:r>
        <w:rPr>
          <w:i/>
        </w:rPr>
        <w:t xml:space="preserve"> — and behind it three ranges of Jewish thought converge: the </w:t>
      </w:r>
      <w:r>
        <w:rPr>
          <w:rFonts w:ascii="David" w:hAnsi="David"/>
          <w:i/>
        </w:rPr>
        <w:t>חסידישע</w:t>
      </w:r>
      <w:r>
        <w:rPr>
          <w:i/>
        </w:rPr>
        <w:t xml:space="preserve"> (chassidishe) reading of the last generation, the halakhic-eschatological vision of the future </w:t>
      </w:r>
      <w:r>
        <w:rPr>
          <w:i/>
        </w:rPr>
        <w:t>avodah</w:t>
      </w:r>
      <w:r>
        <w:rPr>
          <w:i/>
        </w:rPr>
        <w:t>, and the messianic universalism of the uncensored Rambam. What follows is an attempt to draw them together.</w:t>
      </w:r>
    </w:p>
    <w:p>
      <w:r>
        <w:rPr>
          <w:b/>
          <w:color w:val="1E3A8A"/>
          <w:sz w:val="26"/>
        </w:rPr>
        <w:t>I. THE PUZZLE OF THE CHASIMAH</w:t>
      </w:r>
    </w:p>
    <w:p>
      <w:pPr>
        <w:pBdr>
          <w:bottom w:val="single" w:sz="6" w:space="1" w:color="B8860B"/>
        </w:pBdr>
      </w:pPr>
    </w:p>
    <w:p>
      <w:r>
        <w:rPr>
          <w:i/>
          <w:color w:val="B8860B"/>
          <w:sz w:val="24"/>
        </w:rPr>
        <w:t>The Source in Pesachim</w:t>
      </w:r>
    </w:p>
    <w:p>
      <w:r>
        <w:t xml:space="preserve">The </w:t>
      </w:r>
      <w:r>
        <w:rPr>
          <w:i/>
        </w:rPr>
        <w:t>Gemara</w:t>
      </w:r>
      <w:r>
        <w:t xml:space="preserve"> (</w:t>
      </w:r>
      <w:r>
        <w:rPr>
          <w:rFonts w:ascii="David" w:hAnsi="David"/>
        </w:rPr>
        <w:t>גמרא</w:t>
      </w:r>
      <w:r>
        <w:t xml:space="preserve">) in </w:t>
      </w:r>
      <w:r>
        <w:rPr>
          <w:i/>
        </w:rPr>
        <w:t>Pesachim</w:t>
      </w:r>
      <w:r>
        <w:t xml:space="preserve"> (</w:t>
      </w:r>
      <w:r>
        <w:rPr>
          <w:rFonts w:ascii="David" w:hAnsi="David"/>
        </w:rPr>
        <w:t>פסחים</w:t>
      </w:r>
      <w:r>
        <w:t>) 117b</w:t>
      </w:r>
      <w:r>
        <w:rPr>
          <w:color w:val="B8860B"/>
          <w:sz w:val="16"/>
          <w:vertAlign w:val="superscript"/>
        </w:rPr>
        <w:t>[1]</w:t>
      </w:r>
      <w:r>
        <w:t xml:space="preserve"> derives the entire structure of </w:t>
      </w:r>
      <w:r>
        <w:rPr>
          <w:i/>
        </w:rPr>
        <w:t>Birkas Avos</w:t>
      </w:r>
      <w:r>
        <w:t xml:space="preserve"> (</w:t>
      </w:r>
      <w:r>
        <w:rPr>
          <w:rFonts w:ascii="David" w:hAnsi="David"/>
        </w:rPr>
        <w:t>ברכת אבות</w:t>
      </w:r>
      <w:r>
        <w:t xml:space="preserve">) — the first </w:t>
      </w:r>
      <w:r>
        <w:rPr>
          <w:i/>
        </w:rPr>
        <w:t>berachah</w:t>
      </w:r>
      <w:r>
        <w:t xml:space="preserve"> (</w:t>
      </w:r>
      <w:r>
        <w:rPr>
          <w:rFonts w:ascii="David" w:hAnsi="David"/>
        </w:rPr>
        <w:t>ברכה</w:t>
      </w:r>
      <w:r>
        <w:t xml:space="preserve">) of the </w:t>
      </w:r>
      <w:r>
        <w:rPr>
          <w:i/>
        </w:rPr>
        <w:t>Shemoneh Esrei</w:t>
      </w:r>
      <w:r>
        <w:t xml:space="preserve"> — from the four clauses of </w:t>
      </w:r>
      <w:r>
        <w:rPr>
          <w:i/>
        </w:rPr>
        <w:t>Hashem</w:t>
      </w:r>
      <w:r>
        <w:t xml:space="preserve">’s opening promise to </w:t>
      </w:r>
      <w:r>
        <w:rPr>
          <w:i/>
        </w:rPr>
        <w:t>Avraham Avinu</w:t>
      </w:r>
      <w:r>
        <w:t xml:space="preserve"> (</w:t>
      </w:r>
      <w:r>
        <w:rPr>
          <w:rFonts w:ascii="David" w:hAnsi="David"/>
        </w:rPr>
        <w:t>אברהם אבינו</w:t>
      </w:r>
      <w:r>
        <w:t xml:space="preserve">) at the beginning of </w:t>
      </w:r>
      <w:r>
        <w:rPr>
          <w:i/>
        </w:rPr>
        <w:t>Parshas Lech Lecha</w:t>
      </w:r>
      <w:r>
        <w:t xml:space="preserve"> (</w:t>
      </w:r>
      <w:r>
        <w:rPr>
          <w:rFonts w:ascii="David" w:hAnsi="David"/>
        </w:rPr>
        <w:t>פרשת לך לך</w:t>
      </w:r>
      <w:r>
        <w:t>):</w:t>
      </w:r>
    </w:p>
    <w:p>
      <w:pPr>
        <w:ind w:left="432"/>
      </w:pPr>
      <w:r>
        <w:rPr>
          <w:i/>
        </w:rPr>
        <w:br/>
      </w:r>
      <w:r>
        <w:rPr>
          <w:rFonts w:ascii="David" w:hAnsi="David"/>
          <w:i/>
        </w:rPr>
        <w:t>וְאֶעֶשְׂךָ לְגוֹי גָּדוֹל, וַאֲבָרֶכְךָ, וַאֲגַדְּלָה שְׁמֶךָ, וֶהְיֵה בְּרָכָה.</w:t>
      </w:r>
      <w:r>
        <w:rPr>
          <w:i/>
        </w:rPr>
        <w:br/>
      </w:r>
      <w:r>
        <w:rPr>
          <w:i/>
        </w:rPr>
        <w:t>I shall make you a great nation; and I shall bless you; and I shall make your name great; and be a blessing.</w:t>
      </w:r>
      <w:r>
        <w:rPr>
          <w:i/>
        </w:rPr>
        <w:br/>
      </w:r>
      <w:r>
        <w:rPr>
          <w:i/>
        </w:rPr>
        <w:t>Bereshis</w:t>
      </w:r>
      <w:r>
        <w:rPr>
          <w:i/>
        </w:rPr>
        <w:t xml:space="preserve"> 12:2, cited by </w:t>
      </w:r>
      <w:r>
        <w:rPr>
          <w:i/>
        </w:rPr>
        <w:t>Rashi</w:t>
      </w:r>
      <w:r>
        <w:rPr>
          <w:i/>
        </w:rPr>
        <w:t xml:space="preserve"> (</w:t>
      </w:r>
      <w:r>
        <w:rPr>
          <w:rFonts w:ascii="David" w:hAnsi="David"/>
          <w:i/>
        </w:rPr>
        <w:t>רש"י</w:t>
      </w:r>
      <w:r>
        <w:rPr>
          <w:i/>
        </w:rPr>
        <w:t>) ad loc.</w:t>
      </w:r>
      <w:r>
        <w:rPr>
          <w:color w:val="B8860B"/>
          <w:sz w:val="16"/>
          <w:vertAlign w:val="superscript"/>
        </w:rPr>
        <w:t>[2]</w:t>
      </w:r>
      <w:r>
        <w:rPr>
          <w:i/>
        </w:rPr>
        <w:br/>
      </w:r>
    </w:p>
    <w:p>
      <w:r>
        <w:t xml:space="preserve">The </w:t>
      </w:r>
      <w:r>
        <w:rPr>
          <w:i/>
        </w:rPr>
        <w:t>Gemara</w:t>
      </w:r>
      <w:r>
        <w:t xml:space="preserve"> reads each clause as a future </w:t>
      </w:r>
      <w:r>
        <w:rPr>
          <w:i/>
        </w:rPr>
        <w:t>tefillah</w:t>
      </w:r>
      <w:r>
        <w:t xml:space="preserve"> (</w:t>
      </w:r>
      <w:r>
        <w:rPr>
          <w:rFonts w:ascii="David" w:hAnsi="David"/>
        </w:rPr>
        <w:t>תפילה</w:t>
      </w:r>
      <w:r>
        <w:t>):</w:t>
      </w:r>
    </w:p>
    <w:p>
      <w:r>
        <w:t xml:space="preserve">The natural expectation is that the </w:t>
      </w:r>
      <w:r>
        <w:rPr>
          <w:i/>
        </w:rPr>
        <w:t>chasimah</w:t>
      </w:r>
      <w:r>
        <w:t xml:space="preserve"> (</w:t>
      </w:r>
      <w:r>
        <w:rPr>
          <w:rFonts w:ascii="David" w:hAnsi="David"/>
        </w:rPr>
        <w:t>חתימה</w:t>
      </w:r>
      <w:r>
        <w:t xml:space="preserve">) — the sealing formula — would name all three </w:t>
      </w:r>
      <w:r>
        <w:rPr>
          <w:i/>
        </w:rPr>
        <w:t>Avos</w:t>
      </w:r>
      <w:r>
        <w:t xml:space="preserve">: </w:t>
      </w:r>
      <w:r>
        <w:rPr>
          <w:i/>
        </w:rPr>
        <w:t>“</w:t>
      </w:r>
      <w:r>
        <w:rPr>
          <w:rFonts w:ascii="David" w:hAnsi="David"/>
          <w:i/>
        </w:rPr>
        <w:t>ברוך אתה ה' מגן אברהם, יצחק, ויעקב</w:t>
      </w:r>
      <w:r>
        <w:rPr>
          <w:i/>
        </w:rPr>
        <w:t>.”</w:t>
      </w:r>
      <w:r>
        <w:t xml:space="preserve"> The </w:t>
      </w:r>
      <w:r>
        <w:rPr>
          <w:i/>
        </w:rPr>
        <w:t>Gemara</w:t>
      </w:r>
      <w:r>
        <w:t>, however, rules otherwise:</w:t>
      </w:r>
    </w:p>
    <w:p>
      <w:pPr>
        <w:ind w:left="432"/>
      </w:pPr>
      <w:r>
        <w:rPr>
          <w:i/>
        </w:rPr>
        <w:br/>
      </w:r>
      <w:r>
        <w:rPr>
          <w:rFonts w:ascii="David" w:hAnsi="David"/>
          <w:i/>
        </w:rPr>
        <w:t>וּבְךָ חוֹתְמִין, וְלֹא בְּכֻלָּם.</w:t>
      </w:r>
      <w:r>
        <w:rPr>
          <w:i/>
        </w:rPr>
        <w:br/>
      </w:r>
      <w:r>
        <w:rPr>
          <w:i/>
        </w:rPr>
        <w:t xml:space="preserve">With </w:t>
      </w:r>
      <w:r>
        <w:rPr>
          <w:i/>
        </w:rPr>
        <w:t>you</w:t>
      </w:r>
      <w:r>
        <w:rPr>
          <w:i/>
        </w:rPr>
        <w:t xml:space="preserve"> we seal — and not with all of them.</w:t>
      </w:r>
      <w:r>
        <w:rPr>
          <w:i/>
        </w:rPr>
        <w:br/>
      </w:r>
      <w:r>
        <w:rPr>
          <w:i/>
        </w:rPr>
        <w:t>Pesachim</w:t>
      </w:r>
      <w:r>
        <w:rPr>
          <w:i/>
        </w:rPr>
        <w:t xml:space="preserve"> 117b</w:t>
      </w:r>
      <w:r>
        <w:rPr>
          <w:i/>
        </w:rPr>
        <w:br/>
      </w:r>
    </w:p>
    <w:p>
      <w:r>
        <w:rPr>
          <w:i/>
          <w:color w:val="B8860B"/>
          <w:sz w:val="24"/>
        </w:rPr>
        <w:t>The Question Behind the Ruling</w:t>
      </w:r>
    </w:p>
    <w:p>
      <w:r>
        <w:t xml:space="preserve">Why? Why does the sealing of the first </w:t>
      </w:r>
      <w:r>
        <w:rPr>
          <w:i/>
        </w:rPr>
        <w:t>berachah</w:t>
      </w:r>
      <w:r>
        <w:t xml:space="preserve"> single out </w:t>
      </w:r>
      <w:r>
        <w:rPr>
          <w:i/>
        </w:rPr>
        <w:t>Avraham</w:t>
      </w:r>
      <w:r>
        <w:t xml:space="preserve"> alone, when the three </w:t>
      </w:r>
      <w:r>
        <w:rPr>
          <w:i/>
        </w:rPr>
        <w:t>Avos</w:t>
      </w:r>
      <w:r>
        <w:t xml:space="preserve"> are named in a single breath two words earlier? This chapter offers three </w:t>
      </w:r>
      <w:r>
        <w:rPr>
          <w:i/>
        </w:rPr>
        <w:t>mehalchim</w:t>
      </w:r>
      <w:r>
        <w:t xml:space="preserve"> (</w:t>
      </w:r>
      <w:r>
        <w:rPr>
          <w:rFonts w:ascii="David" w:hAnsi="David"/>
        </w:rPr>
        <w:t>מהלכים</w:t>
      </w:r>
      <w:r>
        <w:t xml:space="preserve">) — three angles of approach — each drawn from a distinct stream in the tradition: the </w:t>
      </w:r>
      <w:r>
        <w:rPr>
          <w:i/>
        </w:rPr>
        <w:t>chassidishe</w:t>
      </w:r>
      <w:r>
        <w:t xml:space="preserve"> reading of the </w:t>
      </w:r>
      <w:r>
        <w:rPr>
          <w:i/>
        </w:rPr>
        <w:t>Kotzker</w:t>
      </w:r>
      <w:r>
        <w:t xml:space="preserve"> (</w:t>
      </w:r>
      <w:r>
        <w:rPr>
          <w:rFonts w:ascii="David" w:hAnsi="David"/>
        </w:rPr>
        <w:t>קאצקער</w:t>
      </w:r>
      <w:r>
        <w:t xml:space="preserve">) with its antecedent in the </w:t>
      </w:r>
      <w:r>
        <w:rPr>
          <w:i/>
        </w:rPr>
        <w:t>Megaleh Amukos</w:t>
      </w:r>
      <w:r>
        <w:t xml:space="preserve"> (</w:t>
      </w:r>
      <w:r>
        <w:rPr>
          <w:rFonts w:ascii="David" w:hAnsi="David"/>
        </w:rPr>
        <w:t>מגלה עמוקות</w:t>
      </w:r>
      <w:r>
        <w:t xml:space="preserve">); the halakhic-eschatological reading of the </w:t>
      </w:r>
      <w:r>
        <w:rPr>
          <w:i/>
        </w:rPr>
        <w:t>Tif’eres Banim</w:t>
      </w:r>
      <w:r>
        <w:t xml:space="preserve"> (</w:t>
      </w:r>
      <w:r>
        <w:rPr>
          <w:rFonts w:ascii="David" w:hAnsi="David"/>
        </w:rPr>
        <w:t>תפארת בנים</w:t>
      </w:r>
      <w:r>
        <w:t xml:space="preserve">) of Munkács, riding on a face-value </w:t>
      </w:r>
      <w:r>
        <w:rPr>
          <w:i/>
        </w:rPr>
        <w:t>Radak</w:t>
      </w:r>
      <w:r>
        <w:t xml:space="preserve"> (</w:t>
      </w:r>
      <w:r>
        <w:rPr>
          <w:rFonts w:ascii="David" w:hAnsi="David"/>
        </w:rPr>
        <w:t>רד"ק</w:t>
      </w:r>
      <w:r>
        <w:t xml:space="preserve">); and the messianic-universal reading of the </w:t>
      </w:r>
      <w:r>
        <w:rPr>
          <w:i/>
        </w:rPr>
        <w:t>Maharam Schick</w:t>
      </w:r>
      <w:r>
        <w:t xml:space="preserve"> (</w:t>
      </w:r>
      <w:r>
        <w:rPr>
          <w:rFonts w:ascii="David" w:hAnsi="David"/>
        </w:rPr>
        <w:t>מהר"ם שיק</w:t>
      </w:r>
      <w:r>
        <w:t xml:space="preserve">), anchored in the uncensored </w:t>
      </w:r>
      <w:r>
        <w:rPr>
          <w:i/>
        </w:rPr>
        <w:t>Rambam</w:t>
      </w:r>
      <w:r>
        <w:t xml:space="preserve"> (</w:t>
      </w:r>
      <w:r>
        <w:rPr>
          <w:rFonts w:ascii="David" w:hAnsi="David"/>
        </w:rPr>
        <w:t>רמב"ם</w:t>
      </w:r>
      <w:r>
        <w:t xml:space="preserve">) at the close of </w:t>
      </w:r>
      <w:r>
        <w:rPr>
          <w:i/>
        </w:rPr>
        <w:t>Hilchos Melachim</w:t>
      </w:r>
      <w:r>
        <w:t xml:space="preserve"> (</w:t>
      </w:r>
      <w:r>
        <w:rPr>
          <w:rFonts w:ascii="David" w:hAnsi="David"/>
        </w:rPr>
        <w:t>הלכות מלכים</w:t>
      </w:r>
      <w:r>
        <w:t xml:space="preserve">). Each reading widens the frame of the previous one; together, as will be argued in the closing chapter, they converge on a single reading of the word </w:t>
      </w:r>
      <w:r>
        <w:rPr>
          <w:i/>
        </w:rPr>
        <w:t>“</w:t>
      </w:r>
      <w:r>
        <w:rPr>
          <w:rFonts w:ascii="David" w:hAnsi="David"/>
          <w:i/>
        </w:rPr>
        <w:t>ובך</w:t>
      </w:r>
      <w:r>
        <w:rPr>
          <w:i/>
        </w:rPr>
        <w:t>”</w:t>
      </w:r>
      <w:r>
        <w:t xml:space="preserve"> — </w:t>
      </w:r>
      <w:r>
        <w:rPr>
          <w:i/>
        </w:rPr>
        <w:t>with you</w:t>
      </w:r>
      <w:r>
        <w:t>.</w:t>
      </w:r>
    </w:p>
    <w:p>
      <w:r>
        <w:rPr>
          <w:b/>
          <w:color w:val="1E3A8A"/>
          <w:sz w:val="26"/>
        </w:rPr>
        <w:t>II. BODY AND SOUL OF TEFILLAH</w:t>
      </w:r>
    </w:p>
    <w:p>
      <w:pPr>
        <w:pBdr>
          <w:bottom w:val="single" w:sz="6" w:space="1" w:color="B8860B"/>
        </w:pBdr>
      </w:pPr>
    </w:p>
    <w:p>
      <w:r>
        <w:t xml:space="preserve">Before entering the three </w:t>
      </w:r>
      <w:r>
        <w:rPr>
          <w:i/>
        </w:rPr>
        <w:t>mehalchim</w:t>
      </w:r>
      <w:r>
        <w:t xml:space="preserve">, a brief reminder of the framework within which they operate. The words of the </w:t>
      </w:r>
      <w:r>
        <w:rPr>
          <w:i/>
        </w:rPr>
        <w:t>Shemoneh Esrei</w:t>
      </w:r>
      <w:r>
        <w:t xml:space="preserve">, established by the </w:t>
      </w:r>
      <w:r>
        <w:rPr>
          <w:i/>
        </w:rPr>
        <w:t>Anshei Knesses HaGedolah</w:t>
      </w:r>
      <w:r>
        <w:t xml:space="preserve"> (</w:t>
      </w:r>
      <w:r>
        <w:rPr>
          <w:rFonts w:ascii="David" w:hAnsi="David"/>
        </w:rPr>
        <w:t>אנשי כנסת הגדולה</w:t>
      </w:r>
      <w:r>
        <w:t xml:space="preserve">), are the </w:t>
      </w:r>
      <w:r>
        <w:rPr>
          <w:i/>
        </w:rPr>
        <w:t>guf</w:t>
      </w:r>
      <w:r>
        <w:t xml:space="preserve"> (</w:t>
      </w:r>
      <w:r>
        <w:rPr>
          <w:rFonts w:ascii="David" w:hAnsi="David"/>
        </w:rPr>
        <w:t>גוף</w:t>
      </w:r>
      <w:r>
        <w:t xml:space="preserve">) — the body — of </w:t>
      </w:r>
      <w:r>
        <w:rPr>
          <w:i/>
        </w:rPr>
        <w:t>tefillah</w:t>
      </w:r>
      <w:r>
        <w:t xml:space="preserve">. </w:t>
      </w:r>
      <w:r>
        <w:rPr>
          <w:i/>
        </w:rPr>
        <w:t>Kavvanah</w:t>
      </w:r>
      <w:r>
        <w:t xml:space="preserve"> (</w:t>
      </w:r>
      <w:r>
        <w:rPr>
          <w:rFonts w:ascii="David" w:hAnsi="David"/>
        </w:rPr>
        <w:t>כוונה</w:t>
      </w:r>
      <w:r>
        <w:t xml:space="preserve">) is the </w:t>
      </w:r>
      <w:r>
        <w:rPr>
          <w:i/>
        </w:rPr>
        <w:t>neshamah</w:t>
      </w:r>
      <w:r>
        <w:t xml:space="preserve"> (</w:t>
      </w:r>
      <w:r>
        <w:rPr>
          <w:rFonts w:ascii="David" w:hAnsi="David"/>
        </w:rPr>
        <w:t>נשמה</w:t>
      </w:r>
      <w:r>
        <w:t xml:space="preserve">). The </w:t>
      </w:r>
      <w:r>
        <w:rPr>
          <w:i/>
        </w:rPr>
        <w:t>Zohar HaKadosh</w:t>
      </w:r>
      <w:r>
        <w:t xml:space="preserve"> (</w:t>
      </w:r>
      <w:r>
        <w:rPr>
          <w:rFonts w:ascii="David" w:hAnsi="David"/>
        </w:rPr>
        <w:t>זוהר הקדוש</w:t>
      </w:r>
      <w:r>
        <w:t>)</w:t>
      </w:r>
      <w:r>
        <w:rPr>
          <w:color w:val="B8860B"/>
          <w:sz w:val="16"/>
          <w:vertAlign w:val="superscript"/>
        </w:rPr>
        <w:t>[3]</w:t>
      </w:r>
      <w:r>
        <w:t xml:space="preserve"> repeatedly warns that </w:t>
      </w:r>
      <w:r>
        <w:rPr>
          <w:i/>
        </w:rPr>
        <w:t>tefillah</w:t>
      </w:r>
      <w:r>
        <w:t xml:space="preserve"> without </w:t>
      </w:r>
      <w:r>
        <w:rPr>
          <w:i/>
        </w:rPr>
        <w:t>kavvanah</w:t>
      </w:r>
      <w:r>
        <w:t xml:space="preserve"> is </w:t>
      </w:r>
      <w:r>
        <w:rPr>
          <w:i/>
        </w:rPr>
        <w:t>“</w:t>
      </w:r>
      <w:r>
        <w:rPr>
          <w:rFonts w:ascii="David" w:hAnsi="David"/>
          <w:i/>
        </w:rPr>
        <w:t>כגוף בלי נשמה</w:t>
      </w:r>
      <w:r>
        <w:rPr>
          <w:i/>
        </w:rPr>
        <w:t>”</w:t>
      </w:r>
      <w:r>
        <w:t xml:space="preserve"> — a body without a soul; the </w:t>
      </w:r>
      <w:r>
        <w:rPr>
          <w:i/>
        </w:rPr>
        <w:t>mekubalim</w:t>
      </w:r>
      <w:r>
        <w:t xml:space="preserve"> (</w:t>
      </w:r>
      <w:r>
        <w:rPr>
          <w:rFonts w:ascii="David" w:hAnsi="David"/>
        </w:rPr>
        <w:t>מקובלים</w:t>
      </w:r>
      <w:r>
        <w:t xml:space="preserve">), notably the </w:t>
      </w:r>
      <w:r>
        <w:rPr>
          <w:i/>
        </w:rPr>
        <w:t>Ramak</w:t>
      </w:r>
      <w:r>
        <w:t xml:space="preserve"> (</w:t>
      </w:r>
      <w:r>
        <w:rPr>
          <w:rFonts w:ascii="David" w:hAnsi="David"/>
        </w:rPr>
        <w:t>רמ"ק</w:t>
      </w:r>
      <w:r>
        <w:t xml:space="preserve">) in </w:t>
      </w:r>
      <w:r>
        <w:rPr>
          <w:i/>
        </w:rPr>
        <w:t>Pardes Rimonim</w:t>
      </w:r>
      <w:r>
        <w:t xml:space="preserve"> (</w:t>
      </w:r>
      <w:r>
        <w:rPr>
          <w:rFonts w:ascii="David" w:hAnsi="David"/>
        </w:rPr>
        <w:t>פרדס רימונים</w:t>
      </w:r>
      <w:r>
        <w:t xml:space="preserve">), explain the </w:t>
      </w:r>
      <w:r>
        <w:rPr>
          <w:i/>
        </w:rPr>
        <w:t>Zohar</w:t>
      </w:r>
      <w:r>
        <w:t xml:space="preserve">’s frightening image of empty </w:t>
      </w:r>
      <w:r>
        <w:rPr>
          <w:i/>
        </w:rPr>
        <w:t>tefillos</w:t>
      </w:r>
      <w:r>
        <w:t xml:space="preserve"> being cast to the </w:t>
      </w:r>
      <w:r>
        <w:rPr>
          <w:i/>
        </w:rPr>
        <w:t>chitzonim</w:t>
      </w:r>
      <w:r>
        <w:t xml:space="preserve"> (</w:t>
      </w:r>
      <w:r>
        <w:rPr>
          <w:rFonts w:ascii="David" w:hAnsi="David"/>
        </w:rPr>
        <w:t>חיצונים</w:t>
      </w:r>
      <w:r>
        <w:t xml:space="preserve">) and </w:t>
      </w:r>
      <w:r>
        <w:rPr>
          <w:i/>
        </w:rPr>
        <w:t>kelipos</w:t>
      </w:r>
      <w:r>
        <w:t xml:space="preserve"> (</w:t>
      </w:r>
      <w:r>
        <w:rPr>
          <w:rFonts w:ascii="David" w:hAnsi="David"/>
        </w:rPr>
        <w:t>קליפות</w:t>
      </w:r>
      <w:r>
        <w:t>).</w:t>
      </w:r>
    </w:p>
    <w:p>
      <w:r>
        <w:t xml:space="preserve">The </w:t>
      </w:r>
      <w:r>
        <w:rPr>
          <w:i/>
        </w:rPr>
        <w:t>Gemara</w:t>
      </w:r>
      <w:r>
        <w:t xml:space="preserve"> in </w:t>
      </w:r>
      <w:r>
        <w:rPr>
          <w:i/>
        </w:rPr>
        <w:t>Rosh HaShanah</w:t>
      </w:r>
      <w:r>
        <w:t xml:space="preserve"> (</w:t>
      </w:r>
      <w:r>
        <w:rPr>
          <w:rFonts w:ascii="David" w:hAnsi="David"/>
        </w:rPr>
        <w:t>ראש השנה</w:t>
      </w:r>
      <w:r>
        <w:t>) 18a</w:t>
      </w:r>
      <w:r>
        <w:rPr>
          <w:color w:val="B8860B"/>
          <w:sz w:val="16"/>
          <w:vertAlign w:val="superscript"/>
        </w:rPr>
        <w:t>[4]</w:t>
      </w:r>
      <w:r>
        <w:t xml:space="preserve"> gives the practical corollary: two people daven </w:t>
      </w:r>
      <w:r>
        <w:rPr>
          <w:i/>
        </w:rPr>
        <w:t>“</w:t>
      </w:r>
      <w:r>
        <w:rPr>
          <w:rFonts w:ascii="David" w:hAnsi="David"/>
          <w:i/>
        </w:rPr>
        <w:t>רפאנו</w:t>
      </w:r>
      <w:r>
        <w:rPr>
          <w:i/>
        </w:rPr>
        <w:t>”</w:t>
      </w:r>
      <w:r>
        <w:t xml:space="preserve">; one is healed, the other is not. Why? </w:t>
      </w:r>
      <w:r>
        <w:rPr>
          <w:i/>
        </w:rPr>
        <w:t>Tefillah shleimah</w:t>
      </w:r>
      <w:r>
        <w:t xml:space="preserve"> (</w:t>
      </w:r>
      <w:r>
        <w:rPr>
          <w:rFonts w:ascii="David" w:hAnsi="David"/>
        </w:rPr>
        <w:t>תפילה שלמה</w:t>
      </w:r>
      <w:r>
        <w:t xml:space="preserve">) versus </w:t>
      </w:r>
      <w:r>
        <w:rPr>
          <w:i/>
        </w:rPr>
        <w:t>tefillah she’einah shleimah</w:t>
      </w:r>
      <w:r>
        <w:t xml:space="preserve"> — a complete </w:t>
      </w:r>
      <w:r>
        <w:rPr>
          <w:i/>
        </w:rPr>
        <w:t>tefillah</w:t>
      </w:r>
      <w:r>
        <w:t xml:space="preserve"> versus an incomplete one; </w:t>
      </w:r>
      <w:r>
        <w:rPr>
          <w:i/>
        </w:rPr>
        <w:t>Rashi</w:t>
      </w:r>
      <w:r>
        <w:t xml:space="preserve">: with </w:t>
      </w:r>
      <w:r>
        <w:rPr>
          <w:i/>
        </w:rPr>
        <w:t>kavvanah</w:t>
      </w:r>
      <w:r>
        <w:t xml:space="preserve"> versus without. </w:t>
      </w:r>
      <w:r>
        <w:rPr>
          <w:i/>
        </w:rPr>
        <w:t>Kavvanah</w:t>
      </w:r>
      <w:r>
        <w:t xml:space="preserve"> is decisive. But the focus of this chapter is on the </w:t>
      </w:r>
      <w:r>
        <w:rPr>
          <w:i/>
        </w:rPr>
        <w:t>words</w:t>
      </w:r>
      <w:r>
        <w:t xml:space="preserve"> themselves — what they mean, from what depths of the tradition they were drawn.</w:t>
      </w:r>
    </w:p>
    <w:p>
      <w:r>
        <w:rPr>
          <w:b/>
          <w:color w:val="1E3A8A"/>
          <w:sz w:val="26"/>
        </w:rPr>
        <w:t>III. MAHALACH A — THE KOTZKER: A GENERATION OF CHESED</w:t>
      </w:r>
    </w:p>
    <w:p>
      <w:pPr>
        <w:pBdr>
          <w:bottom w:val="single" w:sz="6" w:space="1" w:color="B8860B"/>
        </w:pBdr>
      </w:pPr>
    </w:p>
    <w:p>
      <w:r>
        <w:t xml:space="preserve">The famous </w:t>
      </w:r>
      <w:r>
        <w:rPr>
          <w:i/>
        </w:rPr>
        <w:t>vort</w:t>
      </w:r>
      <w:r>
        <w:t xml:space="preserve"> from the </w:t>
      </w:r>
      <w:r>
        <w:rPr>
          <w:i/>
        </w:rPr>
        <w:t>Kotzker Rebbe</w:t>
      </w:r>
      <w:r>
        <w:t>, Rabbi Menachem Mendel of Kotzk (</w:t>
      </w:r>
      <w:r>
        <w:rPr>
          <w:rFonts w:ascii="David" w:hAnsi="David"/>
        </w:rPr>
        <w:t>רבי מנחם מנדל מקאצק</w:t>
      </w:r>
      <w:r>
        <w:t xml:space="preserve">, 1787–1859), whose antecedent is found already in the </w:t>
      </w:r>
      <w:r>
        <w:rPr>
          <w:i/>
        </w:rPr>
        <w:t>Megaleh Amukos</w:t>
      </w:r>
      <w:r>
        <w:t xml:space="preserve"> of Rabbi Nosson Nota Shapiro of Kraków (</w:t>
      </w:r>
      <w:r>
        <w:rPr>
          <w:rFonts w:ascii="David" w:hAnsi="David"/>
        </w:rPr>
        <w:t>רבי נתן נטע שפירא</w:t>
      </w:r>
      <w:r>
        <w:t>, 1585–1633)</w:t>
      </w:r>
      <w:r>
        <w:rPr>
          <w:color w:val="B8860B"/>
          <w:sz w:val="16"/>
          <w:vertAlign w:val="superscript"/>
        </w:rPr>
        <w:t>[5]</w:t>
      </w:r>
      <w:r>
        <w:t xml:space="preserve">: there is a </w:t>
      </w:r>
      <w:r>
        <w:rPr>
          <w:i/>
        </w:rPr>
        <w:t>remez</w:t>
      </w:r>
      <w:r>
        <w:t xml:space="preserve"> (</w:t>
      </w:r>
      <w:r>
        <w:rPr>
          <w:rFonts w:ascii="David" w:hAnsi="David"/>
        </w:rPr>
        <w:t>רמז</w:t>
      </w:r>
      <w:r>
        <w:t xml:space="preserve">) — a hint — embedded in the </w:t>
      </w:r>
      <w:r>
        <w:rPr>
          <w:i/>
        </w:rPr>
        <w:t>Gemara</w:t>
      </w:r>
      <w:r>
        <w:t>’s ruling.</w:t>
      </w:r>
    </w:p>
    <w:p>
      <w:r>
        <w:t xml:space="preserve">The three </w:t>
      </w:r>
      <w:r>
        <w:rPr>
          <w:i/>
        </w:rPr>
        <w:t>Avos</w:t>
      </w:r>
      <w:r>
        <w:t xml:space="preserve"> are the three </w:t>
      </w:r>
      <w:r>
        <w:rPr>
          <w:i/>
        </w:rPr>
        <w:t>amudim</w:t>
      </w:r>
      <w:r>
        <w:t xml:space="preserve"> (</w:t>
      </w:r>
      <w:r>
        <w:rPr>
          <w:rFonts w:ascii="David" w:hAnsi="David"/>
        </w:rPr>
        <w:t>עמודים</w:t>
      </w:r>
      <w:r>
        <w:t xml:space="preserve">) — the three pillars on which the spiritual life of </w:t>
      </w:r>
      <w:r>
        <w:rPr>
          <w:i/>
        </w:rPr>
        <w:t>Klal Yisrael</w:t>
      </w:r>
      <w:r>
        <w:t xml:space="preserve"> (</w:t>
      </w:r>
      <w:r>
        <w:rPr>
          <w:rFonts w:ascii="David" w:hAnsi="David"/>
        </w:rPr>
        <w:t>כלל ישראל</w:t>
      </w:r>
      <w:r>
        <w:t>) rests:</w:t>
      </w:r>
    </w:p>
    <w:p>
      <w:r>
        <w:t xml:space="preserve">Different generations of </w:t>
      </w:r>
      <w:r>
        <w:rPr>
          <w:i/>
        </w:rPr>
        <w:t>Klal Yisrael</w:t>
      </w:r>
      <w:r>
        <w:t xml:space="preserve"> have leaned on different pillars — ages of martyrological </w:t>
      </w:r>
      <w:r>
        <w:rPr>
          <w:i/>
        </w:rPr>
        <w:t>gevurah</w:t>
      </w:r>
      <w:r>
        <w:t xml:space="preserve">, ages of towering Torah scholarship, ages of open-handed </w:t>
      </w:r>
      <w:r>
        <w:rPr>
          <w:i/>
        </w:rPr>
        <w:t>chesed</w:t>
      </w:r>
      <w:r>
        <w:t xml:space="preserve">. In the </w:t>
      </w:r>
      <w:r>
        <w:rPr>
          <w:i/>
        </w:rPr>
        <w:t>Kotzker</w:t>
      </w:r>
      <w:r>
        <w:t xml:space="preserve">’s reading, </w:t>
      </w:r>
      <w:r>
        <w:rPr>
          <w:i/>
        </w:rPr>
        <w:t>Chazal</w:t>
      </w:r>
      <w:r>
        <w:t xml:space="preserve"> (</w:t>
      </w:r>
      <w:r>
        <w:rPr>
          <w:rFonts w:ascii="David" w:hAnsi="David"/>
        </w:rPr>
        <w:t>חז"ל</w:t>
      </w:r>
      <w:r>
        <w:t xml:space="preserve">) are intimating something specific about the </w:t>
      </w:r>
      <w:r>
        <w:rPr>
          <w:i/>
        </w:rPr>
        <w:t>final</w:t>
      </w:r>
      <w:r>
        <w:t xml:space="preserve"> generation, the generation that ushers in the coming of </w:t>
      </w:r>
      <w:r>
        <w:rPr>
          <w:i/>
        </w:rPr>
        <w:t>Mashiach</w:t>
      </w:r>
      <w:r>
        <w:t xml:space="preserve"> (</w:t>
      </w:r>
      <w:r>
        <w:rPr>
          <w:rFonts w:ascii="David" w:hAnsi="David"/>
        </w:rPr>
        <w:t>משיח</w:t>
      </w:r>
      <w:r>
        <w:t xml:space="preserve">): it will be the </w:t>
      </w:r>
      <w:r>
        <w:rPr>
          <w:i/>
        </w:rPr>
        <w:t>dor</w:t>
      </w:r>
      <w:r>
        <w:t xml:space="preserve"> (</w:t>
      </w:r>
      <w:r>
        <w:rPr>
          <w:rFonts w:ascii="David" w:hAnsi="David"/>
        </w:rPr>
        <w:t>דור</w:t>
      </w:r>
      <w:r>
        <w:t xml:space="preserve">) of </w:t>
      </w:r>
      <w:r>
        <w:rPr>
          <w:i/>
        </w:rPr>
        <w:t>Avraham Avinu</w:t>
      </w:r>
      <w:r>
        <w:t xml:space="preserve">, the </w:t>
      </w:r>
      <w:r>
        <w:rPr>
          <w:i/>
        </w:rPr>
        <w:t>dor ha-chesed</w:t>
      </w:r>
      <w:r>
        <w:t xml:space="preserve"> (</w:t>
      </w:r>
      <w:r>
        <w:rPr>
          <w:rFonts w:ascii="David" w:hAnsi="David"/>
        </w:rPr>
        <w:t>דור החסד</w:t>
      </w:r>
      <w:r>
        <w:t xml:space="preserve">). </w:t>
      </w:r>
      <w:r>
        <w:rPr>
          <w:i/>
        </w:rPr>
        <w:t>“</w:t>
      </w:r>
      <w:r>
        <w:rPr>
          <w:rFonts w:ascii="David" w:hAnsi="David"/>
          <w:i/>
        </w:rPr>
        <w:t>ובך חותמין</w:t>
      </w:r>
      <w:r>
        <w:rPr>
          <w:i/>
        </w:rPr>
        <w:t>”</w:t>
      </w:r>
      <w:r>
        <w:t xml:space="preserve"> — with </w:t>
      </w:r>
      <w:r>
        <w:rPr>
          <w:i/>
        </w:rPr>
        <w:t>you</w:t>
      </w:r>
      <w:r>
        <w:t xml:space="preserve">, </w:t>
      </w:r>
      <w:r>
        <w:rPr>
          <w:i/>
        </w:rPr>
        <w:t>Avraham</w:t>
      </w:r>
      <w:r>
        <w:t xml:space="preserve">, with your </w:t>
      </w:r>
      <w:r>
        <w:rPr>
          <w:i/>
        </w:rPr>
        <w:t>middah</w:t>
      </w:r>
      <w:r>
        <w:t xml:space="preserve"> of </w:t>
      </w:r>
      <w:r>
        <w:rPr>
          <w:i/>
        </w:rPr>
        <w:t>chesed</w:t>
      </w:r>
      <w:r>
        <w:t xml:space="preserve">, will we close the </w:t>
      </w:r>
      <w:r>
        <w:rPr>
          <w:i/>
        </w:rPr>
        <w:t>galus</w:t>
      </w:r>
      <w:r>
        <w:t xml:space="preserve"> (</w:t>
      </w:r>
      <w:r>
        <w:rPr>
          <w:rFonts w:ascii="David" w:hAnsi="David"/>
        </w:rPr>
        <w:t>גלות</w:t>
      </w:r>
      <w:r>
        <w:t>).</w:t>
      </w:r>
    </w:p>
    <w:p>
      <w:r>
        <w:rPr>
          <w:b/>
          <w:color w:val="1E3A8A"/>
          <w:sz w:val="26"/>
        </w:rPr>
        <w:t>IV. MAHALACH B — THE TIF’ERES BANIM: ONLY SHACHARIS IN THE FUTURE</w:t>
      </w:r>
    </w:p>
    <w:p>
      <w:pPr>
        <w:pBdr>
          <w:bottom w:val="single" w:sz="6" w:space="1" w:color="B8860B"/>
        </w:pBdr>
      </w:pPr>
    </w:p>
    <w:p>
      <w:r>
        <w:rPr>
          <w:i/>
          <w:color w:val="B8860B"/>
          <w:sz w:val="24"/>
        </w:rPr>
        <w:t>The Author</w:t>
      </w:r>
    </w:p>
    <w:p>
      <w:r>
        <w:t xml:space="preserve">The </w:t>
      </w:r>
      <w:r>
        <w:rPr>
          <w:i/>
        </w:rPr>
        <w:t>Tif’eres Banim</w:t>
      </w:r>
      <w:r>
        <w:rPr>
          <w:color w:val="B8860B"/>
          <w:sz w:val="16"/>
          <w:vertAlign w:val="superscript"/>
        </w:rPr>
        <w:t>[6]</w:t>
      </w:r>
      <w:r>
        <w:t xml:space="preserve"> is the work of the Munkatcher Rebbe, Rabbi Tzvi Hirsh Shapira of Munkács (</w:t>
      </w:r>
      <w:r>
        <w:rPr>
          <w:rFonts w:ascii="David" w:hAnsi="David"/>
        </w:rPr>
        <w:t>רבי צבי הירש שפירא ממונקאטש</w:t>
      </w:r>
      <w:r>
        <w:t xml:space="preserve">, 1850–1913), a grandson of the </w:t>
      </w:r>
      <w:r>
        <w:rPr>
          <w:i/>
        </w:rPr>
        <w:t>Bnei Yissaschar</w:t>
      </w:r>
      <w:r>
        <w:t xml:space="preserve"> (</w:t>
      </w:r>
      <w:r>
        <w:rPr>
          <w:rFonts w:ascii="David" w:hAnsi="David"/>
        </w:rPr>
        <w:t>בני יששכר</w:t>
      </w:r>
      <w:r>
        <w:t xml:space="preserve">, Rabbi Tzvi Elimelech of Dinov, 1783–1841 — one of the foundational </w:t>
      </w:r>
      <w:r>
        <w:rPr>
          <w:i/>
        </w:rPr>
        <w:t>sifrei chassidus</w:t>
      </w:r>
      <w:r>
        <w:t xml:space="preserve">). Munkács, in what is today western Ukraine, was the seat of a </w:t>
      </w:r>
      <w:r>
        <w:rPr>
          <w:i/>
        </w:rPr>
        <w:t>chassidus</w:t>
      </w:r>
      <w:r>
        <w:t xml:space="preserve"> dynasty whose </w:t>
      </w:r>
      <w:r>
        <w:rPr>
          <w:i/>
        </w:rPr>
        <w:t>rebbes</w:t>
      </w:r>
      <w:r>
        <w:t xml:space="preserve"> were not only great </w:t>
      </w:r>
      <w:r>
        <w:rPr>
          <w:i/>
        </w:rPr>
        <w:t>chassidim</w:t>
      </w:r>
      <w:r>
        <w:t xml:space="preserve"> and </w:t>
      </w:r>
      <w:r>
        <w:rPr>
          <w:i/>
        </w:rPr>
        <w:t>mekubalim</w:t>
      </w:r>
      <w:r>
        <w:t xml:space="preserve"> but also major </w:t>
      </w:r>
      <w:r>
        <w:rPr>
          <w:i/>
        </w:rPr>
        <w:t>poskim</w:t>
      </w:r>
      <w:r>
        <w:t xml:space="preserve"> (</w:t>
      </w:r>
      <w:r>
        <w:rPr>
          <w:rFonts w:ascii="David" w:hAnsi="David"/>
        </w:rPr>
        <w:t>פוסקים</w:t>
      </w:r>
      <w:r>
        <w:t xml:space="preserve">). Rabbi Tzvi Hirsh authored the encyclopedic </w:t>
      </w:r>
      <w:r>
        <w:rPr>
          <w:i/>
        </w:rPr>
        <w:t>Darchei Teshuvah</w:t>
      </w:r>
      <w:r>
        <w:t xml:space="preserve"> (</w:t>
      </w:r>
      <w:r>
        <w:rPr>
          <w:rFonts w:ascii="David" w:hAnsi="David"/>
        </w:rPr>
        <w:t>דרכי תשובה</w:t>
      </w:r>
      <w:r>
        <w:t xml:space="preserve">) on </w:t>
      </w:r>
      <w:r>
        <w:rPr>
          <w:i/>
        </w:rPr>
        <w:t>Yoreh De’ah</w:t>
      </w:r>
      <w:r>
        <w:t xml:space="preserve"> (</w:t>
      </w:r>
      <w:r>
        <w:rPr>
          <w:rFonts w:ascii="David" w:hAnsi="David"/>
        </w:rPr>
        <w:t>יורה דעה</w:t>
      </w:r>
      <w:r>
        <w:t xml:space="preserve">) — the primary reference for any </w:t>
      </w:r>
      <w:r>
        <w:rPr>
          <w:i/>
        </w:rPr>
        <w:t>bachur</w:t>
      </w:r>
      <w:r>
        <w:t xml:space="preserve"> (</w:t>
      </w:r>
      <w:r>
        <w:rPr>
          <w:rFonts w:ascii="David" w:hAnsi="David"/>
        </w:rPr>
        <w:t>בחור</w:t>
      </w:r>
      <w:r>
        <w:t xml:space="preserve">) who has learned </w:t>
      </w:r>
      <w:r>
        <w:rPr>
          <w:i/>
        </w:rPr>
        <w:t>basar be-chalav</w:t>
      </w:r>
      <w:r>
        <w:t xml:space="preserve"> (</w:t>
      </w:r>
      <w:r>
        <w:rPr>
          <w:rFonts w:ascii="David" w:hAnsi="David"/>
        </w:rPr>
        <w:t>בשר וחלב</w:t>
      </w:r>
      <w:r>
        <w:t xml:space="preserve">) or </w:t>
      </w:r>
      <w:r>
        <w:rPr>
          <w:i/>
        </w:rPr>
        <w:t>ta’aroves</w:t>
      </w:r>
      <w:r>
        <w:t xml:space="preserve"> (</w:t>
      </w:r>
      <w:r>
        <w:rPr>
          <w:rFonts w:ascii="David" w:hAnsi="David"/>
        </w:rPr>
        <w:t>תערובות</w:t>
      </w:r>
      <w:r>
        <w:t xml:space="preserve">). His </w:t>
      </w:r>
      <w:r>
        <w:rPr>
          <w:i/>
        </w:rPr>
        <w:t>Tif’eres Banim</w:t>
      </w:r>
      <w:r>
        <w:t xml:space="preserve"> on </w:t>
      </w:r>
      <w:r>
        <w:rPr>
          <w:i/>
        </w:rPr>
        <w:t>Chumash</w:t>
      </w:r>
      <w:r>
        <w:t xml:space="preserve"> contains a </w:t>
      </w:r>
      <w:r>
        <w:rPr>
          <w:i/>
        </w:rPr>
        <w:t>chiddush</w:t>
      </w:r>
      <w:r>
        <w:t xml:space="preserve"> (</w:t>
      </w:r>
      <w:r>
        <w:rPr>
          <w:rFonts w:ascii="David" w:hAnsi="David"/>
        </w:rPr>
        <w:t>חידוש</w:t>
      </w:r>
      <w:r>
        <w:t xml:space="preserve">) on </w:t>
      </w:r>
      <w:r>
        <w:rPr>
          <w:i/>
        </w:rPr>
        <w:t>Parshas Lech Lecha</w:t>
      </w:r>
      <w:r>
        <w:t xml:space="preserve"> that stands among the most striking readings of </w:t>
      </w:r>
      <w:r>
        <w:rPr>
          <w:i/>
        </w:rPr>
        <w:t>“</w:t>
      </w:r>
      <w:r>
        <w:rPr>
          <w:rFonts w:ascii="David" w:hAnsi="David"/>
          <w:i/>
        </w:rPr>
        <w:t>ובך חותמין</w:t>
      </w:r>
      <w:r>
        <w:rPr>
          <w:i/>
        </w:rPr>
        <w:t>”</w:t>
      </w:r>
      <w:r>
        <w:t xml:space="preserve"> in the entire literature.</w:t>
      </w:r>
    </w:p>
    <w:p>
      <w:r>
        <w:rPr>
          <w:i/>
          <w:color w:val="B8860B"/>
          <w:sz w:val="24"/>
        </w:rPr>
        <w:t>The Pesukim in Yechezkel</w:t>
      </w:r>
    </w:p>
    <w:p>
      <w:r>
        <w:t xml:space="preserve">The </w:t>
      </w:r>
      <w:r>
        <w:rPr>
          <w:i/>
        </w:rPr>
        <w:t>navi</w:t>
      </w:r>
      <w:r>
        <w:t xml:space="preserve"> (</w:t>
      </w:r>
      <w:r>
        <w:rPr>
          <w:rFonts w:ascii="David" w:hAnsi="David"/>
        </w:rPr>
        <w:t>נביא</w:t>
      </w:r>
      <w:r>
        <w:t xml:space="preserve">) </w:t>
      </w:r>
      <w:r>
        <w:rPr>
          <w:i/>
        </w:rPr>
        <w:t>Yechezkel</w:t>
      </w:r>
      <w:r>
        <w:t xml:space="preserve"> (</w:t>
      </w:r>
      <w:r>
        <w:rPr>
          <w:rFonts w:ascii="David" w:hAnsi="David"/>
        </w:rPr>
        <w:t>יחזקאל</w:t>
      </w:r>
      <w:r>
        <w:t xml:space="preserve">) was given the great vision of the </w:t>
      </w:r>
      <w:r>
        <w:rPr>
          <w:i/>
        </w:rPr>
        <w:t>Bayis Shelishi</w:t>
      </w:r>
      <w:r>
        <w:t xml:space="preserve"> (</w:t>
      </w:r>
      <w:r>
        <w:rPr>
          <w:rFonts w:ascii="David" w:hAnsi="David"/>
        </w:rPr>
        <w:t>בית שלישי</w:t>
      </w:r>
      <w:r>
        <w:t xml:space="preserve">), the future </w:t>
      </w:r>
      <w:r>
        <w:rPr>
          <w:i/>
        </w:rPr>
        <w:t>Beis HaMikdash</w:t>
      </w:r>
      <w:r>
        <w:t xml:space="preserve"> (</w:t>
      </w:r>
      <w:r>
        <w:rPr>
          <w:rFonts w:ascii="David" w:hAnsi="David"/>
        </w:rPr>
        <w:t>בית המקדש</w:t>
      </w:r>
      <w:r>
        <w:t xml:space="preserve">); the vision is read as the </w:t>
      </w:r>
      <w:r>
        <w:rPr>
          <w:i/>
        </w:rPr>
        <w:t>haftarah</w:t>
      </w:r>
      <w:r>
        <w:t xml:space="preserve"> of </w:t>
      </w:r>
      <w:r>
        <w:rPr>
          <w:i/>
        </w:rPr>
        <w:t>Parshas HaChodesh</w:t>
      </w:r>
      <w:r>
        <w:t xml:space="preserve"> (</w:t>
      </w:r>
      <w:r>
        <w:rPr>
          <w:rFonts w:ascii="David" w:hAnsi="David"/>
        </w:rPr>
        <w:t>פרשת החודש</w:t>
      </w:r>
      <w:r>
        <w:t>).</w:t>
      </w:r>
      <w:r>
        <w:rPr>
          <w:color w:val="B8860B"/>
          <w:sz w:val="16"/>
          <w:vertAlign w:val="superscript"/>
        </w:rPr>
        <w:t>[7]</w:t>
      </w:r>
      <w:r>
        <w:t xml:space="preserve"> The </w:t>
      </w:r>
      <w:r>
        <w:rPr>
          <w:i/>
        </w:rPr>
        <w:t>nevuah</w:t>
      </w:r>
      <w:r>
        <w:t xml:space="preserve"> (</w:t>
      </w:r>
      <w:r>
        <w:rPr>
          <w:rFonts w:ascii="David" w:hAnsi="David"/>
        </w:rPr>
        <w:t>נבואה</w:t>
      </w:r>
      <w:r>
        <w:t xml:space="preserve">) contains many </w:t>
      </w:r>
      <w:r>
        <w:rPr>
          <w:i/>
        </w:rPr>
        <w:t>sesirot</w:t>
      </w:r>
      <w:r>
        <w:t xml:space="preserve"> (</w:t>
      </w:r>
      <w:r>
        <w:rPr>
          <w:rFonts w:ascii="David" w:hAnsi="David"/>
        </w:rPr>
        <w:t>סתירות</w:t>
      </w:r>
      <w:r>
        <w:t xml:space="preserve">) with the arrangements of the first and second Temples — how the </w:t>
      </w:r>
      <w:r>
        <w:rPr>
          <w:i/>
        </w:rPr>
        <w:t>kohanim</w:t>
      </w:r>
      <w:r>
        <w:t xml:space="preserve"> (</w:t>
      </w:r>
      <w:r>
        <w:rPr>
          <w:rFonts w:ascii="David" w:hAnsi="David"/>
        </w:rPr>
        <w:t>כהנים</w:t>
      </w:r>
      <w:r>
        <w:t xml:space="preserve">) dress, how they conduct themselves; the </w:t>
      </w:r>
      <w:r>
        <w:rPr>
          <w:i/>
        </w:rPr>
        <w:t>Rishonim</w:t>
      </w:r>
      <w:r>
        <w:t xml:space="preserve"> (</w:t>
      </w:r>
      <w:r>
        <w:rPr>
          <w:rFonts w:ascii="David" w:hAnsi="David"/>
        </w:rPr>
        <w:t>ראשונים</w:t>
      </w:r>
      <w:r>
        <w:t>) labor at length to reconcile.</w:t>
      </w:r>
    </w:p>
    <w:p>
      <w:r>
        <w:t xml:space="preserve">One </w:t>
      </w:r>
      <w:r>
        <w:rPr>
          <w:i/>
        </w:rPr>
        <w:t>pasuk</w:t>
      </w:r>
      <w:r>
        <w:t xml:space="preserve"> stands out. In describing the daily </w:t>
      </w:r>
      <w:r>
        <w:rPr>
          <w:i/>
        </w:rPr>
        <w:t>korban</w:t>
      </w:r>
      <w:r>
        <w:t xml:space="preserve"> (</w:t>
      </w:r>
      <w:r>
        <w:rPr>
          <w:rFonts w:ascii="David" w:hAnsi="David"/>
        </w:rPr>
        <w:t>קרבן</w:t>
      </w:r>
      <w:r>
        <w:t xml:space="preserve">), </w:t>
      </w:r>
      <w:r>
        <w:rPr>
          <w:i/>
        </w:rPr>
        <w:t>Yechezkel</w:t>
      </w:r>
      <w:r>
        <w:t xml:space="preserve"> 46:13–15</w:t>
      </w:r>
      <w:r>
        <w:rPr>
          <w:color w:val="B8860B"/>
          <w:sz w:val="16"/>
          <w:vertAlign w:val="superscript"/>
        </w:rPr>
        <w:t>[8]</w:t>
      </w:r>
      <w:r>
        <w:t xml:space="preserve"> mentions the </w:t>
      </w:r>
      <w:r>
        <w:rPr>
          <w:i/>
        </w:rPr>
        <w:t>tamid shel shachar</w:t>
      </w:r>
      <w:r>
        <w:t xml:space="preserve"> (</w:t>
      </w:r>
      <w:r>
        <w:rPr>
          <w:rFonts w:ascii="David" w:hAnsi="David"/>
        </w:rPr>
        <w:t>תמיד של שחר</w:t>
      </w:r>
      <w:r>
        <w:t xml:space="preserve">) — </w:t>
      </w:r>
      <w:r>
        <w:rPr>
          <w:i/>
        </w:rPr>
        <w:t>“</w:t>
      </w:r>
      <w:r>
        <w:rPr>
          <w:rFonts w:ascii="David" w:hAnsi="David"/>
          <w:i/>
        </w:rPr>
        <w:t>בבקר בבקר</w:t>
      </w:r>
      <w:r>
        <w:rPr>
          <w:i/>
        </w:rPr>
        <w:t>”</w:t>
      </w:r>
      <w:r>
        <w:t xml:space="preserve">, morning after morning — and </w:t>
      </w:r>
      <w:r>
        <w:rPr>
          <w:i/>
        </w:rPr>
        <w:t>does not mention</w:t>
      </w:r>
      <w:r>
        <w:t xml:space="preserve"> a </w:t>
      </w:r>
      <w:r>
        <w:rPr>
          <w:i/>
        </w:rPr>
        <w:t>tamid shel bein ha’arbayim</w:t>
      </w:r>
      <w:r>
        <w:t xml:space="preserve"> (</w:t>
      </w:r>
      <w:r>
        <w:rPr>
          <w:rFonts w:ascii="David" w:hAnsi="David"/>
        </w:rPr>
        <w:t>תמיד של בין הערבים</w:t>
      </w:r>
      <w:r>
        <w:t>).</w:t>
      </w:r>
    </w:p>
    <w:p>
      <w:r>
        <w:rPr>
          <w:i/>
          <w:color w:val="B8860B"/>
          <w:sz w:val="24"/>
        </w:rPr>
        <w:t>The Radak’s Reading</w:t>
      </w:r>
    </w:p>
    <w:p>
      <w:r>
        <w:t xml:space="preserve">Most </w:t>
      </w:r>
      <w:r>
        <w:rPr>
          <w:i/>
        </w:rPr>
        <w:t>mefarshim</w:t>
      </w:r>
      <w:r>
        <w:t xml:space="preserve"> (</w:t>
      </w:r>
      <w:r>
        <w:rPr>
          <w:rFonts w:ascii="David" w:hAnsi="David"/>
        </w:rPr>
        <w:t>מפרשים</w:t>
      </w:r>
      <w:r>
        <w:t xml:space="preserve">) assimilate the </w:t>
      </w:r>
      <w:r>
        <w:rPr>
          <w:i/>
        </w:rPr>
        <w:t>pasuk</w:t>
      </w:r>
      <w:r>
        <w:t xml:space="preserve"> to the familiar structure of </w:t>
      </w:r>
      <w:r>
        <w:rPr>
          <w:i/>
        </w:rPr>
        <w:t>korban tamid</w:t>
      </w:r>
      <w:r>
        <w:t xml:space="preserve"> (</w:t>
      </w:r>
      <w:r>
        <w:rPr>
          <w:rFonts w:ascii="David" w:hAnsi="David"/>
        </w:rPr>
        <w:t>קרבן תמיד</w:t>
      </w:r>
      <w:r>
        <w:t xml:space="preserve">) — some speak of </w:t>
      </w:r>
      <w:r>
        <w:rPr>
          <w:i/>
        </w:rPr>
        <w:t>korbanos milu’im</w:t>
      </w:r>
      <w:r>
        <w:t xml:space="preserve"> (</w:t>
      </w:r>
      <w:r>
        <w:rPr>
          <w:rFonts w:ascii="David" w:hAnsi="David"/>
        </w:rPr>
        <w:t>קרבנות מילואים</w:t>
      </w:r>
      <w:r>
        <w:t xml:space="preserve">) at the inauguration of the future </w:t>
      </w:r>
      <w:r>
        <w:rPr>
          <w:i/>
        </w:rPr>
        <w:t>Beis HaMikdash</w:t>
      </w:r>
      <w:r>
        <w:t xml:space="preserve">, others suggest textual ellipsis. The </w:t>
      </w:r>
      <w:r>
        <w:rPr>
          <w:i/>
        </w:rPr>
        <w:t>Radak</w:t>
      </w:r>
      <w:r>
        <w:t>, Rabbi David Kimchi (</w:t>
      </w:r>
      <w:r>
        <w:rPr>
          <w:rFonts w:ascii="David" w:hAnsi="David"/>
        </w:rPr>
        <w:t>רבי דוד קמחי</w:t>
      </w:r>
      <w:r>
        <w:t>, 1160–1235, Narbonne in Provence)</w:t>
      </w:r>
      <w:r>
        <w:rPr>
          <w:color w:val="B8860B"/>
          <w:sz w:val="16"/>
          <w:vertAlign w:val="superscript"/>
        </w:rPr>
        <w:t>[9]</w:t>
      </w:r>
      <w:r>
        <w:t xml:space="preserve"> — one of the great </w:t>
      </w:r>
      <w:r>
        <w:rPr>
          <w:i/>
        </w:rPr>
        <w:t>mefarshei Nach</w:t>
      </w:r>
      <w:r>
        <w:t xml:space="preserve"> (</w:t>
      </w:r>
      <w:r>
        <w:rPr>
          <w:rFonts w:ascii="David" w:hAnsi="David"/>
        </w:rPr>
        <w:t>מפרשי נ"ך</w:t>
      </w:r>
      <w:r>
        <w:t xml:space="preserve">) among the </w:t>
      </w:r>
      <w:r>
        <w:rPr>
          <w:i/>
        </w:rPr>
        <w:t>Rishonim</w:t>
      </w:r>
      <w:r>
        <w:t xml:space="preserve"> — breaks with this. He reads the </w:t>
      </w:r>
      <w:r>
        <w:rPr>
          <w:i/>
        </w:rPr>
        <w:t>pasuk</w:t>
      </w:r>
      <w:r>
        <w:t xml:space="preserve"> at face value: in the </w:t>
      </w:r>
      <w:r>
        <w:rPr>
          <w:i/>
        </w:rPr>
        <w:t>Bayis Shelishi</w:t>
      </w:r>
      <w:r>
        <w:t xml:space="preserve">, </w:t>
      </w:r>
      <w:r>
        <w:rPr>
          <w:b/>
        </w:rPr>
        <w:t xml:space="preserve">there will be only a </w:t>
      </w:r>
      <w:r>
        <w:rPr>
          <w:b/>
          <w:i/>
        </w:rPr>
        <w:t>tamid shel shachar</w:t>
      </w:r>
      <w:r>
        <w:t xml:space="preserve">, and no </w:t>
      </w:r>
      <w:r>
        <w:rPr>
          <w:i/>
        </w:rPr>
        <w:t>tamid shel bein ha’arbayim</w:t>
      </w:r>
      <w:r>
        <w:t>.</w:t>
      </w:r>
    </w:p>
    <w:p>
      <w:r>
        <w:rPr>
          <w:i/>
          <w:color w:val="B8860B"/>
          <w:sz w:val="24"/>
        </w:rPr>
        <w:t>The Implication for Tefillah</w:t>
      </w:r>
    </w:p>
    <w:p>
      <w:r>
        <w:t xml:space="preserve">The </w:t>
      </w:r>
      <w:r>
        <w:rPr>
          <w:i/>
        </w:rPr>
        <w:t>Gemara</w:t>
      </w:r>
      <w:r>
        <w:t xml:space="preserve"> in </w:t>
      </w:r>
      <w:r>
        <w:rPr>
          <w:i/>
        </w:rPr>
        <w:t>Berachos</w:t>
      </w:r>
      <w:r>
        <w:t xml:space="preserve"> (</w:t>
      </w:r>
      <w:r>
        <w:rPr>
          <w:rFonts w:ascii="David" w:hAnsi="David"/>
        </w:rPr>
        <w:t>ברכות</w:t>
      </w:r>
      <w:r>
        <w:t>) 26b</w:t>
      </w:r>
      <w:r>
        <w:rPr>
          <w:color w:val="B8860B"/>
          <w:sz w:val="16"/>
          <w:vertAlign w:val="superscript"/>
        </w:rPr>
        <w:t>[10]</w:t>
      </w:r>
      <w:r>
        <w:t xml:space="preserve"> teaches the great principle:</w:t>
      </w:r>
    </w:p>
    <w:p>
      <w:pPr>
        <w:ind w:left="432"/>
      </w:pPr>
      <w:r>
        <w:rPr>
          <w:i/>
        </w:rPr>
        <w:br/>
      </w:r>
      <w:r>
        <w:rPr>
          <w:rFonts w:ascii="David" w:hAnsi="David"/>
          <w:i/>
        </w:rPr>
        <w:t>תְּפִלּוֹת כְּנֶגֶד תְּמִידִין תִּקְּנוּם.</w:t>
      </w:r>
      <w:r>
        <w:rPr>
          <w:i/>
        </w:rPr>
        <w:br/>
      </w:r>
      <w:r>
        <w:rPr>
          <w:i/>
        </w:rPr>
        <w:t xml:space="preserve">The daily </w:t>
      </w:r>
      <w:r>
        <w:rPr>
          <w:i/>
        </w:rPr>
        <w:t>tefillos</w:t>
      </w:r>
      <w:r>
        <w:rPr>
          <w:i/>
        </w:rPr>
        <w:t xml:space="preserve"> were instituted parallel to the </w:t>
      </w:r>
      <w:r>
        <w:rPr>
          <w:i/>
        </w:rPr>
        <w:t>temidin</w:t>
      </w:r>
      <w:r>
        <w:rPr>
          <w:i/>
        </w:rPr>
        <w:t>.</w:t>
      </w:r>
      <w:r>
        <w:rPr>
          <w:i/>
        </w:rPr>
        <w:br/>
      </w:r>
    </w:p>
    <w:p>
      <w:r>
        <w:t xml:space="preserve">Follow the implication. If in the future there is no </w:t>
      </w:r>
      <w:r>
        <w:rPr>
          <w:i/>
        </w:rPr>
        <w:t>tamid shel bein ha’arbayim</w:t>
      </w:r>
      <w:r>
        <w:t xml:space="preserve">, there is no anchor for </w:t>
      </w:r>
      <w:r>
        <w:rPr>
          <w:i/>
        </w:rPr>
        <w:t>Minchah</w:t>
      </w:r>
      <w:r>
        <w:t xml:space="preserve"> and no anchor for </w:t>
      </w:r>
      <w:r>
        <w:rPr>
          <w:i/>
        </w:rPr>
        <w:t>Ma’ariv</w:t>
      </w:r>
      <w:r>
        <w:t xml:space="preserve"> — only </w:t>
      </w:r>
      <w:r>
        <w:rPr>
          <w:b/>
          <w:i/>
        </w:rPr>
        <w:t>Shacharis</w:t>
      </w:r>
      <w:r>
        <w:t>.</w:t>
      </w:r>
    </w:p>
    <w:p>
      <w:r>
        <w:rPr>
          <w:i/>
          <w:color w:val="B8860B"/>
          <w:sz w:val="24"/>
        </w:rPr>
        <w:t>Why? “Ha-Laylah Ka-Yom Ya’ir”</w:t>
      </w:r>
    </w:p>
    <w:p>
      <w:r>
        <w:t xml:space="preserve">The reason is disclosed in the </w:t>
      </w:r>
      <w:r>
        <w:rPr>
          <w:i/>
        </w:rPr>
        <w:t>pesukim</w:t>
      </w:r>
      <w:r>
        <w:t xml:space="preserve">. </w:t>
      </w:r>
      <w:r>
        <w:rPr>
          <w:i/>
        </w:rPr>
        <w:t>David HaMelech</w:t>
      </w:r>
      <w:r>
        <w:t xml:space="preserve"> (</w:t>
      </w:r>
      <w:r>
        <w:rPr>
          <w:rFonts w:ascii="David" w:hAnsi="David"/>
        </w:rPr>
        <w:t>דוד המלך</w:t>
      </w:r>
      <w:r>
        <w:t xml:space="preserve">) declares in </w:t>
      </w:r>
      <w:r>
        <w:rPr>
          <w:i/>
        </w:rPr>
        <w:t>Tehillim</w:t>
      </w:r>
      <w:r>
        <w:t xml:space="preserve"> (</w:t>
      </w:r>
      <w:r>
        <w:rPr>
          <w:rFonts w:ascii="David" w:hAnsi="David"/>
        </w:rPr>
        <w:t>תהילים</w:t>
      </w:r>
      <w:r>
        <w:t>) 139:12</w:t>
      </w:r>
      <w:r>
        <w:rPr>
          <w:color w:val="B8860B"/>
          <w:sz w:val="16"/>
          <w:vertAlign w:val="superscript"/>
        </w:rPr>
        <w:t>[11]</w:t>
      </w:r>
      <w:r>
        <w:t>:</w:t>
      </w:r>
    </w:p>
    <w:p>
      <w:pPr>
        <w:ind w:left="432"/>
      </w:pPr>
      <w:r>
        <w:rPr>
          <w:i/>
        </w:rPr>
        <w:br/>
      </w:r>
      <w:r>
        <w:rPr>
          <w:rFonts w:ascii="David" w:hAnsi="David"/>
          <w:i/>
        </w:rPr>
        <w:t>גַּם חֹשֶׁךְ לֹא יַחְשִׁיךְ מִמֶּךָּ, וְלַיְלָה כַּיּוֹם יָאִיר; כַּחֲשֵׁכָה כָּאוֹרָה.</w:t>
      </w:r>
      <w:r>
        <w:rPr>
          <w:i/>
        </w:rPr>
        <w:br/>
      </w:r>
      <w:r>
        <w:rPr>
          <w:i/>
        </w:rPr>
        <w:t>Even darkness does not conceal from You; night shines like day; darkness is as light.</w:t>
      </w:r>
      <w:r>
        <w:rPr>
          <w:i/>
        </w:rPr>
        <w:br/>
      </w:r>
    </w:p>
    <w:p>
      <w:r>
        <w:rPr>
          <w:i/>
        </w:rPr>
        <w:t>Yeshayahu</w:t>
      </w:r>
      <w:r>
        <w:t xml:space="preserve"> (</w:t>
      </w:r>
      <w:r>
        <w:rPr>
          <w:rFonts w:ascii="David" w:hAnsi="David"/>
        </w:rPr>
        <w:t>ישעיהו</w:t>
      </w:r>
      <w:r>
        <w:t>) 60:19–20</w:t>
      </w:r>
      <w:r>
        <w:rPr>
          <w:color w:val="B8860B"/>
          <w:sz w:val="16"/>
          <w:vertAlign w:val="superscript"/>
        </w:rPr>
        <w:t>[12]</w:t>
      </w:r>
      <w:r>
        <w:t xml:space="preserve"> extends the vision to the future world itself: </w:t>
      </w:r>
      <w:r>
        <w:rPr>
          <w:i/>
        </w:rPr>
        <w:t>“</w:t>
      </w:r>
      <w:r>
        <w:rPr>
          <w:rFonts w:ascii="David" w:hAnsi="David"/>
          <w:i/>
        </w:rPr>
        <w:t>לא יבוא עוד שמשך</w:t>
      </w:r>
      <w:r>
        <w:rPr>
          <w:i/>
        </w:rPr>
        <w:t>”</w:t>
      </w:r>
      <w:r>
        <w:t xml:space="preserve"> — your sun shall no longer set. If in the future world the sun does not set, there is no transition between day and night, no </w:t>
      </w:r>
      <w:r>
        <w:rPr>
          <w:i/>
        </w:rPr>
        <w:t>bein ha’arbayim</w:t>
      </w:r>
      <w:r>
        <w:t xml:space="preserve">, no </w:t>
      </w:r>
      <w:r>
        <w:rPr>
          <w:i/>
        </w:rPr>
        <w:t>zeman</w:t>
      </w:r>
      <w:r>
        <w:t xml:space="preserve"> (</w:t>
      </w:r>
      <w:r>
        <w:rPr>
          <w:rFonts w:ascii="David" w:hAnsi="David"/>
        </w:rPr>
        <w:t>זמן</w:t>
      </w:r>
      <w:r>
        <w:t xml:space="preserve">) for an evening </w:t>
      </w:r>
      <w:r>
        <w:rPr>
          <w:i/>
        </w:rPr>
        <w:t>korban</w:t>
      </w:r>
      <w:r>
        <w:t xml:space="preserve">. Therefore only </w:t>
      </w:r>
      <w:r>
        <w:rPr>
          <w:i/>
        </w:rPr>
        <w:t>Shacharis</w:t>
      </w:r>
      <w:r>
        <w:t>.</w:t>
      </w:r>
    </w:p>
    <w:p>
      <w:r>
        <w:rPr>
          <w:i/>
          <w:color w:val="B8860B"/>
          <w:sz w:val="24"/>
        </w:rPr>
        <w:t>The Remez in Pesachim</w:t>
      </w:r>
    </w:p>
    <w:p>
      <w:r>
        <w:t xml:space="preserve">Here is the </w:t>
      </w:r>
      <w:r>
        <w:rPr>
          <w:i/>
        </w:rPr>
        <w:t>Tif’eres Banim</w:t>
      </w:r>
      <w:r>
        <w:t xml:space="preserve">’s </w:t>
      </w:r>
      <w:r>
        <w:rPr>
          <w:i/>
        </w:rPr>
        <w:t>chiddush</w:t>
      </w:r>
      <w:r>
        <w:t xml:space="preserve">. </w:t>
      </w:r>
      <w:r>
        <w:rPr>
          <w:i/>
        </w:rPr>
        <w:t>Chazal</w:t>
      </w:r>
      <w:r>
        <w:t xml:space="preserve"> record in </w:t>
      </w:r>
      <w:r>
        <w:rPr>
          <w:i/>
        </w:rPr>
        <w:t>Berachos</w:t>
      </w:r>
      <w:r>
        <w:t>:</w:t>
      </w:r>
    </w:p>
    <w:p>
      <w:r>
        <w:rPr>
          <w:i/>
        </w:rPr>
        <w:t>“</w:t>
      </w:r>
      <w:r>
        <w:rPr>
          <w:rFonts w:ascii="David" w:hAnsi="David"/>
          <w:i/>
        </w:rPr>
        <w:t>ובך חותמין</w:t>
      </w:r>
      <w:r>
        <w:rPr>
          <w:i/>
        </w:rPr>
        <w:t>”</w:t>
      </w:r>
      <w:r>
        <w:t xml:space="preserve"> — in the future, only </w:t>
      </w:r>
      <w:r>
        <w:rPr>
          <w:i/>
        </w:rPr>
        <w:t>Avraham</w:t>
      </w:r>
      <w:r>
        <w:t xml:space="preserve">’s </w:t>
      </w:r>
      <w:r>
        <w:rPr>
          <w:i/>
        </w:rPr>
        <w:t>tefillah</w:t>
      </w:r>
      <w:r>
        <w:t xml:space="preserve"> will remain. </w:t>
      </w:r>
      <w:r>
        <w:rPr>
          <w:i/>
        </w:rPr>
        <w:t>Yitzchak</w:t>
      </w:r>
      <w:r>
        <w:t xml:space="preserve">’s </w:t>
      </w:r>
      <w:r>
        <w:rPr>
          <w:i/>
        </w:rPr>
        <w:t>Minchah</w:t>
      </w:r>
      <w:r>
        <w:t xml:space="preserve"> and </w:t>
      </w:r>
      <w:r>
        <w:rPr>
          <w:i/>
        </w:rPr>
        <w:t>Yaakov</w:t>
      </w:r>
      <w:r>
        <w:t xml:space="preserve">’s </w:t>
      </w:r>
      <w:r>
        <w:rPr>
          <w:i/>
        </w:rPr>
        <w:t>Ma’ariv</w:t>
      </w:r>
      <w:r>
        <w:t xml:space="preserve"> are the </w:t>
      </w:r>
      <w:r>
        <w:rPr>
          <w:i/>
        </w:rPr>
        <w:t>tefillos</w:t>
      </w:r>
      <w:r>
        <w:t xml:space="preserve"> of </w:t>
      </w:r>
      <w:r>
        <w:rPr>
          <w:i/>
        </w:rPr>
        <w:t>galus</w:t>
      </w:r>
      <w:r>
        <w:t xml:space="preserve">; the </w:t>
      </w:r>
      <w:r>
        <w:rPr>
          <w:i/>
        </w:rPr>
        <w:t>tefillah</w:t>
      </w:r>
      <w:r>
        <w:t xml:space="preserve"> of </w:t>
      </w:r>
      <w:r>
        <w:rPr>
          <w:i/>
        </w:rPr>
        <w:t>geulah</w:t>
      </w:r>
      <w:r>
        <w:t xml:space="preserve">, of the age of the </w:t>
      </w:r>
      <w:r>
        <w:rPr>
          <w:i/>
        </w:rPr>
        <w:t>Bayis Shelishi</w:t>
      </w:r>
      <w:r>
        <w:t xml:space="preserve">, is </w:t>
      </w:r>
      <w:r>
        <w:rPr>
          <w:i/>
        </w:rPr>
        <w:t>Avraham</w:t>
      </w:r>
      <w:r>
        <w:t>’s alone.</w:t>
      </w:r>
    </w:p>
    <w:p>
      <w:r>
        <w:rPr>
          <w:i/>
          <w:color w:val="B8860B"/>
          <w:sz w:val="24"/>
        </w:rPr>
        <w:t>Confirmation in the Verbal Tense</w:t>
      </w:r>
    </w:p>
    <w:p>
      <w:r>
        <w:t xml:space="preserve">The </w:t>
      </w:r>
      <w:r>
        <w:rPr>
          <w:i/>
        </w:rPr>
        <w:t>Sforno</w:t>
      </w:r>
      <w:r>
        <w:t xml:space="preserve"> (</w:t>
      </w:r>
      <w:r>
        <w:rPr>
          <w:rFonts w:ascii="David" w:hAnsi="David"/>
        </w:rPr>
        <w:t>ספורנו</w:t>
      </w:r>
      <w:r>
        <w:t xml:space="preserve">) and other </w:t>
      </w:r>
      <w:r>
        <w:rPr>
          <w:i/>
        </w:rPr>
        <w:t>Rishonim</w:t>
      </w:r>
      <w:r>
        <w:t xml:space="preserve"> notice a precise pattern in the </w:t>
      </w:r>
      <w:r>
        <w:rPr>
          <w:i/>
        </w:rPr>
        <w:t>pesukim</w:t>
      </w:r>
      <w:r>
        <w:t xml:space="preserve"> establishing each of the three </w:t>
      </w:r>
      <w:r>
        <w:rPr>
          <w:i/>
        </w:rPr>
        <w:t>tefillos</w:t>
      </w:r>
      <w:r>
        <w:t>:</w:t>
      </w:r>
    </w:p>
    <w:p>
      <w:r>
        <w:rPr>
          <w:i/>
        </w:rPr>
        <w:t>Minchah</w:t>
      </w:r>
      <w:r>
        <w:t xml:space="preserve"> and </w:t>
      </w:r>
      <w:r>
        <w:rPr>
          <w:i/>
        </w:rPr>
        <w:t>Ma’ariv</w:t>
      </w:r>
      <w:r>
        <w:t xml:space="preserve"> are placed grammatically in the past — they are the </w:t>
      </w:r>
      <w:r>
        <w:rPr>
          <w:i/>
        </w:rPr>
        <w:t>tefillos</w:t>
      </w:r>
      <w:r>
        <w:t xml:space="preserve"> of the historical unfolding of </w:t>
      </w:r>
      <w:r>
        <w:rPr>
          <w:i/>
        </w:rPr>
        <w:t>galus</w:t>
      </w:r>
      <w:r>
        <w:t xml:space="preserve">. </w:t>
      </w:r>
      <w:r>
        <w:rPr>
          <w:i/>
        </w:rPr>
        <w:t>Avraham</w:t>
      </w:r>
      <w:r>
        <w:t xml:space="preserve">’s </w:t>
      </w:r>
      <w:r>
        <w:rPr>
          <w:i/>
        </w:rPr>
        <w:t>Shacharis</w:t>
      </w:r>
      <w:r>
        <w:t xml:space="preserve"> alone is set in the eternal present. The very grammar of the </w:t>
      </w:r>
      <w:r>
        <w:rPr>
          <w:i/>
        </w:rPr>
        <w:t>Chumash</w:t>
      </w:r>
      <w:r>
        <w:t xml:space="preserve"> (</w:t>
      </w:r>
      <w:r>
        <w:rPr>
          <w:rFonts w:ascii="David" w:hAnsi="David"/>
        </w:rPr>
        <w:t>חומש</w:t>
      </w:r>
      <w:r>
        <w:t xml:space="preserve">) confirms the </w:t>
      </w:r>
      <w:r>
        <w:rPr>
          <w:i/>
        </w:rPr>
        <w:t>chiddush</w:t>
      </w:r>
      <w:r>
        <w:t>.</w:t>
      </w:r>
    </w:p>
    <w:p>
      <w:r>
        <w:rPr>
          <w:i/>
          <w:color w:val="B8860B"/>
          <w:sz w:val="24"/>
        </w:rPr>
        <w:t>Reconciling with “Lo Sishtaneh Ha-Torah”</w:t>
      </w:r>
    </w:p>
    <w:p>
      <w:r>
        <w:t xml:space="preserve">The </w:t>
      </w:r>
      <w:r>
        <w:rPr>
          <w:i/>
        </w:rPr>
        <w:t>chiddush</w:t>
      </w:r>
      <w:r>
        <w:t xml:space="preserve"> as stated confronts a principle of first order: </w:t>
      </w:r>
      <w:r>
        <w:rPr>
          <w:i/>
        </w:rPr>
        <w:t>“</w:t>
      </w:r>
      <w:r>
        <w:rPr>
          <w:rFonts w:ascii="David" w:hAnsi="David"/>
          <w:i/>
        </w:rPr>
        <w:t>לא תשתנה התורה</w:t>
      </w:r>
      <w:r>
        <w:rPr>
          <w:i/>
        </w:rPr>
        <w:t>”</w:t>
      </w:r>
      <w:r>
        <w:t xml:space="preserve"> — the </w:t>
      </w:r>
      <w:r>
        <w:rPr>
          <w:i/>
        </w:rPr>
        <w:t>Torah</w:t>
      </w:r>
      <w:r>
        <w:t xml:space="preserve"> does not change. The </w:t>
      </w:r>
      <w:r>
        <w:rPr>
          <w:i/>
        </w:rPr>
        <w:t>Rambam</w:t>
      </w:r>
      <w:r>
        <w:t xml:space="preserve"> establishes this as one of the </w:t>
      </w:r>
      <w:r>
        <w:rPr>
          <w:i/>
        </w:rPr>
        <w:t>Ani Ma’amin</w:t>
      </w:r>
      <w:r>
        <w:t xml:space="preserve">; the </w:t>
      </w:r>
      <w:r>
        <w:rPr>
          <w:i/>
        </w:rPr>
        <w:t>Ra’avad</w:t>
      </w:r>
      <w:r>
        <w:t xml:space="preserve"> (</w:t>
      </w:r>
      <w:r>
        <w:rPr>
          <w:rFonts w:ascii="David" w:hAnsi="David"/>
        </w:rPr>
        <w:t>ראב"ד</w:t>
      </w:r>
      <w:r>
        <w:t>)</w:t>
      </w:r>
      <w:r>
        <w:rPr>
          <w:color w:val="B8860B"/>
          <w:sz w:val="16"/>
          <w:vertAlign w:val="superscript"/>
        </w:rPr>
        <w:t>[16]</w:t>
      </w:r>
      <w:r>
        <w:t xml:space="preserve"> disputes with the </w:t>
      </w:r>
      <w:r>
        <w:rPr>
          <w:i/>
        </w:rPr>
        <w:t>Rambam</w:t>
      </w:r>
      <w:r>
        <w:t xml:space="preserve"> over whether nature itself will change </w:t>
      </w:r>
      <w:r>
        <w:rPr>
          <w:i/>
        </w:rPr>
        <w:t>le’asid la’vo</w:t>
      </w:r>
      <w:r>
        <w:t xml:space="preserve"> (</w:t>
      </w:r>
      <w:r>
        <w:rPr>
          <w:rFonts w:ascii="David" w:hAnsi="David"/>
        </w:rPr>
        <w:t>לעתיד לבוא</w:t>
      </w:r>
      <w:r>
        <w:t xml:space="preserve">) — but even according to the </w:t>
      </w:r>
      <w:r>
        <w:rPr>
          <w:i/>
        </w:rPr>
        <w:t>Rambam</w:t>
      </w:r>
      <w:r>
        <w:t xml:space="preserve">, the </w:t>
      </w:r>
      <w:r>
        <w:rPr>
          <w:i/>
        </w:rPr>
        <w:t>Torah</w:t>
      </w:r>
      <w:r>
        <w:t xml:space="preserve"> stands unaltered. How can the </w:t>
      </w:r>
      <w:r>
        <w:rPr>
          <w:i/>
        </w:rPr>
        <w:t>Tif’eres Banim</w:t>
      </w:r>
      <w:r>
        <w:t xml:space="preserve">’s </w:t>
      </w:r>
      <w:r>
        <w:rPr>
          <w:i/>
        </w:rPr>
        <w:t>chiddush</w:t>
      </w:r>
      <w:r>
        <w:t xml:space="preserve"> hold?</w:t>
      </w:r>
    </w:p>
    <w:p>
      <w:r>
        <w:t xml:space="preserve">The stronger reconciliation is by way of the </w:t>
      </w:r>
      <w:r>
        <w:rPr>
          <w:i/>
        </w:rPr>
        <w:t>Ramban</w:t>
      </w:r>
      <w:r>
        <w:t xml:space="preserve"> (</w:t>
      </w:r>
      <w:r>
        <w:rPr>
          <w:rFonts w:ascii="David" w:hAnsi="David"/>
        </w:rPr>
        <w:t>רמב"ן</w:t>
      </w:r>
      <w:r>
        <w:t xml:space="preserve">) and the well-known </w:t>
      </w:r>
      <w:r>
        <w:rPr>
          <w:i/>
        </w:rPr>
        <w:t>drasha</w:t>
      </w:r>
      <w:r>
        <w:t xml:space="preserve"> (</w:t>
      </w:r>
      <w:r>
        <w:rPr>
          <w:rFonts w:ascii="David" w:hAnsi="David"/>
        </w:rPr>
        <w:t>דרשה</w:t>
      </w:r>
      <w:r>
        <w:t xml:space="preserve">) that </w:t>
      </w:r>
      <w:r>
        <w:rPr>
          <w:i/>
        </w:rPr>
        <w:t>“</w:t>
      </w:r>
      <w:r>
        <w:rPr>
          <w:rFonts w:ascii="David" w:hAnsi="David"/>
          <w:i/>
        </w:rPr>
        <w:t>למה נקרא שמו חזיר? שעתיד הקדוש ברוך הוא להחזירו לישראל</w:t>
      </w:r>
      <w:r>
        <w:rPr>
          <w:i/>
        </w:rPr>
        <w:t>”</w:t>
      </w:r>
      <w:r>
        <w:rPr>
          <w:color w:val="B8860B"/>
          <w:sz w:val="16"/>
          <w:vertAlign w:val="superscript"/>
        </w:rPr>
        <w:t>[17]</w:t>
      </w:r>
      <w:r>
        <w:t xml:space="preserve">. The </w:t>
      </w:r>
      <w:r>
        <w:rPr>
          <w:i/>
        </w:rPr>
        <w:t>Ramban</w:t>
      </w:r>
      <w:r>
        <w:t xml:space="preserve">’s reading is not, </w:t>
      </w:r>
      <w:r>
        <w:rPr>
          <w:i/>
        </w:rPr>
        <w:t>chas ve-shalom</w:t>
      </w:r>
      <w:r>
        <w:t xml:space="preserve"> (</w:t>
      </w:r>
      <w:r>
        <w:rPr>
          <w:rFonts w:ascii="David" w:hAnsi="David"/>
        </w:rPr>
        <w:t>חס ושלום</w:t>
      </w:r>
      <w:r>
        <w:t xml:space="preserve">), that the </w:t>
      </w:r>
      <w:r>
        <w:rPr>
          <w:i/>
        </w:rPr>
        <w:t>Torah</w:t>
      </w:r>
      <w:r>
        <w:t xml:space="preserve">’s rules of </w:t>
      </w:r>
      <w:r>
        <w:rPr>
          <w:i/>
        </w:rPr>
        <w:t>kashrus</w:t>
      </w:r>
      <w:r>
        <w:t xml:space="preserve"> (</w:t>
      </w:r>
      <w:r>
        <w:rPr>
          <w:rFonts w:ascii="David" w:hAnsi="David"/>
        </w:rPr>
        <w:t>כשרות</w:t>
      </w:r>
      <w:r>
        <w:t xml:space="preserve">) will change. The rule is stable: the </w:t>
      </w:r>
      <w:r>
        <w:rPr>
          <w:i/>
        </w:rPr>
        <w:t>simanei kashrus</w:t>
      </w:r>
      <w:r>
        <w:t xml:space="preserve"> (</w:t>
      </w:r>
      <w:r>
        <w:rPr>
          <w:rFonts w:ascii="David" w:hAnsi="David"/>
        </w:rPr>
        <w:t>סימני כשרות</w:t>
      </w:r>
      <w:r>
        <w:t xml:space="preserve">) of </w:t>
      </w:r>
      <w:r>
        <w:rPr>
          <w:i/>
        </w:rPr>
        <w:t>maflis parsah u-ma’aleh gerah</w:t>
      </w:r>
      <w:r>
        <w:t xml:space="preserve"> (</w:t>
      </w:r>
      <w:r>
        <w:rPr>
          <w:rFonts w:ascii="David" w:hAnsi="David"/>
        </w:rPr>
        <w:t>מפריס פרסה ומעלה גרה</w:t>
      </w:r>
      <w:r>
        <w:t xml:space="preserve">) remain. The </w:t>
      </w:r>
      <w:r>
        <w:rPr>
          <w:i/>
        </w:rPr>
        <w:t>animal</w:t>
      </w:r>
      <w:r>
        <w:t xml:space="preserve"> develops. Applied to </w:t>
      </w:r>
      <w:r>
        <w:rPr>
          <w:i/>
        </w:rPr>
        <w:t>Yechezkel</w:t>
      </w:r>
      <w:r>
        <w:t xml:space="preserve"> 46: the </w:t>
      </w:r>
      <w:r>
        <w:rPr>
          <w:i/>
        </w:rPr>
        <w:t>halakhos</w:t>
      </w:r>
      <w:r>
        <w:t xml:space="preserve"> (</w:t>
      </w:r>
      <w:r>
        <w:rPr>
          <w:rFonts w:ascii="David" w:hAnsi="David"/>
        </w:rPr>
        <w:t>הלכות</w:t>
      </w:r>
      <w:r>
        <w:t xml:space="preserve">) of </w:t>
      </w:r>
      <w:r>
        <w:rPr>
          <w:i/>
        </w:rPr>
        <w:t>tefillah</w:t>
      </w:r>
      <w:r>
        <w:t xml:space="preserve"> and the correspondence to </w:t>
      </w:r>
      <w:r>
        <w:rPr>
          <w:i/>
        </w:rPr>
        <w:t>temidin</w:t>
      </w:r>
      <w:r>
        <w:t xml:space="preserve"> remain intact; the </w:t>
      </w:r>
      <w:r>
        <w:rPr>
          <w:i/>
        </w:rPr>
        <w:t>world</w:t>
      </w:r>
      <w:r>
        <w:t xml:space="preserve"> changes — the daily cycle of light and dark reconfigures — and with the disappearance of </w:t>
      </w:r>
      <w:r>
        <w:rPr>
          <w:i/>
        </w:rPr>
        <w:t>bein ha’arbayim</w:t>
      </w:r>
      <w:r>
        <w:t xml:space="preserve"> as a </w:t>
      </w:r>
      <w:r>
        <w:rPr>
          <w:i/>
        </w:rPr>
        <w:t>zeman</w:t>
      </w:r>
      <w:r>
        <w:t xml:space="preserve">, the second </w:t>
      </w:r>
      <w:r>
        <w:rPr>
          <w:i/>
        </w:rPr>
        <w:t>tamid</w:t>
      </w:r>
      <w:r>
        <w:t xml:space="preserve"> has no </w:t>
      </w:r>
      <w:r>
        <w:rPr>
          <w:i/>
        </w:rPr>
        <w:t>metzius</w:t>
      </w:r>
      <w:r>
        <w:t xml:space="preserve"> (</w:t>
      </w:r>
      <w:r>
        <w:rPr>
          <w:rFonts w:ascii="David" w:hAnsi="David"/>
        </w:rPr>
        <w:t>מציאות</w:t>
      </w:r>
      <w:r>
        <w:t xml:space="preserve">) in which to be brought. The </w:t>
      </w:r>
      <w:r>
        <w:rPr>
          <w:i/>
        </w:rPr>
        <w:t>Torah</w:t>
      </w:r>
      <w:r>
        <w:t xml:space="preserve"> has not changed; the world’s daily clock has.</w:t>
      </w:r>
    </w:p>
    <w:p>
      <w:r>
        <w:t xml:space="preserve">A supplementary reconciliation follows the </w:t>
      </w:r>
      <w:r>
        <w:rPr>
          <w:i/>
        </w:rPr>
        <w:t>Rambam</w:t>
      </w:r>
      <w:r>
        <w:t xml:space="preserve">’s own count. In </w:t>
      </w:r>
      <w:r>
        <w:rPr>
          <w:i/>
        </w:rPr>
        <w:t>Sefer HaMitzvos</w:t>
      </w:r>
      <w:r>
        <w:t xml:space="preserve"> (</w:t>
      </w:r>
      <w:r>
        <w:rPr>
          <w:rFonts w:ascii="David" w:hAnsi="David"/>
        </w:rPr>
        <w:t>ספר המצוות</w:t>
      </w:r>
      <w:r>
        <w:t xml:space="preserve">) and at the head of </w:t>
      </w:r>
      <w:r>
        <w:rPr>
          <w:i/>
        </w:rPr>
        <w:t>Hilchos Temidin U-Musafin</w:t>
      </w:r>
      <w:r>
        <w:t xml:space="preserve"> (</w:t>
      </w:r>
      <w:r>
        <w:rPr>
          <w:rFonts w:ascii="David" w:hAnsi="David"/>
        </w:rPr>
        <w:t>הלכות תמידין ומוספין</w:t>
      </w:r>
      <w:r>
        <w:t>)</w:t>
      </w:r>
      <w:r>
        <w:rPr>
          <w:color w:val="B8860B"/>
          <w:sz w:val="16"/>
          <w:vertAlign w:val="superscript"/>
        </w:rPr>
        <w:t>[18]</w:t>
      </w:r>
      <w:r>
        <w:t xml:space="preserve">, the </w:t>
      </w:r>
      <w:r>
        <w:rPr>
          <w:i/>
        </w:rPr>
        <w:t>Rambam</w:t>
      </w:r>
      <w:r>
        <w:t xml:space="preserve"> counts </w:t>
      </w:r>
      <w:r>
        <w:rPr>
          <w:i/>
        </w:rPr>
        <w:t>korban tamid</w:t>
      </w:r>
      <w:r>
        <w:t xml:space="preserve"> as </w:t>
      </w:r>
      <w:r>
        <w:rPr>
          <w:i/>
        </w:rPr>
        <w:t>one</w:t>
      </w:r>
      <w:r>
        <w:t xml:space="preserve"> </w:t>
      </w:r>
      <w:r>
        <w:rPr>
          <w:i/>
        </w:rPr>
        <w:t>mitzvah</w:t>
      </w:r>
      <w:r>
        <w:t xml:space="preserve">, not two. In </w:t>
      </w:r>
      <w:r>
        <w:rPr>
          <w:i/>
        </w:rPr>
        <w:t>Bayis Rishon</w:t>
      </w:r>
      <w:r>
        <w:t xml:space="preserve"> and </w:t>
      </w:r>
      <w:r>
        <w:rPr>
          <w:i/>
        </w:rPr>
        <w:t>Bayis Sheini</w:t>
      </w:r>
      <w:r>
        <w:t xml:space="preserve">, the one </w:t>
      </w:r>
      <w:r>
        <w:rPr>
          <w:i/>
        </w:rPr>
        <w:t>mitzvah</w:t>
      </w:r>
      <w:r>
        <w:t xml:space="preserve"> was discharged twice daily; in </w:t>
      </w:r>
      <w:r>
        <w:rPr>
          <w:i/>
        </w:rPr>
        <w:t>Bayis Shelishi</w:t>
      </w:r>
      <w:r>
        <w:t xml:space="preserve">, it will be discharged once. The </w:t>
      </w:r>
      <w:r>
        <w:rPr>
          <w:i/>
        </w:rPr>
        <w:t>mitzvah</w:t>
      </w:r>
      <w:r>
        <w:t xml:space="preserve"> is the same; only its frequency of execution shifts.</w:t>
      </w:r>
    </w:p>
    <w:p>
      <w:r>
        <w:rPr>
          <w:b/>
          <w:color w:val="1E3A8A"/>
          <w:sz w:val="26"/>
        </w:rPr>
        <w:t>V. MAHALACH C — THE MAHARAM SCHICK: A TIKKUN FOR ALL OF ZERA AVRAHAM</w:t>
      </w:r>
    </w:p>
    <w:p>
      <w:pPr>
        <w:pBdr>
          <w:bottom w:val="single" w:sz="6" w:space="1" w:color="B8860B"/>
        </w:pBdr>
      </w:pPr>
    </w:p>
    <w:p>
      <w:r>
        <w:t xml:space="preserve">The third </w:t>
      </w:r>
      <w:r>
        <w:rPr>
          <w:i/>
        </w:rPr>
        <w:t>mehalach</w:t>
      </w:r>
      <w:r>
        <w:t xml:space="preserve"> comes from Rabbi Moshe Schick (</w:t>
      </w:r>
      <w:r>
        <w:rPr>
          <w:rFonts w:ascii="David" w:hAnsi="David"/>
        </w:rPr>
        <w:t>רבי משה שיק</w:t>
      </w:r>
      <w:r>
        <w:t xml:space="preserve">, 1809–1879), the </w:t>
      </w:r>
      <w:r>
        <w:rPr>
          <w:i/>
        </w:rPr>
        <w:t>Maharam Schick</w:t>
      </w:r>
      <w:r>
        <w:rPr>
          <w:color w:val="B8860B"/>
          <w:sz w:val="16"/>
          <w:vertAlign w:val="superscript"/>
        </w:rPr>
        <w:t>[19]</w:t>
      </w:r>
      <w:r>
        <w:t xml:space="preserve">, foremost </w:t>
      </w:r>
      <w:r>
        <w:rPr>
          <w:i/>
        </w:rPr>
        <w:t>talmid</w:t>
      </w:r>
      <w:r>
        <w:t xml:space="preserve"> of the </w:t>
      </w:r>
      <w:r>
        <w:rPr>
          <w:i/>
        </w:rPr>
        <w:t>Chasam Sofer</w:t>
      </w:r>
      <w:r>
        <w:t xml:space="preserve"> (</w:t>
      </w:r>
      <w:r>
        <w:rPr>
          <w:rFonts w:ascii="David" w:hAnsi="David"/>
        </w:rPr>
        <w:t>חתם סופר</w:t>
      </w:r>
      <w:r>
        <w:t xml:space="preserve">) and </w:t>
      </w:r>
      <w:r>
        <w:rPr>
          <w:i/>
        </w:rPr>
        <w:t>rosh yeshivah</w:t>
      </w:r>
      <w:r>
        <w:t xml:space="preserve"> (</w:t>
      </w:r>
      <w:r>
        <w:rPr>
          <w:rFonts w:ascii="David" w:hAnsi="David"/>
        </w:rPr>
        <w:t>ראש ישיבה</w:t>
      </w:r>
      <w:r>
        <w:t xml:space="preserve">) in Huszt of a </w:t>
      </w:r>
      <w:r>
        <w:rPr>
          <w:i/>
        </w:rPr>
        <w:t>yeshiva</w:t>
      </w:r>
      <w:r>
        <w:t xml:space="preserve"> of eight hundred </w:t>
      </w:r>
      <w:r>
        <w:rPr>
          <w:i/>
        </w:rPr>
        <w:t>talmidim</w:t>
      </w:r>
      <w:r>
        <w:t xml:space="preserve">. It is a profound and difficult reading, and it takes some patience to absorb; but for anyone who cares about </w:t>
      </w:r>
      <w:r>
        <w:rPr>
          <w:i/>
        </w:rPr>
        <w:t>kevod Shamayim</w:t>
      </w:r>
      <w:r>
        <w:t xml:space="preserve"> (</w:t>
      </w:r>
      <w:r>
        <w:rPr>
          <w:rFonts w:ascii="David" w:hAnsi="David"/>
        </w:rPr>
        <w:t>כבוד שמים</w:t>
      </w:r>
      <w:r>
        <w:t xml:space="preserve">) and the long arc of </w:t>
      </w:r>
      <w:r>
        <w:rPr>
          <w:i/>
        </w:rPr>
        <w:t>tikkun ha-olam</w:t>
      </w:r>
      <w:r>
        <w:t xml:space="preserve"> (</w:t>
      </w:r>
      <w:r>
        <w:rPr>
          <w:rFonts w:ascii="David" w:hAnsi="David"/>
        </w:rPr>
        <w:t>תיקון העולם</w:t>
      </w:r>
      <w:r>
        <w:t>), it repays close attention.</w:t>
      </w:r>
    </w:p>
    <w:p>
      <w:r>
        <w:rPr>
          <w:i/>
          <w:color w:val="B8860B"/>
          <w:sz w:val="24"/>
        </w:rPr>
        <w:t>The Arithmetic of Zera Avraham</w:t>
      </w:r>
    </w:p>
    <w:p>
      <w:r>
        <w:t xml:space="preserve">Trace the lineage of </w:t>
      </w:r>
      <w:r>
        <w:rPr>
          <w:i/>
        </w:rPr>
        <w:t>Avraham Avinu</w:t>
      </w:r>
      <w:r>
        <w:t xml:space="preserve">. He was the </w:t>
      </w:r>
      <w:r>
        <w:rPr>
          <w:i/>
        </w:rPr>
        <w:t>rosh ha-ma’aminim</w:t>
      </w:r>
      <w:r>
        <w:t xml:space="preserve"> (</w:t>
      </w:r>
      <w:r>
        <w:rPr>
          <w:rFonts w:ascii="David" w:hAnsi="David"/>
        </w:rPr>
        <w:t>ראש המאמינים</w:t>
      </w:r>
      <w:r>
        <w:t xml:space="preserve">), the one who — as the </w:t>
      </w:r>
      <w:r>
        <w:rPr>
          <w:i/>
        </w:rPr>
        <w:t>Rambam</w:t>
      </w:r>
      <w:r>
        <w:t xml:space="preserve"> describes in </w:t>
      </w:r>
      <w:r>
        <w:rPr>
          <w:i/>
        </w:rPr>
        <w:t>Hilchos Avodah Zarah</w:t>
      </w:r>
      <w:r>
        <w:t xml:space="preserve"> (</w:t>
      </w:r>
      <w:r>
        <w:rPr>
          <w:rFonts w:ascii="David" w:hAnsi="David"/>
        </w:rPr>
        <w:t>הלכות עבודה זרה</w:t>
      </w:r>
      <w:r>
        <w:t>)</w:t>
      </w:r>
      <w:r>
        <w:rPr>
          <w:color w:val="B8860B"/>
          <w:sz w:val="16"/>
          <w:vertAlign w:val="superscript"/>
        </w:rPr>
        <w:t>[20]</w:t>
      </w:r>
      <w:r>
        <w:t xml:space="preserve"> — traveled town to town and family to family proclaiming the </w:t>
      </w:r>
      <w:r>
        <w:rPr>
          <w:i/>
        </w:rPr>
        <w:t>emes</w:t>
      </w:r>
      <w:r>
        <w:t xml:space="preserve"> (</w:t>
      </w:r>
      <w:r>
        <w:rPr>
          <w:rFonts w:ascii="David" w:hAnsi="David"/>
        </w:rPr>
        <w:t>אמת</w:t>
      </w:r>
      <w:r>
        <w:t>) of the one Creator. He had two sons:</w:t>
      </w:r>
    </w:p>
    <w:p>
      <w:r>
        <w:t xml:space="preserve">Considered by branches, the majority of </w:t>
      </w:r>
      <w:r>
        <w:rPr>
          <w:i/>
        </w:rPr>
        <w:t>Avraham</w:t>
      </w:r>
      <w:r>
        <w:t xml:space="preserve">’s line departed from his mission within two generations: three of the four branches at the level of the grandchildren. If one had approached </w:t>
      </w:r>
      <w:r>
        <w:rPr>
          <w:i/>
        </w:rPr>
        <w:t>Avraham Avinu</w:t>
      </w:r>
      <w:r>
        <w:t xml:space="preserve"> at his </w:t>
      </w:r>
      <w:r>
        <w:rPr>
          <w:i/>
        </w:rPr>
        <w:t>bris</w:t>
      </w:r>
      <w:r>
        <w:t xml:space="preserve"> (</w:t>
      </w:r>
      <w:r>
        <w:rPr>
          <w:rFonts w:ascii="David" w:hAnsi="David"/>
        </w:rPr>
        <w:t>ברית</w:t>
      </w:r>
      <w:r>
        <w:t>) and disclosed to him this outcome, would he have wanted to marry at all?</w:t>
      </w:r>
    </w:p>
    <w:p>
      <w:r>
        <w:rPr>
          <w:i/>
          <w:color w:val="B8860B"/>
          <w:sz w:val="24"/>
        </w:rPr>
        <w:t>The Promise to Avraham</w:t>
      </w:r>
    </w:p>
    <w:p>
      <w:r>
        <w:t xml:space="preserve">The </w:t>
      </w:r>
      <w:r>
        <w:rPr>
          <w:i/>
        </w:rPr>
        <w:t>Maharam Schick</w:t>
      </w:r>
      <w:r>
        <w:t xml:space="preserve">, drawing on the </w:t>
      </w:r>
      <w:r>
        <w:rPr>
          <w:i/>
        </w:rPr>
        <w:t>Zohar HaKadosh</w:t>
      </w:r>
      <w:r>
        <w:t xml:space="preserve">, teaches: </w:t>
      </w:r>
      <w:r>
        <w:rPr>
          <w:i/>
        </w:rPr>
        <w:t>Avraham Avinu</w:t>
      </w:r>
      <w:r>
        <w:t xml:space="preserve"> received from </w:t>
      </w:r>
      <w:r>
        <w:rPr>
          <w:i/>
        </w:rPr>
        <w:t>HaKadosh Baruch Hu</w:t>
      </w:r>
      <w:r>
        <w:t xml:space="preserve"> (</w:t>
      </w:r>
      <w:r>
        <w:rPr>
          <w:rFonts w:ascii="David" w:hAnsi="David"/>
        </w:rPr>
        <w:t>הקדוש ברוך הוא</w:t>
      </w:r>
      <w:r>
        <w:t xml:space="preserve">) a promise that ultimately </w:t>
      </w:r>
      <w:r>
        <w:rPr>
          <w:i/>
        </w:rPr>
        <w:t>all</w:t>
      </w:r>
      <w:r>
        <w:t xml:space="preserve"> of his descendants will be gathered back to the truth of the one God. The </w:t>
      </w:r>
      <w:r>
        <w:rPr>
          <w:i/>
        </w:rPr>
        <w:t>tikkun</w:t>
      </w:r>
      <w:r>
        <w:t xml:space="preserve"> (</w:t>
      </w:r>
      <w:r>
        <w:rPr>
          <w:rFonts w:ascii="David" w:hAnsi="David"/>
        </w:rPr>
        <w:t>תיקון</w:t>
      </w:r>
      <w:r>
        <w:t xml:space="preserve">) is not for the surviving </w:t>
      </w:r>
      <w:r>
        <w:rPr>
          <w:i/>
        </w:rPr>
        <w:t>Yaakov mateh shleimah</w:t>
      </w:r>
      <w:r>
        <w:t xml:space="preserve"> alone. This is what </w:t>
      </w:r>
      <w:r>
        <w:rPr>
          <w:i/>
        </w:rPr>
        <w:t>Yeshayahu</w:t>
      </w:r>
      <w:r>
        <w:t xml:space="preserve"> 2:2–3 envisions when he prophesies </w:t>
      </w:r>
      <w:r>
        <w:rPr>
          <w:i/>
        </w:rPr>
        <w:t>“</w:t>
      </w:r>
      <w:r>
        <w:rPr>
          <w:rFonts w:ascii="David" w:hAnsi="David"/>
          <w:i/>
        </w:rPr>
        <w:t>ונהרו אליו כל הגוים</w:t>
      </w:r>
      <w:r>
        <w:rPr>
          <w:i/>
        </w:rPr>
        <w:t>”</w:t>
      </w:r>
      <w:r>
        <w:t xml:space="preserve"> — that all the nations shall stream to the mountain of </w:t>
      </w:r>
      <w:r>
        <w:rPr>
          <w:i/>
        </w:rPr>
        <w:t>Hashem</w:t>
      </w:r>
      <w:r>
        <w:t xml:space="preserve">; and it is what </w:t>
      </w:r>
      <w:r>
        <w:rPr>
          <w:i/>
        </w:rPr>
        <w:t>Klal Yisrael</w:t>
      </w:r>
      <w:r>
        <w:t xml:space="preserve"> davens for on </w:t>
      </w:r>
      <w:r>
        <w:rPr>
          <w:i/>
        </w:rPr>
        <w:t>Rosh HaShanah</w:t>
      </w:r>
      <w:r>
        <w:t xml:space="preserve"> when we ask that the entire world recognize the sovereignty of the one God.</w:t>
      </w:r>
    </w:p>
    <w:p>
      <w:r>
        <w:rPr>
          <w:i/>
          <w:color w:val="B8860B"/>
          <w:sz w:val="24"/>
        </w:rPr>
        <w:t>The Mechanism — Gilgulim of Eisav and Yishmael</w:t>
      </w:r>
    </w:p>
    <w:p>
      <w:r>
        <w:t xml:space="preserve">The </w:t>
      </w:r>
      <w:r>
        <w:rPr>
          <w:i/>
        </w:rPr>
        <w:t>Arizal</w:t>
      </w:r>
      <w:r>
        <w:t xml:space="preserve"> (</w:t>
      </w:r>
      <w:r>
        <w:rPr>
          <w:rFonts w:ascii="David" w:hAnsi="David"/>
        </w:rPr>
        <w:t>האר"י ז"ל</w:t>
      </w:r>
      <w:r>
        <w:t xml:space="preserve">), through his foremost </w:t>
      </w:r>
      <w:r>
        <w:rPr>
          <w:i/>
        </w:rPr>
        <w:t>talmid</w:t>
      </w:r>
      <w:r>
        <w:t xml:space="preserve"> Rabbi Chaim Vital (</w:t>
      </w:r>
      <w:r>
        <w:rPr>
          <w:rFonts w:ascii="David" w:hAnsi="David"/>
        </w:rPr>
        <w:t>רבי חיים ויטאל</w:t>
      </w:r>
      <w:r>
        <w:t xml:space="preserve">, 1542–1620), teaches in </w:t>
      </w:r>
      <w:r>
        <w:rPr>
          <w:i/>
        </w:rPr>
        <w:t>Etz HaDa’as Tov</w:t>
      </w:r>
      <w:r>
        <w:t xml:space="preserve"> (</w:t>
      </w:r>
      <w:r>
        <w:rPr>
          <w:rFonts w:ascii="David" w:hAnsi="David"/>
        </w:rPr>
        <w:t>עץ הדעת טוב</w:t>
      </w:r>
      <w:r>
        <w:t xml:space="preserve">) at the close of </w:t>
      </w:r>
      <w:r>
        <w:rPr>
          <w:i/>
        </w:rPr>
        <w:t>Parshas Re’eh</w:t>
      </w:r>
      <w:r>
        <w:t xml:space="preserve"> (</w:t>
      </w:r>
      <w:r>
        <w:rPr>
          <w:rFonts w:ascii="David" w:hAnsi="David"/>
        </w:rPr>
        <w:t>פרשת ראה</w:t>
      </w:r>
      <w:r>
        <w:t>)</w:t>
      </w:r>
      <w:r>
        <w:rPr>
          <w:color w:val="B8860B"/>
          <w:sz w:val="16"/>
          <w:vertAlign w:val="superscript"/>
        </w:rPr>
        <w:t>[21]</w:t>
      </w:r>
      <w:r>
        <w:t xml:space="preserve"> a kabbalistic </w:t>
      </w:r>
      <w:r>
        <w:rPr>
          <w:i/>
        </w:rPr>
        <w:t>mesorah</w:t>
      </w:r>
      <w:r>
        <w:t xml:space="preserve"> (</w:t>
      </w:r>
      <w:r>
        <w:rPr>
          <w:rFonts w:ascii="David" w:hAnsi="David"/>
        </w:rPr>
        <w:t>מסורה</w:t>
      </w:r>
      <w:r>
        <w:t>):</w:t>
      </w:r>
    </w:p>
    <w:p>
      <w:r>
        <w:t>Rabbi Chaim Vital further preserves the tradition that Islam’s founder had a Jewish teacher, and records the dream of a great tree growing from his hand and giving shade to all the world — a dream interpreted for him by a Jewish sage as the summons to prophethood. Whatever historical form the tradition takes, its theological point is this: influences of Torah passed, through unexpected conduits, into the two great non-Jewish monotheisms.</w:t>
      </w:r>
    </w:p>
    <w:p>
      <w:r>
        <w:rPr>
          <w:i/>
          <w:color w:val="B8860B"/>
          <w:sz w:val="24"/>
        </w:rPr>
        <w:t>Shituf and the Radbaz</w:t>
      </w:r>
    </w:p>
    <w:p>
      <w:r>
        <w:t xml:space="preserve">The </w:t>
      </w:r>
      <w:r>
        <w:rPr>
          <w:i/>
        </w:rPr>
        <w:t>Radbaz</w:t>
      </w:r>
      <w:r>
        <w:t xml:space="preserve"> (</w:t>
      </w:r>
      <w:r>
        <w:rPr>
          <w:rFonts w:ascii="David" w:hAnsi="David"/>
        </w:rPr>
        <w:t>רדב"ז</w:t>
      </w:r>
      <w:r>
        <w:t>), Rabbi David ibn Zimra (</w:t>
      </w:r>
      <w:r>
        <w:rPr>
          <w:rFonts w:ascii="David" w:hAnsi="David"/>
        </w:rPr>
        <w:t>רבי דוד בן זמרא</w:t>
      </w:r>
      <w:r>
        <w:t>, 1479–1573, Egypt and Tzfas)</w:t>
      </w:r>
      <w:r>
        <w:rPr>
          <w:color w:val="B8860B"/>
          <w:sz w:val="16"/>
          <w:vertAlign w:val="superscript"/>
        </w:rPr>
        <w:t>[22]</w:t>
      </w:r>
      <w:r>
        <w:t xml:space="preserve">, develops the halakhic-theological category of </w:t>
      </w:r>
      <w:r>
        <w:rPr>
          <w:i/>
        </w:rPr>
        <w:t>shituf</w:t>
      </w:r>
      <w:r>
        <w:t xml:space="preserve"> (</w:t>
      </w:r>
      <w:r>
        <w:rPr>
          <w:rFonts w:ascii="David" w:hAnsi="David"/>
        </w:rPr>
        <w:t>שיתוף</w:t>
      </w:r>
      <w:r>
        <w:t xml:space="preserve">): belief in the one God paired with another power. In the </w:t>
      </w:r>
      <w:r>
        <w:rPr>
          <w:i/>
        </w:rPr>
        <w:t>Radbaz</w:t>
      </w:r>
      <w:r>
        <w:t>’s formulation, Christianity for non-</w:t>
      </w:r>
      <w:r>
        <w:rPr>
          <w:i/>
        </w:rPr>
        <w:t>Yehudim</w:t>
      </w:r>
      <w:r>
        <w:t xml:space="preserve"> (</w:t>
      </w:r>
      <w:r>
        <w:rPr>
          <w:rFonts w:ascii="David" w:hAnsi="David"/>
        </w:rPr>
        <w:t>יהודים</w:t>
      </w:r>
      <w:r>
        <w:t xml:space="preserve">) is </w:t>
      </w:r>
      <w:r>
        <w:rPr>
          <w:i/>
        </w:rPr>
        <w:t>shituf</w:t>
      </w:r>
      <w:r>
        <w:t xml:space="preserve"> — not the full </w:t>
      </w:r>
      <w:r>
        <w:rPr>
          <w:i/>
        </w:rPr>
        <w:t>issur</w:t>
      </w:r>
      <w:r>
        <w:t xml:space="preserve"> (</w:t>
      </w:r>
      <w:r>
        <w:rPr>
          <w:rFonts w:ascii="David" w:hAnsi="David"/>
        </w:rPr>
        <w:t>איסור</w:t>
      </w:r>
      <w:r>
        <w:t xml:space="preserve">) of </w:t>
      </w:r>
      <w:r>
        <w:rPr>
          <w:i/>
        </w:rPr>
        <w:t>avodah zarah</w:t>
      </w:r>
      <w:r>
        <w:t xml:space="preserve"> (</w:t>
      </w:r>
      <w:r>
        <w:rPr>
          <w:rFonts w:ascii="David" w:hAnsi="David"/>
        </w:rPr>
        <w:t>עבודה זרה</w:t>
      </w:r>
      <w:r>
        <w:t xml:space="preserve">). Christians are </w:t>
      </w:r>
      <w:r>
        <w:rPr>
          <w:i/>
        </w:rPr>
        <w:t>chatzi kofrim</w:t>
      </w:r>
      <w:r>
        <w:t xml:space="preserve"> (</w:t>
      </w:r>
      <w:r>
        <w:rPr>
          <w:rFonts w:ascii="David" w:hAnsi="David"/>
        </w:rPr>
        <w:t>חצי כופרים</w:t>
      </w:r>
      <w:r>
        <w:t xml:space="preserve">), but they are </w:t>
      </w:r>
      <w:r>
        <w:rPr>
          <w:i/>
        </w:rPr>
        <w:t>half</w:t>
      </w:r>
      <w:r>
        <w:t xml:space="preserve">: they retain </w:t>
      </w:r>
      <w:r>
        <w:rPr>
          <w:i/>
        </w:rPr>
        <w:t>emes</w:t>
      </w:r>
      <w:r>
        <w:t xml:space="preserve">, they retain monotheism, and they revere the Hebrew </w:t>
      </w:r>
      <w:r>
        <w:rPr>
          <w:i/>
        </w:rPr>
        <w:t>Tanach</w:t>
      </w:r>
      <w:r>
        <w:t xml:space="preserve"> (</w:t>
      </w:r>
      <w:r>
        <w:rPr>
          <w:rFonts w:ascii="David" w:hAnsi="David"/>
        </w:rPr>
        <w:t>תנ"ך</w:t>
      </w:r>
      <w:r>
        <w:t xml:space="preserve">). Islam is more clearly monotheistic still, without any Trinitarian element. Neither, in this framework, stands on the same footing as the </w:t>
      </w:r>
      <w:r>
        <w:rPr>
          <w:i/>
        </w:rPr>
        <w:t>ovdei avodah zarah</w:t>
      </w:r>
      <w:r>
        <w:t xml:space="preserve"> of </w:t>
      </w:r>
      <w:r>
        <w:rPr>
          <w:i/>
        </w:rPr>
        <w:t>Chazal</w:t>
      </w:r>
      <w:r>
        <w:t>’s era, who believed in nothing but their idols.</w:t>
      </w:r>
    </w:p>
    <w:p>
      <w:r>
        <w:t xml:space="preserve">Whether the </w:t>
      </w:r>
      <w:r>
        <w:rPr>
          <w:i/>
        </w:rPr>
        <w:t>Radbaz</w:t>
      </w:r>
      <w:r>
        <w:t xml:space="preserve">’s classification represents halakhic consensus is not simple; the </w:t>
      </w:r>
      <w:r>
        <w:rPr>
          <w:i/>
        </w:rPr>
        <w:t>Rema</w:t>
      </w:r>
      <w:r>
        <w:t xml:space="preserve"> (</w:t>
      </w:r>
      <w:r>
        <w:rPr>
          <w:rFonts w:ascii="David" w:hAnsi="David"/>
        </w:rPr>
        <w:t>רמ"א</w:t>
      </w:r>
      <w:r>
        <w:t xml:space="preserve">), the </w:t>
      </w:r>
      <w:r>
        <w:rPr>
          <w:i/>
        </w:rPr>
        <w:t>Noda Bi-Yehudah</w:t>
      </w:r>
      <w:r>
        <w:t xml:space="preserve"> (</w:t>
      </w:r>
      <w:r>
        <w:rPr>
          <w:rFonts w:ascii="David" w:hAnsi="David"/>
        </w:rPr>
        <w:t>נודע ביהודה</w:t>
      </w:r>
      <w:r>
        <w:t xml:space="preserve">), the </w:t>
      </w:r>
      <w:r>
        <w:rPr>
          <w:i/>
        </w:rPr>
        <w:t>Chasam Sofer</w:t>
      </w:r>
      <w:r>
        <w:t xml:space="preserve">, and others weigh in with varying positions, and there is genuine </w:t>
      </w:r>
      <w:r>
        <w:rPr>
          <w:i/>
        </w:rPr>
        <w:t>machlokes</w:t>
      </w:r>
      <w:r>
        <w:t xml:space="preserve"> (</w:t>
      </w:r>
      <w:r>
        <w:rPr>
          <w:rFonts w:ascii="David" w:hAnsi="David"/>
        </w:rPr>
        <w:t>מחלוקת</w:t>
      </w:r>
      <w:r>
        <w:t>) on the scope and application of the ruling.</w:t>
      </w:r>
      <w:r>
        <w:rPr>
          <w:color w:val="B8860B"/>
          <w:sz w:val="16"/>
          <w:vertAlign w:val="superscript"/>
        </w:rPr>
        <w:t>[23]</w:t>
      </w:r>
      <w:r>
        <w:t xml:space="preserve"> What matters for the present </w:t>
      </w:r>
      <w:r>
        <w:rPr>
          <w:i/>
        </w:rPr>
        <w:t>mahalach</w:t>
      </w:r>
      <w:r>
        <w:t xml:space="preserve"> is that within a serious halakhic tradition, the descendants of </w:t>
      </w:r>
      <w:r>
        <w:rPr>
          <w:i/>
        </w:rPr>
        <w:t>Yishmael</w:t>
      </w:r>
      <w:r>
        <w:t xml:space="preserve"> and (in the </w:t>
      </w:r>
      <w:r>
        <w:rPr>
          <w:i/>
        </w:rPr>
        <w:t>Radbaz</w:t>
      </w:r>
      <w:r>
        <w:t xml:space="preserve">’s reading) of </w:t>
      </w:r>
      <w:r>
        <w:rPr>
          <w:i/>
        </w:rPr>
        <w:t>Eisav</w:t>
      </w:r>
      <w:r>
        <w:t xml:space="preserve"> are seen as bearing something of the </w:t>
      </w:r>
      <w:r>
        <w:rPr>
          <w:i/>
        </w:rPr>
        <w:t>emunah</w:t>
      </w:r>
      <w:r>
        <w:t xml:space="preserve"> (</w:t>
      </w:r>
      <w:r>
        <w:rPr>
          <w:rFonts w:ascii="David" w:hAnsi="David"/>
        </w:rPr>
        <w:t>אמונה</w:t>
      </w:r>
      <w:r>
        <w:t xml:space="preserve">) of </w:t>
      </w:r>
      <w:r>
        <w:rPr>
          <w:i/>
        </w:rPr>
        <w:t>Avraham</w:t>
      </w:r>
      <w:r>
        <w:t>, not as fully outside it.</w:t>
      </w:r>
    </w:p>
    <w:p>
      <w:r>
        <w:rPr>
          <w:i/>
          <w:color w:val="B8860B"/>
          <w:sz w:val="24"/>
        </w:rPr>
        <w:t>The Rambam in Hilchos Melachim — The Censored Passage</w:t>
      </w:r>
    </w:p>
    <w:p>
      <w:r>
        <w:t xml:space="preserve">The </w:t>
      </w:r>
      <w:r>
        <w:rPr>
          <w:i/>
        </w:rPr>
        <w:t>Rambam</w:t>
      </w:r>
      <w:r>
        <w:t xml:space="preserve">, at the very end of </w:t>
      </w:r>
      <w:r>
        <w:rPr>
          <w:i/>
        </w:rPr>
        <w:t>Hilchos Melachim</w:t>
      </w:r>
      <w:r>
        <w:t xml:space="preserve"> (</w:t>
      </w:r>
      <w:r>
        <w:rPr>
          <w:rFonts w:ascii="David" w:hAnsi="David"/>
        </w:rPr>
        <w:t>רמב"ם הלכות מלכים</w:t>
      </w:r>
      <w:r>
        <w:rPr>
          <w:rFonts w:ascii="David" w:hAnsi="David"/>
        </w:rPr>
        <w:t xml:space="preserve"> י"א ה"ד), wrote a passage that was excised by Christian censors from printed editions for centuries. Only with the Frankel edition, working from Yemenite </w:t>
      </w:r>
      <w:r>
        <w:rPr>
          <w:i/>
        </w:rPr>
        <w:t>kisvei yad</w:t>
      </w:r>
      <w:r>
        <w:t xml:space="preserve"> (</w:t>
      </w:r>
      <w:r>
        <w:rPr>
          <w:rFonts w:ascii="David" w:hAnsi="David"/>
        </w:rPr>
        <w:t>כתבי יד</w:t>
      </w:r>
      <w:r>
        <w:t>), was it restored to standard printings.</w:t>
      </w:r>
      <w:r>
        <w:rPr>
          <w:color w:val="B8860B"/>
          <w:sz w:val="16"/>
          <w:vertAlign w:val="superscript"/>
        </w:rPr>
        <w:t>[25]</w:t>
      </w:r>
    </w:p>
    <w:p>
      <w:r>
        <w:t xml:space="preserve">The </w:t>
      </w:r>
      <w:r>
        <w:rPr>
          <w:i/>
        </w:rPr>
        <w:t>Rambam</w:t>
      </w:r>
      <w:r>
        <w:t xml:space="preserve">’s teaching, in substance, runs as follows. The founder of Christianity thought he was </w:t>
      </w:r>
      <w:r>
        <w:rPr>
          <w:i/>
        </w:rPr>
        <w:t>Mashiach</w:t>
      </w:r>
      <w:r>
        <w:t xml:space="preserve">; a Jewish court executed him. From him, and from the founder of Islam who arose after him, emerged an </w:t>
      </w:r>
      <w:r>
        <w:rPr>
          <w:i/>
        </w:rPr>
        <w:t>irbuvya gedolah</w:t>
      </w:r>
      <w:r>
        <w:t xml:space="preserve"> (</w:t>
      </w:r>
      <w:r>
        <w:rPr>
          <w:rFonts w:ascii="David" w:hAnsi="David"/>
        </w:rPr>
        <w:t>ערבוביה גדולה</w:t>
      </w:r>
      <w:r>
        <w:t xml:space="preserve">) — a great confusion. The Crusades, the persecutions, the pogroms across centuries flowed in their wake, and </w:t>
      </w:r>
      <w:r>
        <w:rPr>
          <w:i/>
        </w:rPr>
        <w:t>Klal Yisrael</w:t>
      </w:r>
      <w:r>
        <w:t xml:space="preserve"> paid the price. </w:t>
      </w:r>
      <w:r>
        <w:rPr>
          <w:i/>
        </w:rPr>
        <w:t>And yet</w:t>
      </w:r>
      <w:r>
        <w:t xml:space="preserve"> — the </w:t>
      </w:r>
      <w:r>
        <w:rPr>
          <w:i/>
        </w:rPr>
        <w:t>Rambam</w:t>
      </w:r>
      <w:r>
        <w:t xml:space="preserve"> writes — </w:t>
      </w:r>
      <w:r>
        <w:rPr>
          <w:i/>
        </w:rPr>
        <w:t>“</w:t>
      </w:r>
      <w:r>
        <w:rPr>
          <w:rFonts w:ascii="David" w:hAnsi="David"/>
          <w:i/>
        </w:rPr>
        <w:t>מחשבות בורא עולם אין כח באדם להשיגם</w:t>
      </w:r>
      <w:r>
        <w:rPr>
          <w:i/>
        </w:rPr>
        <w:t>”</w:t>
      </w:r>
      <w:r>
        <w:t xml:space="preserve">, the thoughts of the Creator of the world are beyond human comprehension. The unfolding of history was designed to bring the world to a consciousness of </w:t>
      </w:r>
      <w:r>
        <w:rPr>
          <w:i/>
        </w:rPr>
        <w:t>Mashiach</w:t>
      </w:r>
      <w:r>
        <w:t xml:space="preserve">. </w:t>
      </w:r>
      <w:r>
        <w:rPr>
          <w:i/>
        </w:rPr>
        <w:t>Klal Yisrael</w:t>
      </w:r>
      <w:r>
        <w:t xml:space="preserve"> is a messianic people, in a world that had never heard the concept. Across centuries, in every country, the two great non-Jewish religions saturated the world’s consciousness with the categories of a coming redeemer, of a single God, of a great final reckoning. When the </w:t>
      </w:r>
      <w:r>
        <w:rPr>
          <w:i/>
        </w:rPr>
        <w:t>real</w:t>
      </w:r>
      <w:r>
        <w:t xml:space="preserve"> </w:t>
      </w:r>
      <w:r>
        <w:rPr>
          <w:i/>
        </w:rPr>
        <w:t>Mashiach</w:t>
      </w:r>
      <w:r>
        <w:t xml:space="preserve"> arrives, the world is prepared to receive him.</w:t>
      </w:r>
    </w:p>
    <w:p>
      <w:r>
        <w:t xml:space="preserve">The </w:t>
      </w:r>
      <w:r>
        <w:rPr>
          <w:i/>
        </w:rPr>
        <w:t>Yaavetz</w:t>
      </w:r>
      <w:r>
        <w:t xml:space="preserve"> (</w:t>
      </w:r>
      <w:r>
        <w:rPr>
          <w:rFonts w:ascii="David" w:hAnsi="David"/>
        </w:rPr>
        <w:t>יעב"ץ</w:t>
      </w:r>
      <w:r>
        <w:t>), Rabbi Yaakov Emden (</w:t>
      </w:r>
      <w:r>
        <w:rPr>
          <w:rFonts w:ascii="David" w:hAnsi="David"/>
        </w:rPr>
        <w:t>רבי יעקב עמדן</w:t>
      </w:r>
      <w:r>
        <w:t>, 1697–1776, Altona)</w:t>
      </w:r>
      <w:r>
        <w:rPr>
          <w:color w:val="B8860B"/>
          <w:sz w:val="16"/>
          <w:vertAlign w:val="superscript"/>
        </w:rPr>
        <w:t>[26]</w:t>
      </w:r>
      <w:r>
        <w:t xml:space="preserve">, returns to this </w:t>
      </w:r>
      <w:r>
        <w:rPr>
          <w:i/>
        </w:rPr>
        <w:t>Rambam</w:t>
      </w:r>
      <w:r>
        <w:t xml:space="preserve"> repeatedly in his writings on </w:t>
      </w:r>
      <w:r>
        <w:rPr>
          <w:i/>
        </w:rPr>
        <w:t>emunah</w:t>
      </w:r>
      <w:r>
        <w:t xml:space="preserve">, emphasizing exactly this point: humans are small-minded and see only their own suffering; the </w:t>
      </w:r>
      <w:r>
        <w:rPr>
          <w:i/>
        </w:rPr>
        <w:t>Rambam</w:t>
      </w:r>
      <w:r>
        <w:t xml:space="preserve"> asks us to lift our eyes to the arc of </w:t>
      </w:r>
      <w:r>
        <w:rPr>
          <w:i/>
        </w:rPr>
        <w:t>tikkun ha-olam</w:t>
      </w:r>
      <w:r>
        <w:t>, an arc whose length is measured in millennia and whose meaning is not immediately legible.</w:t>
      </w:r>
    </w:p>
    <w:p>
      <w:r>
        <w:rPr>
          <w:i/>
          <w:color w:val="B8860B"/>
          <w:sz w:val="24"/>
        </w:rPr>
        <w:t>The Chiddush on “Magen Avraham”</w:t>
      </w:r>
    </w:p>
    <w:p>
      <w:r>
        <w:t xml:space="preserve">This is what the </w:t>
      </w:r>
      <w:r>
        <w:rPr>
          <w:i/>
        </w:rPr>
        <w:t>Maharam Schick</w:t>
      </w:r>
      <w:r>
        <w:t xml:space="preserve"> brings into the </w:t>
      </w:r>
      <w:r>
        <w:rPr>
          <w:i/>
        </w:rPr>
        <w:t>Shemoneh Esrei</w:t>
      </w:r>
      <w:r>
        <w:t xml:space="preserve">. When we recite </w:t>
      </w:r>
      <w:r>
        <w:rPr>
          <w:i/>
        </w:rPr>
        <w:t>“</w:t>
      </w:r>
      <w:r>
        <w:rPr>
          <w:rFonts w:ascii="David" w:hAnsi="David"/>
          <w:i/>
        </w:rPr>
        <w:t>אלקי אברהם, אלקי יצחק, ואלקי יעקב</w:t>
      </w:r>
      <w:r>
        <w:rPr>
          <w:i/>
        </w:rPr>
        <w:t>,”</w:t>
      </w:r>
      <w:r>
        <w:t xml:space="preserve"> we are naming the three </w:t>
      </w:r>
      <w:r>
        <w:rPr>
          <w:i/>
        </w:rPr>
        <w:t>Avos</w:t>
      </w:r>
      <w:r>
        <w:t xml:space="preserve"> in their specific paternity of </w:t>
      </w:r>
      <w:r>
        <w:rPr>
          <w:i/>
        </w:rPr>
        <w:t>Yaakov mateh shleimah</w:t>
      </w:r>
      <w:r>
        <w:t xml:space="preserve">. When we then close with </w:t>
      </w:r>
      <w:r>
        <w:rPr>
          <w:i/>
        </w:rPr>
        <w:t>“</w:t>
      </w:r>
      <w:r>
        <w:rPr>
          <w:rFonts w:ascii="David" w:hAnsi="David"/>
          <w:i/>
        </w:rPr>
        <w:t>מגן אברהם</w:t>
      </w:r>
      <w:r>
        <w:rPr>
          <w:i/>
        </w:rPr>
        <w:t>”</w:t>
      </w:r>
      <w:r>
        <w:t xml:space="preserve"> alone, one might naturally suppose the singling out of </w:t>
      </w:r>
      <w:r>
        <w:rPr>
          <w:i/>
        </w:rPr>
        <w:t>Avraham</w:t>
      </w:r>
      <w:r>
        <w:t xml:space="preserve"> is a </w:t>
      </w:r>
      <w:r>
        <w:rPr>
          <w:i/>
        </w:rPr>
        <w:t>contraction</w:t>
      </w:r>
      <w:r>
        <w:t xml:space="preserve"> — that only </w:t>
      </w:r>
      <w:r>
        <w:rPr>
          <w:i/>
        </w:rPr>
        <w:t>Yaakov</w:t>
      </w:r>
      <w:r>
        <w:t xml:space="preserve">’s line made it through, and the branches of </w:t>
      </w:r>
      <w:r>
        <w:rPr>
          <w:i/>
        </w:rPr>
        <w:t>Yishmael</w:t>
      </w:r>
      <w:r>
        <w:t xml:space="preserve"> and </w:t>
      </w:r>
      <w:r>
        <w:rPr>
          <w:i/>
        </w:rPr>
        <w:t>Eisav</w:t>
      </w:r>
      <w:r>
        <w:t xml:space="preserve"> are written off.</w:t>
      </w:r>
    </w:p>
    <w:p>
      <w:r>
        <w:rPr>
          <w:b/>
        </w:rPr>
        <w:t>No.</w:t>
      </w:r>
      <w:r>
        <w:t xml:space="preserve"> The </w:t>
      </w:r>
      <w:r>
        <w:rPr>
          <w:i/>
        </w:rPr>
        <w:t>Maharam Schick</w:t>
      </w:r>
      <w:r>
        <w:t xml:space="preserve"> teaches the opposite. The </w:t>
      </w:r>
      <w:r>
        <w:rPr>
          <w:i/>
        </w:rPr>
        <w:t>chasimah</w:t>
      </w:r>
      <w:r>
        <w:t xml:space="preserve"> on </w:t>
      </w:r>
      <w:r>
        <w:rPr>
          <w:i/>
        </w:rPr>
        <w:t>Avraham</w:t>
      </w:r>
      <w:r>
        <w:t xml:space="preserve"> alone is precisely the </w:t>
      </w:r>
      <w:r>
        <w:rPr>
          <w:i/>
        </w:rPr>
        <w:t>chasimah</w:t>
      </w:r>
      <w:r>
        <w:t xml:space="preserve"> that reaches beyond the specific paternity of the three </w:t>
      </w:r>
      <w:r>
        <w:rPr>
          <w:i/>
        </w:rPr>
        <w:t>Avos</w:t>
      </w:r>
      <w:r>
        <w:t xml:space="preserve"> to the wider paternity described in </w:t>
      </w:r>
      <w:r>
        <w:rPr>
          <w:i/>
        </w:rPr>
        <w:t>Bereshis</w:t>
      </w:r>
      <w:r>
        <w:t xml:space="preserve"> 17:5</w:t>
      </w:r>
      <w:r>
        <w:rPr>
          <w:color w:val="B8860B"/>
          <w:sz w:val="16"/>
          <w:vertAlign w:val="superscript"/>
        </w:rPr>
        <w:t>[27]</w:t>
      </w:r>
      <w:r>
        <w:t xml:space="preserve">: </w:t>
      </w:r>
      <w:r>
        <w:rPr>
          <w:i/>
        </w:rPr>
        <w:t>“</w:t>
      </w:r>
      <w:r>
        <w:rPr>
          <w:rFonts w:ascii="David" w:hAnsi="David"/>
          <w:i/>
        </w:rPr>
        <w:t>כי אב המון גוים נתתיך</w:t>
      </w:r>
      <w:r>
        <w:rPr>
          <w:i/>
        </w:rPr>
        <w:t>”</w:t>
      </w:r>
      <w:r>
        <w:t xml:space="preserve"> — </w:t>
      </w:r>
      <w:r>
        <w:rPr>
          <w:i/>
        </w:rPr>
        <w:t>I have made you the father of a multitude of nations.</w:t>
      </w:r>
      <w:r>
        <w:t xml:space="preserve"> </w:t>
      </w:r>
      <w:r>
        <w:rPr>
          <w:i/>
        </w:rPr>
        <w:t>Avraham</w:t>
      </w:r>
      <w:r>
        <w:t xml:space="preserve"> alone among the </w:t>
      </w:r>
      <w:r>
        <w:rPr>
          <w:i/>
        </w:rPr>
        <w:t>Avos</w:t>
      </w:r>
      <w:r>
        <w:t xml:space="preserve"> carries this title. </w:t>
      </w:r>
      <w:r>
        <w:rPr>
          <w:i/>
        </w:rPr>
        <w:t>Yitzchak</w:t>
      </w:r>
      <w:r>
        <w:t xml:space="preserve"> and </w:t>
      </w:r>
      <w:r>
        <w:rPr>
          <w:i/>
        </w:rPr>
        <w:t>Yaakov</w:t>
      </w:r>
      <w:r>
        <w:t xml:space="preserve"> are the </w:t>
      </w:r>
      <w:r>
        <w:rPr>
          <w:i/>
        </w:rPr>
        <w:t>Avos</w:t>
      </w:r>
      <w:r>
        <w:t xml:space="preserve"> of </w:t>
      </w:r>
      <w:r>
        <w:rPr>
          <w:i/>
        </w:rPr>
        <w:t>Klal Yisrael</w:t>
      </w:r>
      <w:r>
        <w:t xml:space="preserve">; </w:t>
      </w:r>
      <w:r>
        <w:rPr>
          <w:i/>
        </w:rPr>
        <w:t>Avraham</w:t>
      </w:r>
      <w:r>
        <w:t xml:space="preserve"> is both the </w:t>
      </w:r>
      <w:r>
        <w:rPr>
          <w:i/>
        </w:rPr>
        <w:t>Av</w:t>
      </w:r>
      <w:r>
        <w:t xml:space="preserve"> of </w:t>
      </w:r>
      <w:r>
        <w:rPr>
          <w:i/>
        </w:rPr>
        <w:t>Klal Yisrael</w:t>
      </w:r>
      <w:r>
        <w:t xml:space="preserve"> </w:t>
      </w:r>
      <w:r>
        <w:rPr>
          <w:i/>
        </w:rPr>
        <w:t>and</w:t>
      </w:r>
      <w:r>
        <w:t xml:space="preserve"> the </w:t>
      </w:r>
      <w:r>
        <w:rPr>
          <w:i/>
        </w:rPr>
        <w:t>av hamon goyim</w:t>
      </w:r>
      <w:r>
        <w:t>.</w:t>
      </w:r>
    </w:p>
    <w:p>
      <w:r>
        <w:t xml:space="preserve">This is the linguistic pivot that the </w:t>
      </w:r>
      <w:r>
        <w:rPr>
          <w:i/>
        </w:rPr>
        <w:t>Maharam Schick</w:t>
      </w:r>
      <w:r>
        <w:t xml:space="preserve">’s reading requires, and it has textual footing: the </w:t>
      </w:r>
      <w:r>
        <w:rPr>
          <w:i/>
        </w:rPr>
        <w:t>Torah</w:t>
      </w:r>
      <w:r>
        <w:t xml:space="preserve"> itself uses two names for the same person — </w:t>
      </w:r>
      <w:r>
        <w:rPr>
          <w:i/>
        </w:rPr>
        <w:t>“</w:t>
      </w:r>
      <w:r>
        <w:rPr>
          <w:rFonts w:ascii="David" w:hAnsi="David"/>
          <w:i/>
        </w:rPr>
        <w:t>אברם</w:t>
      </w:r>
      <w:r>
        <w:rPr>
          <w:i/>
        </w:rPr>
        <w:t>”</w:t>
      </w:r>
      <w:r>
        <w:t xml:space="preserve"> narrowed to a single lineage, </w:t>
      </w:r>
      <w:r>
        <w:rPr>
          <w:i/>
        </w:rPr>
        <w:t>“</w:t>
      </w:r>
      <w:r>
        <w:rPr>
          <w:rFonts w:ascii="David" w:hAnsi="David"/>
          <w:i/>
        </w:rPr>
        <w:t>אברהם</w:t>
      </w:r>
      <w:r>
        <w:rPr>
          <w:i/>
        </w:rPr>
        <w:t>”</w:t>
      </w:r>
      <w:r>
        <w:t xml:space="preserve"> expanded to </w:t>
      </w:r>
      <w:r>
        <w:rPr>
          <w:i/>
        </w:rPr>
        <w:t>av hamon</w:t>
      </w:r>
      <w:r>
        <w:t xml:space="preserve">. In the </w:t>
      </w:r>
      <w:r>
        <w:rPr>
          <w:i/>
        </w:rPr>
        <w:t>chasimah</w:t>
      </w:r>
      <w:r>
        <w:t xml:space="preserve">, the wider name is what is invoked. </w:t>
      </w:r>
      <w:r>
        <w:rPr>
          <w:i/>
        </w:rPr>
        <w:t>“</w:t>
      </w:r>
      <w:r>
        <w:rPr>
          <w:rFonts w:ascii="David" w:hAnsi="David"/>
          <w:i/>
        </w:rPr>
        <w:t>מגן אברהם</w:t>
      </w:r>
      <w:r>
        <w:rPr>
          <w:i/>
        </w:rPr>
        <w:t>”</w:t>
      </w:r>
      <w:r>
        <w:t xml:space="preserve"> is the sealing on the promise that </w:t>
      </w:r>
      <w:r>
        <w:rPr>
          <w:i/>
        </w:rPr>
        <w:t>HaKadosh Baruch Hu</w:t>
      </w:r>
      <w:r>
        <w:t xml:space="preserve"> shielded </w:t>
      </w:r>
      <w:r>
        <w:rPr>
          <w:i/>
        </w:rPr>
        <w:t>Avraham</w:t>
      </w:r>
      <w:r>
        <w:t xml:space="preserve"> not for a partial </w:t>
      </w:r>
      <w:r>
        <w:rPr>
          <w:i/>
        </w:rPr>
        <w:t>zera</w:t>
      </w:r>
      <w:r>
        <w:t xml:space="preserve"> but for the whole </w:t>
      </w:r>
      <w:r>
        <w:rPr>
          <w:i/>
        </w:rPr>
        <w:t>zera</w:t>
      </w:r>
      <w:r>
        <w:t xml:space="preserve"> — every branch, in the fullness of time, gathered back.</w:t>
      </w:r>
    </w:p>
    <w:p>
      <w:r>
        <w:rPr>
          <w:b/>
          <w:color w:val="1E3A8A"/>
          <w:sz w:val="26"/>
        </w:rPr>
        <w:t>VI. SYNTHESIS — THREE FACES OF “U-VECHA”</w:t>
      </w:r>
    </w:p>
    <w:p>
      <w:pPr>
        <w:pBdr>
          <w:bottom w:val="single" w:sz="6" w:space="1" w:color="B8860B"/>
        </w:pBdr>
      </w:pPr>
    </w:p>
    <w:p>
      <w:r>
        <w:t xml:space="preserve">The three </w:t>
      </w:r>
      <w:r>
        <w:rPr>
          <w:i/>
        </w:rPr>
        <w:t>mehalchim</w:t>
      </w:r>
      <w:r>
        <w:t xml:space="preserve"> can be laid out and left as three. But there is a synthetic reading available that is worth stating explicitly, because it lifts the reading of </w:t>
      </w:r>
      <w:r>
        <w:rPr>
          <w:i/>
        </w:rPr>
        <w:t>“</w:t>
      </w:r>
      <w:r>
        <w:rPr>
          <w:rFonts w:ascii="David" w:hAnsi="David"/>
          <w:i/>
        </w:rPr>
        <w:t>ובך חותמין</w:t>
      </w:r>
      <w:r>
        <w:rPr>
          <w:i/>
        </w:rPr>
        <w:t>”</w:t>
      </w:r>
      <w:r>
        <w:t xml:space="preserve"> from an accumulation of </w:t>
      </w:r>
      <w:r>
        <w:rPr>
          <w:i/>
        </w:rPr>
        <w:t>divrei Torah</w:t>
      </w:r>
      <w:r>
        <w:t xml:space="preserve"> to a single vision.</w:t>
      </w:r>
    </w:p>
    <w:p>
      <w:r>
        <w:t xml:space="preserve">Read the </w:t>
      </w:r>
      <w:r>
        <w:rPr>
          <w:i/>
        </w:rPr>
        <w:t>Gemara</w:t>
      </w:r>
      <w:r>
        <w:t xml:space="preserve">’s </w:t>
      </w:r>
      <w:r>
        <w:rPr>
          <w:i/>
        </w:rPr>
        <w:t>“</w:t>
      </w:r>
      <w:r>
        <w:rPr>
          <w:rFonts w:ascii="David" w:hAnsi="David"/>
          <w:i/>
        </w:rPr>
        <w:t>ובך</w:t>
      </w:r>
      <w:r>
        <w:rPr>
          <w:i/>
        </w:rPr>
        <w:t>”</w:t>
      </w:r>
      <w:r>
        <w:t xml:space="preserve"> — </w:t>
      </w:r>
      <w:r>
        <w:rPr>
          <w:i/>
        </w:rPr>
        <w:t>with you</w:t>
      </w:r>
      <w:r>
        <w:t xml:space="preserve"> — as pointing outward and forward. </w:t>
      </w:r>
      <w:r>
        <w:rPr>
          <w:i/>
        </w:rPr>
        <w:t>Avraham</w:t>
      </w:r>
      <w:r>
        <w:t xml:space="preserve"> in the </w:t>
      </w:r>
      <w:r>
        <w:rPr>
          <w:i/>
        </w:rPr>
        <w:t>chasimah</w:t>
      </w:r>
      <w:r>
        <w:t xml:space="preserve"> is </w:t>
      </w:r>
      <w:r>
        <w:rPr>
          <w:i/>
        </w:rPr>
        <w:t>Avraham</w:t>
      </w:r>
      <w:r>
        <w:t xml:space="preserve"> in the sense in which he is not identical with </w:t>
      </w:r>
      <w:r>
        <w:rPr>
          <w:i/>
        </w:rPr>
        <w:t>Yitzchak</w:t>
      </w:r>
      <w:r>
        <w:t xml:space="preserve"> and </w:t>
      </w:r>
      <w:r>
        <w:rPr>
          <w:i/>
        </w:rPr>
        <w:t>Yaakov</w:t>
      </w:r>
      <w:r>
        <w:t xml:space="preserve">: </w:t>
      </w:r>
      <w:r>
        <w:rPr>
          <w:i/>
        </w:rPr>
        <w:t>Avraham</w:t>
      </w:r>
      <w:r>
        <w:t xml:space="preserve"> as the wider figure that the two subsequent </w:t>
      </w:r>
      <w:r>
        <w:rPr>
          <w:i/>
        </w:rPr>
        <w:t>Avos</w:t>
      </w:r>
      <w:r>
        <w:t xml:space="preserve"> did not become.</w:t>
      </w:r>
    </w:p>
    <w:p>
      <w:r>
        <w:t xml:space="preserve">All three </w:t>
      </w:r>
      <w:r>
        <w:rPr>
          <w:i/>
        </w:rPr>
        <w:t>mehalchim</w:t>
      </w:r>
      <w:r>
        <w:t xml:space="preserve"> converge on the reading of </w:t>
      </w:r>
      <w:r>
        <w:rPr>
          <w:i/>
        </w:rPr>
        <w:t>Avraham</w:t>
      </w:r>
      <w:r>
        <w:t xml:space="preserve"> in the </w:t>
      </w:r>
      <w:r>
        <w:rPr>
          <w:i/>
        </w:rPr>
        <w:t>chasimah</w:t>
      </w:r>
      <w:r>
        <w:t xml:space="preserve"> as the outward, eternal, universal face of the promise — the face that is not diminished in the sealing but </w:t>
      </w:r>
      <w:r>
        <w:rPr>
          <w:i/>
        </w:rPr>
        <w:t>expanded</w:t>
      </w:r>
      <w:r>
        <w:t xml:space="preserve">. The single </w:t>
      </w:r>
      <w:r>
        <w:rPr>
          <w:i/>
        </w:rPr>
        <w:t>chasimah</w:t>
      </w:r>
      <w:r>
        <w:t xml:space="preserve"> is at once historical (the </w:t>
      </w:r>
      <w:r>
        <w:rPr>
          <w:i/>
        </w:rPr>
        <w:t>Kotzker</w:t>
      </w:r>
      <w:r>
        <w:t xml:space="preserve">), liturgical (the </w:t>
      </w:r>
      <w:r>
        <w:rPr>
          <w:i/>
        </w:rPr>
        <w:t>Tif’eres Banim</w:t>
      </w:r>
      <w:r>
        <w:t xml:space="preserve">), and universal (the </w:t>
      </w:r>
      <w:r>
        <w:rPr>
          <w:i/>
        </w:rPr>
        <w:t>Maharam Schick</w:t>
      </w:r>
      <w:r>
        <w:t xml:space="preserve">). When we close </w:t>
      </w:r>
      <w:r>
        <w:rPr>
          <w:i/>
        </w:rPr>
        <w:t>Birkas Avos</w:t>
      </w:r>
      <w:r>
        <w:t xml:space="preserve"> tomorrow morning, the word </w:t>
      </w:r>
      <w:r>
        <w:rPr>
          <w:i/>
        </w:rPr>
        <w:t>“</w:t>
      </w:r>
      <w:r>
        <w:rPr>
          <w:rFonts w:ascii="David" w:hAnsi="David"/>
          <w:i/>
        </w:rPr>
        <w:t>אברהם</w:t>
      </w:r>
      <w:r>
        <w:rPr>
          <w:i/>
        </w:rPr>
        <w:t>”</w:t>
      </w:r>
      <w:r>
        <w:t xml:space="preserve"> at the seal carries all three layers at once.</w:t>
      </w:r>
    </w:p>
    <w:p>
      <w:r>
        <w:rPr>
          <w:i/>
          <w:color w:val="B8860B"/>
          <w:sz w:val="24"/>
        </w:rPr>
        <w:t>A Kavvanah in the Chasimah</w:t>
      </w:r>
    </w:p>
    <w:p>
      <w:r>
        <w:t xml:space="preserve">A kabbalistic </w:t>
      </w:r>
      <w:r>
        <w:rPr>
          <w:i/>
        </w:rPr>
        <w:t>siddur</w:t>
      </w:r>
      <w:r>
        <w:t xml:space="preserve"> (</w:t>
      </w:r>
      <w:r>
        <w:rPr>
          <w:rFonts w:ascii="David" w:hAnsi="David"/>
        </w:rPr>
        <w:t>סידור</w:t>
      </w:r>
      <w:r>
        <w:t>)-</w:t>
      </w:r>
      <w:r>
        <w:rPr>
          <w:i/>
        </w:rPr>
        <w:t>kavvanah</w:t>
      </w:r>
      <w:r>
        <w:t xml:space="preserve"> tradition transmitted in the name of the </w:t>
      </w:r>
      <w:r>
        <w:rPr>
          <w:i/>
        </w:rPr>
        <w:t>Mateh Tov</w:t>
      </w:r>
      <w:r>
        <w:t xml:space="preserve"> (</w:t>
      </w:r>
      <w:r>
        <w:rPr>
          <w:rFonts w:ascii="David" w:hAnsi="David"/>
        </w:rPr>
        <w:t>מטה טוב</w:t>
      </w:r>
      <w:r>
        <w:t>)</w:t>
      </w:r>
      <w:r>
        <w:rPr>
          <w:color w:val="B8860B"/>
          <w:sz w:val="16"/>
          <w:vertAlign w:val="superscript"/>
        </w:rPr>
        <w:t>[28]</w:t>
      </w:r>
      <w:r>
        <w:t xml:space="preserve"> encapsulates the synthesis in practice: at the closing words </w:t>
      </w:r>
      <w:r>
        <w:rPr>
          <w:i/>
        </w:rPr>
        <w:t>“</w:t>
      </w:r>
      <w:r>
        <w:rPr>
          <w:rFonts w:ascii="David" w:hAnsi="David"/>
          <w:i/>
        </w:rPr>
        <w:t>מגן אברהם</w:t>
      </w:r>
      <w:r>
        <w:rPr>
          <w:i/>
        </w:rPr>
        <w:t>,”</w:t>
      </w:r>
      <w:r>
        <w:t xml:space="preserve"> have in mind that this </w:t>
      </w:r>
      <w:r>
        <w:rPr>
          <w:i/>
        </w:rPr>
        <w:t>chasimah</w:t>
      </w:r>
      <w:r>
        <w:t xml:space="preserve"> reaches toward the eternal </w:t>
      </w:r>
      <w:r>
        <w:rPr>
          <w:i/>
        </w:rPr>
        <w:t>tefillah</w:t>
      </w:r>
      <w:r>
        <w:t xml:space="preserve"> of </w:t>
      </w:r>
      <w:r>
        <w:rPr>
          <w:i/>
        </w:rPr>
        <w:t>le’asid la’vo</w:t>
      </w:r>
      <w:r>
        <w:t xml:space="preserve"> — the </w:t>
      </w:r>
      <w:r>
        <w:rPr>
          <w:i/>
        </w:rPr>
        <w:t>tefillah</w:t>
      </w:r>
      <w:r>
        <w:t xml:space="preserve"> of the </w:t>
      </w:r>
      <w:r>
        <w:rPr>
          <w:i/>
        </w:rPr>
        <w:t>dor ha-chesed</w:t>
      </w:r>
      <w:r>
        <w:t xml:space="preserve">, of the </w:t>
      </w:r>
      <w:r>
        <w:rPr>
          <w:i/>
        </w:rPr>
        <w:t>Bayis Shelishi</w:t>
      </w:r>
      <w:r>
        <w:t xml:space="preserve">, of the whole of </w:t>
      </w:r>
      <w:r>
        <w:rPr>
          <w:i/>
        </w:rPr>
        <w:t>zera Avraham</w:t>
      </w:r>
      <w:r>
        <w:t xml:space="preserve"> gathered under the shield of the one God. The </w:t>
      </w:r>
      <w:r>
        <w:rPr>
          <w:i/>
        </w:rPr>
        <w:t>kavvanah</w:t>
      </w:r>
      <w:r>
        <w:t xml:space="preserve"> is offered as an enhancement; the fundamental halakhic requirement of </w:t>
      </w:r>
      <w:r>
        <w:rPr>
          <w:i/>
        </w:rPr>
        <w:t>kavvanah</w:t>
      </w:r>
      <w:r>
        <w:t xml:space="preserve"> in the first </w:t>
      </w:r>
      <w:r>
        <w:rPr>
          <w:i/>
        </w:rPr>
        <w:t>berachah</w:t>
      </w:r>
      <w:r>
        <w:t xml:space="preserve">, established in </w:t>
      </w:r>
      <w:r>
        <w:rPr>
          <w:i/>
        </w:rPr>
        <w:t>Shulchan Aruch</w:t>
      </w:r>
      <w:r>
        <w:t xml:space="preserve"> (</w:t>
      </w:r>
      <w:r>
        <w:rPr>
          <w:rFonts w:ascii="David" w:hAnsi="David"/>
        </w:rPr>
        <w:t>שולחן ערוך</w:t>
      </w:r>
      <w:r>
        <w:t xml:space="preserve">) </w:t>
      </w:r>
      <w:r>
        <w:rPr>
          <w:i/>
        </w:rPr>
        <w:t>Orach Chaim</w:t>
      </w:r>
      <w:r>
        <w:t xml:space="preserve"> 101</w:t>
      </w:r>
      <w:r>
        <w:rPr>
          <w:color w:val="B8860B"/>
          <w:sz w:val="16"/>
          <w:vertAlign w:val="superscript"/>
        </w:rPr>
        <w:t>[29]</w:t>
      </w:r>
      <w:r>
        <w:t xml:space="preserve">, remains the meaning of the words as they stand. For one who can lift the </w:t>
      </w:r>
      <w:r>
        <w:rPr>
          <w:i/>
        </w:rPr>
        <w:t>kavvanah</w:t>
      </w:r>
      <w:r>
        <w:t xml:space="preserve"> higher, this is the direction in which the </w:t>
      </w:r>
      <w:r>
        <w:rPr>
          <w:i/>
        </w:rPr>
        <w:t>mehalchim</w:t>
      </w:r>
      <w:r>
        <w:t xml:space="preserve"> of the </w:t>
      </w:r>
      <w:r>
        <w:rPr>
          <w:i/>
        </w:rPr>
        <w:t>Kotzker</w:t>
      </w:r>
      <w:r>
        <w:t xml:space="preserve">, the </w:t>
      </w:r>
      <w:r>
        <w:rPr>
          <w:i/>
        </w:rPr>
        <w:t>Tif’eres Banim</w:t>
      </w:r>
      <w:r>
        <w:t xml:space="preserve">, and the </w:t>
      </w:r>
      <w:r>
        <w:rPr>
          <w:i/>
        </w:rPr>
        <w:t>Maharam Schick</w:t>
      </w:r>
      <w:r>
        <w:t xml:space="preserve"> together point.</w:t>
      </w:r>
    </w:p>
    <w:p>
      <w:r>
        <w:rPr>
          <w:i/>
        </w:rPr>
        <w:t>Be’ezras Hashem</w:t>
      </w:r>
      <w:r>
        <w:t xml:space="preserve"> (</w:t>
      </w:r>
      <w:r>
        <w:rPr>
          <w:rFonts w:ascii="David" w:hAnsi="David"/>
        </w:rPr>
        <w:t>בעזרת השם</w:t>
      </w:r>
      <w:r>
        <w:t xml:space="preserve">), may we merit to see the fulfillment of the </w:t>
      </w:r>
      <w:r>
        <w:rPr>
          <w:i/>
        </w:rPr>
        <w:t>chasimah</w:t>
      </w:r>
      <w:r>
        <w:t xml:space="preserve"> in our own days — the </w:t>
      </w:r>
      <w:r>
        <w:rPr>
          <w:i/>
        </w:rPr>
        <w:t>chesed</w:t>
      </w:r>
      <w:r>
        <w:t xml:space="preserve"> that seals the </w:t>
      </w:r>
      <w:r>
        <w:rPr>
          <w:i/>
        </w:rPr>
        <w:t>galus</w:t>
      </w:r>
      <w:r>
        <w:t xml:space="preserve">, the </w:t>
      </w:r>
      <w:r>
        <w:rPr>
          <w:i/>
        </w:rPr>
        <w:t>Shacharis</w:t>
      </w:r>
      <w:r>
        <w:t xml:space="preserve"> that opens the age of the </w:t>
      </w:r>
      <w:r>
        <w:rPr>
          <w:i/>
        </w:rPr>
        <w:t>Bayis Shelishi</w:t>
      </w:r>
      <w:r>
        <w:t xml:space="preserve">, and the shield of </w:t>
      </w:r>
      <w:r>
        <w:rPr>
          <w:i/>
        </w:rPr>
        <w:t>Avraham</w:t>
      </w:r>
      <w:r>
        <w:t xml:space="preserve"> extended over all of his children.</w:t>
      </w:r>
    </w:p>
    <w:p>
      <w:pPr>
        <w:pBdr>
          <w:bottom w:val="single" w:sz="6" w:space="1" w:color="B8860B"/>
        </w:pBdr>
      </w:pPr>
    </w:p>
    <w:p>
      <w:r>
        <w:rPr>
          <w:rFonts w:ascii="David" w:hAnsi="David"/>
          <w:b/>
          <w:color w:val="1E3A8A"/>
          <w:sz w:val="26"/>
        </w:rPr>
        <w:t>מראה מקומות·  MAREH MEKOMOS</w:t>
      </w:r>
    </w:p>
    <w:p>
      <w:r>
        <w:rPr>
          <w:b/>
          <w:color w:val="1E3A8A"/>
        </w:rPr>
        <w:t xml:space="preserve">1. </w:t>
      </w:r>
      <w:r>
        <w:rPr>
          <w:b/>
          <w:i/>
          <w:color w:val="1E3A8A"/>
        </w:rPr>
        <w:t>Pesachim</w:t>
      </w:r>
      <w:r>
        <w:rPr>
          <w:b/>
          <w:color w:val="1E3A8A"/>
        </w:rPr>
        <w:t xml:space="preserve"> 117b — </w:t>
      </w:r>
      <w:r>
        <w:rPr>
          <w:b/>
          <w:i/>
          <w:color w:val="1E3A8A"/>
        </w:rPr>
        <w:t>“</w:t>
      </w:r>
      <w:r>
        <w:rPr>
          <w:rFonts w:ascii="David" w:hAnsi="David"/>
          <w:b/>
          <w:i/>
          <w:color w:val="1E3A8A"/>
        </w:rPr>
        <w:t>ובך חותמין ולא בכולם</w:t>
      </w:r>
      <w:r>
        <w:rPr>
          <w:b/>
          <w:i/>
          <w:color w:val="1E3A8A"/>
        </w:rPr>
        <w:t>.”</w:t>
      </w:r>
      <w:r>
        <w:t xml:space="preserve"> </w:t>
      </w:r>
      <w:r>
        <w:t xml:space="preserve">— The </w:t>
      </w:r>
      <w:r>
        <w:rPr>
          <w:i/>
        </w:rPr>
        <w:t>sugya</w:t>
      </w:r>
      <w:r>
        <w:t xml:space="preserve"> in </w:t>
      </w:r>
      <w:r>
        <w:rPr>
          <w:i/>
        </w:rPr>
        <w:t>Arvei Pesachim</w:t>
      </w:r>
      <w:r>
        <w:t xml:space="preserve"> derives the structure of </w:t>
      </w:r>
      <w:r>
        <w:rPr>
          <w:i/>
        </w:rPr>
        <w:t>Birkas Avos</w:t>
      </w:r>
      <w:r>
        <w:t xml:space="preserve"> from the four clauses of </w:t>
      </w:r>
      <w:r>
        <w:rPr>
          <w:i/>
        </w:rPr>
        <w:t>Hashem</w:t>
      </w:r>
      <w:r>
        <w:t xml:space="preserve">’s opening promise to </w:t>
      </w:r>
      <w:r>
        <w:rPr>
          <w:i/>
        </w:rPr>
        <w:t>Avraham</w:t>
      </w:r>
      <w:r>
        <w:t xml:space="preserve"> in </w:t>
      </w:r>
      <w:r>
        <w:rPr>
          <w:i/>
        </w:rPr>
        <w:t>Lech Lecha</w:t>
      </w:r>
      <w:r>
        <w:t xml:space="preserve">. Each clause becomes a phrase in the </w:t>
      </w:r>
      <w:r>
        <w:rPr>
          <w:i/>
        </w:rPr>
        <w:t>berachah</w:t>
      </w:r>
      <w:r>
        <w:t xml:space="preserve">, but only the first — </w:t>
      </w:r>
      <w:r>
        <w:rPr>
          <w:i/>
        </w:rPr>
        <w:t>“</w:t>
      </w:r>
      <w:r>
        <w:rPr>
          <w:rFonts w:ascii="David" w:hAnsi="David"/>
          <w:i/>
        </w:rPr>
        <w:t>ואעשך לגוי גדול</w:t>
      </w:r>
      <w:r>
        <w:rPr>
          <w:i/>
        </w:rPr>
        <w:t>”</w:t>
      </w:r>
      <w:r>
        <w:t xml:space="preserve">, mapped to </w:t>
      </w:r>
      <w:r>
        <w:rPr>
          <w:i/>
        </w:rPr>
        <w:t>“</w:t>
      </w:r>
      <w:r>
        <w:rPr>
          <w:rFonts w:ascii="David" w:hAnsi="David"/>
          <w:i/>
        </w:rPr>
        <w:t>אלקי אברהם</w:t>
      </w:r>
      <w:r>
        <w:rPr>
          <w:i/>
        </w:rPr>
        <w:t>”</w:t>
      </w:r>
      <w:r>
        <w:t xml:space="preserve"> — receives the </w:t>
      </w:r>
      <w:r>
        <w:rPr>
          <w:i/>
        </w:rPr>
        <w:t>chasimah</w:t>
      </w:r>
      <w:r>
        <w:t>.</w:t>
      </w:r>
    </w:p>
    <w:p>
      <w:r>
        <w:rPr>
          <w:b/>
          <w:color w:val="1E3A8A"/>
        </w:rPr>
        <w:t xml:space="preserve">2. </w:t>
      </w:r>
      <w:r>
        <w:rPr>
          <w:b/>
          <w:i/>
          <w:color w:val="1E3A8A"/>
        </w:rPr>
        <w:t>Bereshis</w:t>
      </w:r>
      <w:r>
        <w:rPr>
          <w:b/>
          <w:color w:val="1E3A8A"/>
        </w:rPr>
        <w:t xml:space="preserve"> 12:2, with </w:t>
      </w:r>
      <w:r>
        <w:rPr>
          <w:b/>
          <w:i/>
          <w:color w:val="1E3A8A"/>
        </w:rPr>
        <w:t>Rashi</w:t>
      </w:r>
      <w:r>
        <w:rPr>
          <w:b/>
          <w:color w:val="1E3A8A"/>
        </w:rPr>
        <w:t xml:space="preserve"> ad loc.; cf. </w:t>
      </w:r>
      <w:r>
        <w:rPr>
          <w:b/>
          <w:i/>
          <w:color w:val="1E3A8A"/>
        </w:rPr>
        <w:t>Bereshis</w:t>
      </w:r>
      <w:r>
        <w:rPr>
          <w:b/>
          <w:color w:val="1E3A8A"/>
        </w:rPr>
        <w:t xml:space="preserve"> 17:5.</w:t>
      </w:r>
      <w:r>
        <w:t xml:space="preserve"> </w:t>
      </w:r>
      <w:r>
        <w:t xml:space="preserve">— </w:t>
      </w:r>
      <w:r>
        <w:rPr>
          <w:i/>
        </w:rPr>
        <w:t>Rashi</w:t>
      </w:r>
      <w:r>
        <w:t xml:space="preserve"> brings the </w:t>
      </w:r>
      <w:r>
        <w:rPr>
          <w:i/>
        </w:rPr>
        <w:t>Pesachim</w:t>
      </w:r>
      <w:r>
        <w:t xml:space="preserve"> </w:t>
      </w:r>
      <w:r>
        <w:rPr>
          <w:i/>
        </w:rPr>
        <w:t>drasha</w:t>
      </w:r>
      <w:r>
        <w:t xml:space="preserve"> in his commentary on the </w:t>
      </w:r>
      <w:r>
        <w:rPr>
          <w:i/>
        </w:rPr>
        <w:t>pasuk</w:t>
      </w:r>
      <w:r>
        <w:t xml:space="preserve">, signaling its centrality to the </w:t>
      </w:r>
      <w:r>
        <w:rPr>
          <w:i/>
        </w:rPr>
        <w:t>pshat</w:t>
      </w:r>
      <w:r>
        <w:t xml:space="preserve"> (</w:t>
      </w:r>
      <w:r>
        <w:rPr>
          <w:rFonts w:ascii="David" w:hAnsi="David"/>
        </w:rPr>
        <w:t>פשט</w:t>
      </w:r>
      <w:r>
        <w:t xml:space="preserve">) of </w:t>
      </w:r>
      <w:r>
        <w:rPr>
          <w:i/>
        </w:rPr>
        <w:t>Lech Lecha</w:t>
      </w:r>
      <w:r>
        <w:t xml:space="preserve">. The later </w:t>
      </w:r>
      <w:r>
        <w:rPr>
          <w:i/>
        </w:rPr>
        <w:t>pasuk</w:t>
      </w:r>
      <w:r>
        <w:t xml:space="preserve"> in </w:t>
      </w:r>
      <w:r>
        <w:rPr>
          <w:i/>
        </w:rPr>
        <w:t>Bereshis</w:t>
      </w:r>
      <w:r>
        <w:t xml:space="preserve"> 17:5 — </w:t>
      </w:r>
      <w:r>
        <w:rPr>
          <w:i/>
        </w:rPr>
        <w:t>“</w:t>
      </w:r>
      <w:r>
        <w:rPr>
          <w:rFonts w:ascii="David" w:hAnsi="David"/>
          <w:i/>
        </w:rPr>
        <w:t>כי אב המון גוים נתתיך</w:t>
      </w:r>
      <w:r>
        <w:rPr>
          <w:i/>
        </w:rPr>
        <w:t>”</w:t>
      </w:r>
      <w:r>
        <w:t xml:space="preserve"> — provides the textual basis for the </w:t>
      </w:r>
      <w:r>
        <w:rPr>
          <w:i/>
        </w:rPr>
        <w:t>Maharam Schick</w:t>
      </w:r>
      <w:r>
        <w:t>’s reading in Mahalach C.</w:t>
      </w:r>
    </w:p>
    <w:p>
      <w:r>
        <w:rPr>
          <w:b/>
          <w:color w:val="1E3A8A"/>
        </w:rPr>
        <w:t xml:space="preserve">3. </w:t>
      </w:r>
      <w:r>
        <w:rPr>
          <w:b/>
          <w:i/>
          <w:color w:val="1E3A8A"/>
        </w:rPr>
        <w:t>Zohar HaKadosh</w:t>
      </w:r>
      <w:r>
        <w:rPr>
          <w:b/>
          <w:color w:val="1E3A8A"/>
        </w:rPr>
        <w:t xml:space="preserve"> across </w:t>
      </w:r>
      <w:r>
        <w:rPr>
          <w:b/>
          <w:i/>
          <w:color w:val="1E3A8A"/>
        </w:rPr>
        <w:t>Parshas Terumah</w:t>
      </w:r>
      <w:r>
        <w:rPr>
          <w:b/>
          <w:color w:val="1E3A8A"/>
        </w:rPr>
        <w:t xml:space="preserve">, </w:t>
      </w:r>
      <w:r>
        <w:rPr>
          <w:b/>
          <w:i/>
          <w:color w:val="1E3A8A"/>
        </w:rPr>
        <w:t>Vayakhel</w:t>
      </w:r>
      <w:r>
        <w:rPr>
          <w:b/>
          <w:color w:val="1E3A8A"/>
        </w:rPr>
        <w:t xml:space="preserve">, and </w:t>
      </w:r>
      <w:r>
        <w:rPr>
          <w:b/>
          <w:i/>
          <w:color w:val="1E3A8A"/>
        </w:rPr>
        <w:t>Balak</w:t>
      </w:r>
      <w:r>
        <w:rPr>
          <w:b/>
          <w:color w:val="1E3A8A"/>
        </w:rPr>
        <w:t xml:space="preserve">; </w:t>
      </w:r>
      <w:r>
        <w:rPr>
          <w:b/>
          <w:i/>
          <w:color w:val="1E3A8A"/>
        </w:rPr>
        <w:t>Pardes Rimonim</w:t>
      </w:r>
      <w:r>
        <w:rPr>
          <w:b/>
          <w:color w:val="1E3A8A"/>
        </w:rPr>
        <w:t xml:space="preserve"> (</w:t>
      </w:r>
      <w:r>
        <w:rPr>
          <w:b/>
          <w:i/>
          <w:color w:val="1E3A8A"/>
        </w:rPr>
        <w:t>Ramak</w:t>
      </w:r>
      <w:r>
        <w:rPr>
          <w:b/>
          <w:color w:val="1E3A8A"/>
        </w:rPr>
        <w:t xml:space="preserve">) on the </w:t>
      </w:r>
      <w:r>
        <w:rPr>
          <w:b/>
          <w:i/>
          <w:color w:val="1E3A8A"/>
        </w:rPr>
        <w:t>chitzonim</w:t>
      </w:r>
      <w:r>
        <w:rPr>
          <w:b/>
          <w:color w:val="1E3A8A"/>
        </w:rPr>
        <w:t>.</w:t>
      </w:r>
      <w:r>
        <w:t xml:space="preserve"> </w:t>
      </w:r>
      <w:r>
        <w:t xml:space="preserve">— The </w:t>
      </w:r>
      <w:r>
        <w:rPr>
          <w:i/>
        </w:rPr>
        <w:t>Zohar</w:t>
      </w:r>
      <w:r>
        <w:t xml:space="preserve"> repeatedly likens </w:t>
      </w:r>
      <w:r>
        <w:rPr>
          <w:i/>
        </w:rPr>
        <w:t>tefillah</w:t>
      </w:r>
      <w:r>
        <w:t xml:space="preserve"> without </w:t>
      </w:r>
      <w:r>
        <w:rPr>
          <w:i/>
        </w:rPr>
        <w:t>kavvanah</w:t>
      </w:r>
      <w:r>
        <w:t xml:space="preserve"> to </w:t>
      </w:r>
      <w:r>
        <w:rPr>
          <w:i/>
        </w:rPr>
        <w:t>“</w:t>
      </w:r>
      <w:r>
        <w:rPr>
          <w:rFonts w:ascii="David" w:hAnsi="David"/>
          <w:i/>
        </w:rPr>
        <w:t>גוף בלי נשמה</w:t>
      </w:r>
      <w:r>
        <w:rPr>
          <w:i/>
        </w:rPr>
        <w:t>”</w:t>
      </w:r>
      <w:r>
        <w:t xml:space="preserve"> and develops the frightening image that empty words of </w:t>
      </w:r>
      <w:r>
        <w:rPr>
          <w:i/>
        </w:rPr>
        <w:t>tefillah</w:t>
      </w:r>
      <w:r>
        <w:t xml:space="preserve"> are seized by the </w:t>
      </w:r>
      <w:r>
        <w:rPr>
          <w:i/>
        </w:rPr>
        <w:t>chitzonim</w:t>
      </w:r>
      <w:r>
        <w:t>. Rabbi Moshe Cordovero (</w:t>
      </w:r>
      <w:r>
        <w:rPr>
          <w:i/>
        </w:rPr>
        <w:t>Ramak</w:t>
      </w:r>
      <w:r>
        <w:t xml:space="preserve">, 1522–1570, Tzfas) in </w:t>
      </w:r>
      <w:r>
        <w:rPr>
          <w:i/>
        </w:rPr>
        <w:t>Pardes Rimonim</w:t>
      </w:r>
      <w:r>
        <w:t xml:space="preserve"> systematizes the doctrine of the </w:t>
      </w:r>
      <w:r>
        <w:rPr>
          <w:i/>
        </w:rPr>
        <w:t>kelipos</w:t>
      </w:r>
      <w:r>
        <w:t xml:space="preserve"> and the </w:t>
      </w:r>
      <w:r>
        <w:rPr>
          <w:i/>
        </w:rPr>
        <w:t>sitra achra</w:t>
      </w:r>
      <w:r>
        <w:t xml:space="preserve"> (</w:t>
      </w:r>
      <w:r>
        <w:rPr>
          <w:rFonts w:ascii="David" w:hAnsi="David"/>
        </w:rPr>
        <w:t>סטרא אחרא</w:t>
      </w:r>
      <w:r>
        <w:t xml:space="preserve">) on which the </w:t>
      </w:r>
      <w:r>
        <w:rPr>
          <w:i/>
        </w:rPr>
        <w:t>Zohar</w:t>
      </w:r>
      <w:r>
        <w:t>’s warnings rest.</w:t>
      </w:r>
    </w:p>
    <w:p>
      <w:r>
        <w:rPr>
          <w:b/>
          <w:color w:val="1E3A8A"/>
        </w:rPr>
        <w:t xml:space="preserve">4. </w:t>
      </w:r>
      <w:r>
        <w:rPr>
          <w:b/>
          <w:i/>
          <w:color w:val="1E3A8A"/>
        </w:rPr>
        <w:t>Rosh HaShanah</w:t>
      </w:r>
      <w:r>
        <w:rPr>
          <w:b/>
          <w:color w:val="1E3A8A"/>
        </w:rPr>
        <w:t xml:space="preserve"> 18a — </w:t>
      </w:r>
      <w:r>
        <w:rPr>
          <w:b/>
          <w:i/>
          <w:color w:val="1E3A8A"/>
        </w:rPr>
        <w:t>tefillah shleimah</w:t>
      </w:r>
      <w:r>
        <w:rPr>
          <w:b/>
          <w:color w:val="1E3A8A"/>
        </w:rPr>
        <w:t xml:space="preserve"> versus </w:t>
      </w:r>
      <w:r>
        <w:rPr>
          <w:b/>
          <w:i/>
          <w:color w:val="1E3A8A"/>
        </w:rPr>
        <w:t>tefillah she’einah shleimah</w:t>
      </w:r>
      <w:r>
        <w:rPr>
          <w:b/>
          <w:color w:val="1E3A8A"/>
        </w:rPr>
        <w:t>.</w:t>
      </w:r>
      <w:r>
        <w:t xml:space="preserve"> </w:t>
      </w:r>
      <w:r>
        <w:t xml:space="preserve">— The </w:t>
      </w:r>
      <w:r>
        <w:rPr>
          <w:i/>
        </w:rPr>
        <w:t>Gemara</w:t>
      </w:r>
      <w:r>
        <w:t xml:space="preserve">’s account of two who davened </w:t>
      </w:r>
      <w:r>
        <w:rPr>
          <w:i/>
        </w:rPr>
        <w:t>“</w:t>
      </w:r>
      <w:r>
        <w:rPr>
          <w:rFonts w:ascii="David" w:hAnsi="David"/>
          <w:i/>
        </w:rPr>
        <w:t>רפאנו</w:t>
      </w:r>
      <w:r>
        <w:rPr>
          <w:i/>
        </w:rPr>
        <w:t>”</w:t>
      </w:r>
      <w:r>
        <w:t xml:space="preserve">, one healed and one not; </w:t>
      </w:r>
      <w:r>
        <w:rPr>
          <w:i/>
        </w:rPr>
        <w:t>Rashi</w:t>
      </w:r>
      <w:r>
        <w:t xml:space="preserve"> identifies the difference as </w:t>
      </w:r>
      <w:r>
        <w:rPr>
          <w:i/>
        </w:rPr>
        <w:t>kavvanah</w:t>
      </w:r>
      <w:r>
        <w:t xml:space="preserve">. The </w:t>
      </w:r>
      <w:r>
        <w:rPr>
          <w:i/>
        </w:rPr>
        <w:t>sugya</w:t>
      </w:r>
      <w:r>
        <w:t xml:space="preserve"> is the classical </w:t>
      </w:r>
      <w:r>
        <w:rPr>
          <w:i/>
        </w:rPr>
        <w:t>ma’amar</w:t>
      </w:r>
      <w:r>
        <w:t xml:space="preserve"> establishing the halakhic weight of </w:t>
      </w:r>
      <w:r>
        <w:rPr>
          <w:i/>
        </w:rPr>
        <w:t>kavvanah</w:t>
      </w:r>
      <w:r>
        <w:t xml:space="preserve"> in the internal </w:t>
      </w:r>
      <w:r>
        <w:rPr>
          <w:i/>
        </w:rPr>
        <w:t>berachos</w:t>
      </w:r>
      <w:r>
        <w:t xml:space="preserve"> of </w:t>
      </w:r>
      <w:r>
        <w:rPr>
          <w:i/>
        </w:rPr>
        <w:t>Shemoneh Esrei</w:t>
      </w:r>
      <w:r>
        <w:t>.</w:t>
      </w:r>
    </w:p>
    <w:p>
      <w:r>
        <w:rPr>
          <w:b/>
          <w:color w:val="1E3A8A"/>
        </w:rPr>
        <w:t xml:space="preserve">5. </w:t>
      </w:r>
      <w:r>
        <w:rPr>
          <w:b/>
          <w:color w:val="1E3A8A"/>
        </w:rPr>
        <w:t xml:space="preserve">The </w:t>
      </w:r>
      <w:r>
        <w:rPr>
          <w:b/>
          <w:i/>
          <w:color w:val="1E3A8A"/>
        </w:rPr>
        <w:t>Kotzker Rebbe</w:t>
      </w:r>
      <w:r>
        <w:rPr>
          <w:b/>
          <w:color w:val="1E3A8A"/>
        </w:rPr>
        <w:t xml:space="preserve"> (</w:t>
      </w:r>
      <w:r>
        <w:rPr>
          <w:b/>
          <w:i/>
          <w:color w:val="1E3A8A"/>
        </w:rPr>
        <w:t>Rabbi Menachem Mendel of Kotzk</w:t>
      </w:r>
      <w:r>
        <w:rPr>
          <w:b/>
          <w:color w:val="1E3A8A"/>
        </w:rPr>
        <w:t xml:space="preserve">, 1787–1859) on </w:t>
      </w:r>
      <w:r>
        <w:rPr>
          <w:b/>
          <w:i/>
          <w:color w:val="1E3A8A"/>
        </w:rPr>
        <w:t>“</w:t>
      </w:r>
      <w:r>
        <w:rPr>
          <w:rFonts w:ascii="David" w:hAnsi="David"/>
          <w:b/>
          <w:i/>
          <w:color w:val="1E3A8A"/>
        </w:rPr>
        <w:t>ובך חותמין</w:t>
      </w:r>
      <w:r>
        <w:rPr>
          <w:b/>
          <w:i/>
          <w:color w:val="1E3A8A"/>
        </w:rPr>
        <w:t>”</w:t>
      </w:r>
      <w:r>
        <w:rPr>
          <w:b/>
          <w:color w:val="1E3A8A"/>
        </w:rPr>
        <w:t xml:space="preserve"> as </w:t>
      </w:r>
      <w:r>
        <w:rPr>
          <w:b/>
          <w:i/>
          <w:color w:val="1E3A8A"/>
        </w:rPr>
        <w:t>dor ha-chesed</w:t>
      </w:r>
      <w:r>
        <w:rPr>
          <w:b/>
          <w:color w:val="1E3A8A"/>
        </w:rPr>
        <w:t xml:space="preserve">; antecedent in </w:t>
      </w:r>
      <w:r>
        <w:rPr>
          <w:b/>
          <w:i/>
          <w:color w:val="1E3A8A"/>
        </w:rPr>
        <w:t>Megaleh Amukos</w:t>
      </w:r>
      <w:r>
        <w:rPr>
          <w:b/>
          <w:color w:val="1E3A8A"/>
        </w:rPr>
        <w:t xml:space="preserve"> of Rabbi Nosson Nota Shapiro of Kraków (1585–1633).</w:t>
      </w:r>
      <w:r>
        <w:t xml:space="preserve"> </w:t>
      </w:r>
      <w:r>
        <w:t xml:space="preserve">— The </w:t>
      </w:r>
      <w:r>
        <w:rPr>
          <w:i/>
        </w:rPr>
        <w:t>Kotzker</w:t>
      </w:r>
      <w:r>
        <w:t xml:space="preserve">’s </w:t>
      </w:r>
      <w:r>
        <w:rPr>
          <w:i/>
        </w:rPr>
        <w:t>vort</w:t>
      </w:r>
      <w:r>
        <w:t xml:space="preserve"> circulates in </w:t>
      </w:r>
      <w:r>
        <w:rPr>
          <w:i/>
        </w:rPr>
        <w:t>chassidishe</w:t>
      </w:r>
      <w:r>
        <w:t xml:space="preserve"> tradition; the antecedent </w:t>
      </w:r>
      <w:r>
        <w:rPr>
          <w:i/>
        </w:rPr>
        <w:t>remez</w:t>
      </w:r>
      <w:r>
        <w:t xml:space="preserve"> in the </w:t>
      </w:r>
      <w:r>
        <w:rPr>
          <w:i/>
        </w:rPr>
        <w:t>Megaleh Amukos</w:t>
      </w:r>
      <w:r>
        <w:t xml:space="preserve"> — a foundational kabbalistic-</w:t>
      </w:r>
      <w:r>
        <w:rPr>
          <w:i/>
        </w:rPr>
        <w:t>drush</w:t>
      </w:r>
      <w:r>
        <w:t xml:space="preserve"> (</w:t>
      </w:r>
      <w:r>
        <w:rPr>
          <w:rFonts w:ascii="David" w:hAnsi="David"/>
        </w:rPr>
        <w:t>דרוש</w:t>
      </w:r>
      <w:r>
        <w:t xml:space="preserve">) work on the </w:t>
      </w:r>
      <w:r>
        <w:rPr>
          <w:i/>
        </w:rPr>
        <w:t>Torah</w:t>
      </w:r>
      <w:r>
        <w:t xml:space="preserve"> — identifies the three-</w:t>
      </w:r>
      <w:r>
        <w:rPr>
          <w:i/>
        </w:rPr>
        <w:t>amudim</w:t>
      </w:r>
      <w:r>
        <w:t xml:space="preserve"> mapping of the </w:t>
      </w:r>
      <w:r>
        <w:rPr>
          <w:i/>
        </w:rPr>
        <w:t>Avos</w:t>
      </w:r>
      <w:r>
        <w:t xml:space="preserve"> as the key to the ruling. The </w:t>
      </w:r>
      <w:r>
        <w:rPr>
          <w:i/>
        </w:rPr>
        <w:t>Kotzker</w:t>
      </w:r>
      <w:r>
        <w:t xml:space="preserve"> brings it forward in </w:t>
      </w:r>
      <w:r>
        <w:rPr>
          <w:i/>
        </w:rPr>
        <w:t>chassidishe</w:t>
      </w:r>
      <w:r>
        <w:t xml:space="preserve"> form. The three-</w:t>
      </w:r>
      <w:r>
        <w:rPr>
          <w:i/>
        </w:rPr>
        <w:t>amudim</w:t>
      </w:r>
      <w:r>
        <w:t xml:space="preserve"> structure (</w:t>
      </w:r>
      <w:r>
        <w:rPr>
          <w:i/>
        </w:rPr>
        <w:t>chesed</w:t>
      </w:r>
      <w:r>
        <w:t xml:space="preserve">, </w:t>
      </w:r>
      <w:r>
        <w:rPr>
          <w:i/>
        </w:rPr>
        <w:t>gevurah</w:t>
      </w:r>
      <w:r>
        <w:t xml:space="preserve">, </w:t>
      </w:r>
      <w:r>
        <w:rPr>
          <w:i/>
        </w:rPr>
        <w:t>tif’eres</w:t>
      </w:r>
      <w:r>
        <w:t>) is standard kabbalistic mapping.</w:t>
      </w:r>
    </w:p>
    <w:p>
      <w:r>
        <w:rPr>
          <w:b/>
          <w:color w:val="1E3A8A"/>
        </w:rPr>
        <w:t xml:space="preserve">6. </w:t>
      </w:r>
      <w:r>
        <w:rPr>
          <w:b/>
          <w:i/>
          <w:color w:val="1E3A8A"/>
        </w:rPr>
        <w:t>Tif’eres Banim</w:t>
      </w:r>
      <w:r>
        <w:rPr>
          <w:b/>
          <w:color w:val="1E3A8A"/>
        </w:rPr>
        <w:t xml:space="preserve"> on </w:t>
      </w:r>
      <w:r>
        <w:rPr>
          <w:b/>
          <w:i/>
          <w:color w:val="1E3A8A"/>
        </w:rPr>
        <w:t>Parshas Lech Lecha</w:t>
      </w:r>
      <w:r>
        <w:rPr>
          <w:b/>
          <w:color w:val="1E3A8A"/>
        </w:rPr>
        <w:t xml:space="preserve"> (Rabbi Tzvi Hirsh Shapira of Munkács, 1850–1913).</w:t>
      </w:r>
      <w:r>
        <w:t xml:space="preserve"> </w:t>
      </w:r>
      <w:r>
        <w:t xml:space="preserve">— Rabbi Tzvi Hirsh Shapira — grandson of the </w:t>
      </w:r>
      <w:r>
        <w:rPr>
          <w:i/>
        </w:rPr>
        <w:t>Bnei Yissaschar</w:t>
      </w:r>
      <w:r>
        <w:t xml:space="preserve"> (Rabbi Tzvi Elimelech of Dinov, 1783–1841), one of the foundational </w:t>
      </w:r>
      <w:r>
        <w:rPr>
          <w:i/>
        </w:rPr>
        <w:t>sifrei chassidus</w:t>
      </w:r>
      <w:r>
        <w:t xml:space="preserve"> — authored both the encyclopedic </w:t>
      </w:r>
      <w:r>
        <w:rPr>
          <w:i/>
        </w:rPr>
        <w:t>Darchei Teshuvah</w:t>
      </w:r>
      <w:r>
        <w:t xml:space="preserve"> on </w:t>
      </w:r>
      <w:r>
        <w:rPr>
          <w:i/>
        </w:rPr>
        <w:t>Yoreh De’ah</w:t>
      </w:r>
      <w:r>
        <w:t xml:space="preserve"> (a primary reference for any </w:t>
      </w:r>
      <w:r>
        <w:rPr>
          <w:i/>
        </w:rPr>
        <w:t>lamdan</w:t>
      </w:r>
      <w:r>
        <w:t xml:space="preserve"> in </w:t>
      </w:r>
      <w:r>
        <w:rPr>
          <w:i/>
        </w:rPr>
        <w:t>basar be-chalav</w:t>
      </w:r>
      <w:r>
        <w:t xml:space="preserve"> or </w:t>
      </w:r>
      <w:r>
        <w:rPr>
          <w:i/>
        </w:rPr>
        <w:t>ta’aroves</w:t>
      </w:r>
      <w:r>
        <w:t xml:space="preserve">) and the </w:t>
      </w:r>
      <w:r>
        <w:rPr>
          <w:i/>
        </w:rPr>
        <w:t>Tif’eres Banim</w:t>
      </w:r>
      <w:r>
        <w:t xml:space="preserve"> on </w:t>
      </w:r>
      <w:r>
        <w:rPr>
          <w:i/>
        </w:rPr>
        <w:t>Chumash</w:t>
      </w:r>
      <w:r>
        <w:t xml:space="preserve">. The </w:t>
      </w:r>
      <w:r>
        <w:rPr>
          <w:i/>
        </w:rPr>
        <w:t>chiddush</w:t>
      </w:r>
      <w:r>
        <w:t xml:space="preserve"> on </w:t>
      </w:r>
      <w:r>
        <w:rPr>
          <w:i/>
        </w:rPr>
        <w:t>Lech Lecha</w:t>
      </w:r>
      <w:r>
        <w:t xml:space="preserve">, building on the </w:t>
      </w:r>
      <w:r>
        <w:rPr>
          <w:i/>
        </w:rPr>
        <w:t>Radak</w:t>
      </w:r>
      <w:r>
        <w:t xml:space="preserve">’s face-value reading of </w:t>
      </w:r>
      <w:r>
        <w:rPr>
          <w:i/>
        </w:rPr>
        <w:t>Yechezkel</w:t>
      </w:r>
      <w:r>
        <w:t xml:space="preserve"> 46, identifies </w:t>
      </w:r>
      <w:r>
        <w:rPr>
          <w:i/>
        </w:rPr>
        <w:t>“</w:t>
      </w:r>
      <w:r>
        <w:rPr>
          <w:rFonts w:ascii="David" w:hAnsi="David"/>
          <w:i/>
        </w:rPr>
        <w:t>ובך חותמין</w:t>
      </w:r>
      <w:r>
        <w:rPr>
          <w:i/>
        </w:rPr>
        <w:t>”</w:t>
      </w:r>
      <w:r>
        <w:t xml:space="preserve"> with the future cessation of </w:t>
      </w:r>
      <w:r>
        <w:rPr>
          <w:i/>
        </w:rPr>
        <w:t>tamid shel bein ha’arbayim</w:t>
      </w:r>
      <w:r>
        <w:t>.</w:t>
      </w:r>
    </w:p>
    <w:p>
      <w:r>
        <w:rPr>
          <w:b/>
          <w:color w:val="1E3A8A"/>
        </w:rPr>
        <w:t xml:space="preserve">7. </w:t>
      </w:r>
      <w:r>
        <w:rPr>
          <w:b/>
          <w:color w:val="1E3A8A"/>
        </w:rPr>
        <w:t xml:space="preserve">On </w:t>
      </w:r>
      <w:r>
        <w:rPr>
          <w:b/>
          <w:i/>
          <w:color w:val="1E3A8A"/>
        </w:rPr>
        <w:t>Yechezkel</w:t>
      </w:r>
      <w:r>
        <w:rPr>
          <w:b/>
          <w:color w:val="1E3A8A"/>
        </w:rPr>
        <w:t xml:space="preserve">’s vision as </w:t>
      </w:r>
      <w:r>
        <w:rPr>
          <w:b/>
          <w:i/>
          <w:color w:val="1E3A8A"/>
        </w:rPr>
        <w:t>Bayis Shelishi</w:t>
      </w:r>
      <w:r>
        <w:rPr>
          <w:b/>
          <w:color w:val="1E3A8A"/>
        </w:rPr>
        <w:t xml:space="preserve">: the standard reading; alternative </w:t>
      </w:r>
      <w:r>
        <w:rPr>
          <w:b/>
          <w:i/>
          <w:color w:val="1E3A8A"/>
        </w:rPr>
        <w:t>Rishonim</w:t>
      </w:r>
      <w:r>
        <w:rPr>
          <w:b/>
          <w:color w:val="1E3A8A"/>
        </w:rPr>
        <w:t>.</w:t>
      </w:r>
      <w:r>
        <w:t xml:space="preserve"> </w:t>
      </w:r>
      <w:r>
        <w:t xml:space="preserve">— The dominant reading among </w:t>
      </w:r>
      <w:r>
        <w:rPr>
          <w:i/>
        </w:rPr>
        <w:t>Rishonim</w:t>
      </w:r>
      <w:r>
        <w:t xml:space="preserve"> and </w:t>
      </w:r>
      <w:r>
        <w:rPr>
          <w:i/>
        </w:rPr>
        <w:t>mefarshei Nach</w:t>
      </w:r>
      <w:r>
        <w:t xml:space="preserve"> is that </w:t>
      </w:r>
      <w:r>
        <w:rPr>
          <w:i/>
        </w:rPr>
        <w:t>Yechezkel</w:t>
      </w:r>
      <w:r>
        <w:t xml:space="preserve">’s vision from ch. 40 onward describes the future </w:t>
      </w:r>
      <w:r>
        <w:rPr>
          <w:i/>
        </w:rPr>
        <w:t>Beis HaMikdash</w:t>
      </w:r>
      <w:r>
        <w:t xml:space="preserve">. A minority of </w:t>
      </w:r>
      <w:r>
        <w:rPr>
          <w:i/>
        </w:rPr>
        <w:t>Rishonim</w:t>
      </w:r>
      <w:r>
        <w:t xml:space="preserve">, however, read the vision as descriptive of the </w:t>
      </w:r>
      <w:r>
        <w:rPr>
          <w:i/>
        </w:rPr>
        <w:t>Bayis Sheini</w:t>
      </w:r>
      <w:r>
        <w:t xml:space="preserve">. The </w:t>
      </w:r>
      <w:r>
        <w:rPr>
          <w:i/>
        </w:rPr>
        <w:t>Tif’eres Banim</w:t>
      </w:r>
      <w:r>
        <w:t xml:space="preserve">’s </w:t>
      </w:r>
      <w:r>
        <w:rPr>
          <w:i/>
        </w:rPr>
        <w:t>chiddush</w:t>
      </w:r>
      <w:r>
        <w:t xml:space="preserve"> depends on the majority reading; readers who follow the minority position must reframe the </w:t>
      </w:r>
      <w:r>
        <w:rPr>
          <w:i/>
        </w:rPr>
        <w:t>chiddush</w:t>
      </w:r>
      <w:r>
        <w:t xml:space="preserve"> as bearing on the arrangements of </w:t>
      </w:r>
      <w:r>
        <w:rPr>
          <w:i/>
        </w:rPr>
        <w:t>Bayis Sheini</w:t>
      </w:r>
      <w:r>
        <w:t xml:space="preserve">, an arrangement that in fact included </w:t>
      </w:r>
      <w:r>
        <w:rPr>
          <w:i/>
        </w:rPr>
        <w:t>tamid shel bein ha’arbayim</w:t>
      </w:r>
      <w:r>
        <w:t xml:space="preserve"> and thereby weakens the </w:t>
      </w:r>
      <w:r>
        <w:rPr>
          <w:i/>
        </w:rPr>
        <w:t>chiddush</w:t>
      </w:r>
      <w:r>
        <w:t xml:space="preserve"> considerably. The section proceeds on the majority reading.</w:t>
      </w:r>
    </w:p>
    <w:p>
      <w:r>
        <w:rPr>
          <w:b/>
          <w:color w:val="1E3A8A"/>
        </w:rPr>
        <w:t xml:space="preserve">8. </w:t>
      </w:r>
      <w:r>
        <w:rPr>
          <w:b/>
          <w:i/>
          <w:color w:val="1E3A8A"/>
        </w:rPr>
        <w:t>Yechezkel</w:t>
      </w:r>
      <w:r>
        <w:rPr>
          <w:b/>
          <w:color w:val="1E3A8A"/>
        </w:rPr>
        <w:t xml:space="preserve"> 46:13–15 — the future </w:t>
      </w:r>
      <w:r>
        <w:rPr>
          <w:b/>
          <w:i/>
          <w:color w:val="1E3A8A"/>
        </w:rPr>
        <w:t>tamid shel shachar</w:t>
      </w:r>
      <w:r>
        <w:rPr>
          <w:b/>
          <w:color w:val="1E3A8A"/>
        </w:rPr>
        <w:t xml:space="preserve"> without corresponding </w:t>
      </w:r>
      <w:r>
        <w:rPr>
          <w:b/>
          <w:i/>
          <w:color w:val="1E3A8A"/>
        </w:rPr>
        <w:t>tamid shel bein ha’arbayim</w:t>
      </w:r>
      <w:r>
        <w:rPr>
          <w:b/>
          <w:color w:val="1E3A8A"/>
        </w:rPr>
        <w:t>.</w:t>
      </w:r>
      <w:r>
        <w:t xml:space="preserve"> </w:t>
      </w:r>
      <w:r>
        <w:t xml:space="preserve">— The </w:t>
      </w:r>
      <w:r>
        <w:rPr>
          <w:i/>
        </w:rPr>
        <w:t>perek</w:t>
      </w:r>
      <w:r>
        <w:t xml:space="preserve"> in </w:t>
      </w:r>
      <w:r>
        <w:rPr>
          <w:i/>
        </w:rPr>
        <w:t>Yechezkel</w:t>
      </w:r>
      <w:r>
        <w:t xml:space="preserve">’s vision of the </w:t>
      </w:r>
      <w:r>
        <w:rPr>
          <w:i/>
        </w:rPr>
        <w:t>Bayis Shelishi</w:t>
      </w:r>
      <w:r>
        <w:t xml:space="preserve"> in which the daily </w:t>
      </w:r>
      <w:r>
        <w:rPr>
          <w:i/>
        </w:rPr>
        <w:t>korban</w:t>
      </w:r>
      <w:r>
        <w:t xml:space="preserve"> is described. The </w:t>
      </w:r>
      <w:r>
        <w:rPr>
          <w:i/>
        </w:rPr>
        <w:t>pasuk</w:t>
      </w:r>
      <w:r>
        <w:t xml:space="preserve"> mentions only </w:t>
      </w:r>
      <w:r>
        <w:rPr>
          <w:i/>
        </w:rPr>
        <w:t>“</w:t>
      </w:r>
      <w:r>
        <w:rPr>
          <w:rFonts w:ascii="David" w:hAnsi="David"/>
          <w:i/>
        </w:rPr>
        <w:t>בבקר בבקר</w:t>
      </w:r>
      <w:r>
        <w:rPr>
          <w:i/>
        </w:rPr>
        <w:t>”</w:t>
      </w:r>
      <w:r>
        <w:t xml:space="preserve">. The chapter is read as the </w:t>
      </w:r>
      <w:r>
        <w:rPr>
          <w:i/>
        </w:rPr>
        <w:t>haftarah</w:t>
      </w:r>
      <w:r>
        <w:t xml:space="preserve"> of </w:t>
      </w:r>
      <w:r>
        <w:rPr>
          <w:i/>
        </w:rPr>
        <w:t>Parshas HaChodesh</w:t>
      </w:r>
      <w:r>
        <w:t xml:space="preserve">. Most </w:t>
      </w:r>
      <w:r>
        <w:rPr>
          <w:i/>
        </w:rPr>
        <w:t>mefarshim</w:t>
      </w:r>
      <w:r>
        <w:t xml:space="preserve"> harmonize the omission with various </w:t>
      </w:r>
      <w:r>
        <w:rPr>
          <w:i/>
        </w:rPr>
        <w:t>tirutzim</w:t>
      </w:r>
      <w:r>
        <w:t xml:space="preserve"> (</w:t>
      </w:r>
      <w:r>
        <w:rPr>
          <w:rFonts w:ascii="David" w:hAnsi="David"/>
        </w:rPr>
        <w:t>תירוצים</w:t>
      </w:r>
      <w:r>
        <w:t xml:space="preserve">) — </w:t>
      </w:r>
      <w:r>
        <w:rPr>
          <w:i/>
        </w:rPr>
        <w:t>korbanos milu’im</w:t>
      </w:r>
      <w:r>
        <w:t xml:space="preserve">, textual ellipsis; the </w:t>
      </w:r>
      <w:r>
        <w:rPr>
          <w:i/>
        </w:rPr>
        <w:t>Radak</w:t>
      </w:r>
      <w:r>
        <w:t xml:space="preserve"> takes it at face value.</w:t>
      </w:r>
    </w:p>
    <w:p>
      <w:r>
        <w:rPr>
          <w:b/>
          <w:color w:val="1E3A8A"/>
        </w:rPr>
        <w:t xml:space="preserve">9. </w:t>
      </w:r>
      <w:r>
        <w:rPr>
          <w:b/>
          <w:i/>
          <w:color w:val="1E3A8A"/>
        </w:rPr>
        <w:t>Radak</w:t>
      </w:r>
      <w:r>
        <w:rPr>
          <w:b/>
          <w:color w:val="1E3A8A"/>
        </w:rPr>
        <w:t xml:space="preserve"> on </w:t>
      </w:r>
      <w:r>
        <w:rPr>
          <w:b/>
          <w:i/>
          <w:color w:val="1E3A8A"/>
        </w:rPr>
        <w:t>Yechezkel</w:t>
      </w:r>
      <w:r>
        <w:rPr>
          <w:b/>
          <w:color w:val="1E3A8A"/>
        </w:rPr>
        <w:t xml:space="preserve"> 46 — </w:t>
      </w:r>
      <w:r>
        <w:rPr>
          <w:b/>
          <w:i/>
          <w:color w:val="1E3A8A"/>
        </w:rPr>
        <w:t>chiddush</w:t>
      </w:r>
      <w:r>
        <w:rPr>
          <w:b/>
          <w:color w:val="1E3A8A"/>
        </w:rPr>
        <w:t xml:space="preserve">: only </w:t>
      </w:r>
      <w:r>
        <w:rPr>
          <w:b/>
          <w:i/>
          <w:color w:val="1E3A8A"/>
        </w:rPr>
        <w:t>tamid shel shachar</w:t>
      </w:r>
      <w:r>
        <w:rPr>
          <w:b/>
          <w:color w:val="1E3A8A"/>
        </w:rPr>
        <w:t xml:space="preserve"> in the future.</w:t>
      </w:r>
      <w:r>
        <w:t xml:space="preserve"> </w:t>
      </w:r>
      <w:r>
        <w:t xml:space="preserve">— Rabbi David Kimchi (1160–1235, Narbonne in Provence), one of the great </w:t>
      </w:r>
      <w:r>
        <w:rPr>
          <w:i/>
        </w:rPr>
        <w:t>mefarshei Nach</w:t>
      </w:r>
      <w:r>
        <w:t xml:space="preserve"> among the </w:t>
      </w:r>
      <w:r>
        <w:rPr>
          <w:i/>
        </w:rPr>
        <w:t>Rishonim</w:t>
      </w:r>
      <w:r>
        <w:t xml:space="preserve">, breaks with the harmonizing approach. He reads </w:t>
      </w:r>
      <w:r>
        <w:rPr>
          <w:i/>
        </w:rPr>
        <w:t>Yechezkel</w:t>
      </w:r>
      <w:r>
        <w:t xml:space="preserve"> 46 at face value: </w:t>
      </w:r>
      <w:r>
        <w:rPr>
          <w:i/>
        </w:rPr>
        <w:t>Bayis Shelishi</w:t>
      </w:r>
      <w:r>
        <w:t xml:space="preserve"> will have only a </w:t>
      </w:r>
      <w:r>
        <w:rPr>
          <w:i/>
        </w:rPr>
        <w:t>tamid shel shachar</w:t>
      </w:r>
      <w:r>
        <w:t xml:space="preserve">, not a </w:t>
      </w:r>
      <w:r>
        <w:rPr>
          <w:i/>
        </w:rPr>
        <w:t>tamid shel bein ha’arbayim</w:t>
      </w:r>
      <w:r>
        <w:t xml:space="preserve">. This is the foundational </w:t>
      </w:r>
      <w:r>
        <w:rPr>
          <w:i/>
        </w:rPr>
        <w:t>chiddush</w:t>
      </w:r>
      <w:r>
        <w:t xml:space="preserve"> on which the </w:t>
      </w:r>
      <w:r>
        <w:rPr>
          <w:i/>
        </w:rPr>
        <w:t>Tif’eres Banim</w:t>
      </w:r>
      <w:r>
        <w:t xml:space="preserve"> builds his reading of </w:t>
      </w:r>
      <w:r>
        <w:rPr>
          <w:i/>
        </w:rPr>
        <w:t>“</w:t>
      </w:r>
      <w:r>
        <w:rPr>
          <w:rFonts w:ascii="David" w:hAnsi="David"/>
          <w:i/>
        </w:rPr>
        <w:t>ובך חותמין</w:t>
      </w:r>
      <w:r>
        <w:rPr>
          <w:i/>
        </w:rPr>
        <w:t>.”</w:t>
      </w:r>
    </w:p>
    <w:p>
      <w:r>
        <w:rPr>
          <w:b/>
          <w:color w:val="1E3A8A"/>
        </w:rPr>
        <w:t xml:space="preserve">10. </w:t>
      </w:r>
      <w:r>
        <w:rPr>
          <w:b/>
          <w:i/>
          <w:color w:val="1E3A8A"/>
        </w:rPr>
        <w:t>Berachos</w:t>
      </w:r>
      <w:r>
        <w:rPr>
          <w:b/>
          <w:color w:val="1E3A8A"/>
        </w:rPr>
        <w:t xml:space="preserve"> 26b — </w:t>
      </w:r>
      <w:r>
        <w:rPr>
          <w:b/>
          <w:i/>
          <w:color w:val="1E3A8A"/>
        </w:rPr>
        <w:t>“</w:t>
      </w:r>
      <w:r>
        <w:rPr>
          <w:rFonts w:ascii="David" w:hAnsi="David"/>
          <w:b/>
          <w:i/>
          <w:color w:val="1E3A8A"/>
        </w:rPr>
        <w:t>תפילות כנגד תמידין תקנום</w:t>
      </w:r>
      <w:r>
        <w:rPr>
          <w:b/>
          <w:i/>
          <w:color w:val="1E3A8A"/>
        </w:rPr>
        <w:t>.”</w:t>
      </w:r>
      <w:r>
        <w:t xml:space="preserve"> </w:t>
      </w:r>
      <w:r>
        <w:t xml:space="preserve">— The </w:t>
      </w:r>
      <w:r>
        <w:rPr>
          <w:i/>
        </w:rPr>
        <w:t>Gemara</w:t>
      </w:r>
      <w:r>
        <w:t xml:space="preserve">’s formulation of the principle that the daily </w:t>
      </w:r>
      <w:r>
        <w:rPr>
          <w:i/>
        </w:rPr>
        <w:t>tefillos</w:t>
      </w:r>
      <w:r>
        <w:t xml:space="preserve"> were instituted parallel to the daily </w:t>
      </w:r>
      <w:r>
        <w:rPr>
          <w:i/>
        </w:rPr>
        <w:t>temidin</w:t>
      </w:r>
      <w:r>
        <w:t xml:space="preserve">: </w:t>
      </w:r>
      <w:r>
        <w:rPr>
          <w:i/>
        </w:rPr>
        <w:t>Shacharis</w:t>
      </w:r>
      <w:r>
        <w:t xml:space="preserve"> against </w:t>
      </w:r>
      <w:r>
        <w:rPr>
          <w:i/>
        </w:rPr>
        <w:t>tamid shel shachar</w:t>
      </w:r>
      <w:r>
        <w:t xml:space="preserve">, </w:t>
      </w:r>
      <w:r>
        <w:rPr>
          <w:i/>
        </w:rPr>
        <w:t>Minchah</w:t>
      </w:r>
      <w:r>
        <w:t xml:space="preserve"> against </w:t>
      </w:r>
      <w:r>
        <w:rPr>
          <w:i/>
        </w:rPr>
        <w:t>tamid shel bein ha’arbayim</w:t>
      </w:r>
      <w:r>
        <w:t xml:space="preserve">, </w:t>
      </w:r>
      <w:r>
        <w:rPr>
          <w:i/>
        </w:rPr>
        <w:t>Ma’ariv</w:t>
      </w:r>
      <w:r>
        <w:t xml:space="preserve"> against the </w:t>
      </w:r>
      <w:r>
        <w:rPr>
          <w:i/>
        </w:rPr>
        <w:t>eivarim</w:t>
      </w:r>
      <w:r>
        <w:t xml:space="preserve"> and </w:t>
      </w:r>
      <w:r>
        <w:rPr>
          <w:i/>
        </w:rPr>
        <w:t>pedarim</w:t>
      </w:r>
      <w:r>
        <w:t xml:space="preserve"> consumed through the night. The </w:t>
      </w:r>
      <w:r>
        <w:rPr>
          <w:i/>
        </w:rPr>
        <w:t>sugya</w:t>
      </w:r>
      <w:r>
        <w:t xml:space="preserve"> presents an alternative view (</w:t>
      </w:r>
      <w:r>
        <w:rPr>
          <w:i/>
        </w:rPr>
        <w:t>tefillos</w:t>
      </w:r>
      <w:r>
        <w:t xml:space="preserve"> instituted by the </w:t>
      </w:r>
      <w:r>
        <w:rPr>
          <w:i/>
        </w:rPr>
        <w:t>Avos</w:t>
      </w:r>
      <w:r>
        <w:t xml:space="preserve">) and resolves that both are correct — the </w:t>
      </w:r>
      <w:r>
        <w:rPr>
          <w:i/>
        </w:rPr>
        <w:t>Avos</w:t>
      </w:r>
      <w:r>
        <w:t xml:space="preserve"> originated the practice; the </w:t>
      </w:r>
      <w:r>
        <w:rPr>
          <w:i/>
        </w:rPr>
        <w:t>Anshei Knesses HaGedolah</w:t>
      </w:r>
      <w:r>
        <w:t xml:space="preserve"> gave it formal structure parallel to the </w:t>
      </w:r>
      <w:r>
        <w:rPr>
          <w:i/>
        </w:rPr>
        <w:t>korbanos</w:t>
      </w:r>
      <w:r>
        <w:t>.</w:t>
      </w:r>
    </w:p>
    <w:p>
      <w:r>
        <w:rPr>
          <w:b/>
          <w:color w:val="1E3A8A"/>
        </w:rPr>
        <w:t xml:space="preserve">11. </w:t>
      </w:r>
      <w:r>
        <w:rPr>
          <w:b/>
          <w:i/>
          <w:color w:val="1E3A8A"/>
        </w:rPr>
        <w:t>Tehillim</w:t>
      </w:r>
      <w:r>
        <w:rPr>
          <w:b/>
          <w:color w:val="1E3A8A"/>
        </w:rPr>
        <w:t xml:space="preserve"> 139:12 — </w:t>
      </w:r>
      <w:r>
        <w:rPr>
          <w:b/>
          <w:i/>
          <w:color w:val="1E3A8A"/>
        </w:rPr>
        <w:t>“</w:t>
      </w:r>
      <w:r>
        <w:rPr>
          <w:rFonts w:ascii="David" w:hAnsi="David"/>
          <w:b/>
          <w:i/>
          <w:color w:val="1E3A8A"/>
        </w:rPr>
        <w:t>ולילה כיום יאיר; כחשכה כאורה</w:t>
      </w:r>
      <w:r>
        <w:rPr>
          <w:b/>
          <w:i/>
          <w:color w:val="1E3A8A"/>
        </w:rPr>
        <w:t>.”</w:t>
      </w:r>
      <w:r>
        <w:t xml:space="preserve"> </w:t>
      </w:r>
      <w:r>
        <w:t xml:space="preserve">— </w:t>
      </w:r>
      <w:r>
        <w:rPr>
          <w:i/>
        </w:rPr>
        <w:t>David HaMelech</w:t>
      </w:r>
      <w:r>
        <w:t xml:space="preserve">’s declaration that before </w:t>
      </w:r>
      <w:r>
        <w:rPr>
          <w:i/>
        </w:rPr>
        <w:t>HaKadosh Baruch Hu</w:t>
      </w:r>
      <w:r>
        <w:t xml:space="preserve"> there is no distinction between night and day. Read by the </w:t>
      </w:r>
      <w:r>
        <w:rPr>
          <w:i/>
        </w:rPr>
        <w:t>Tif’eres Banim</w:t>
      </w:r>
      <w:r>
        <w:t xml:space="preserve"> as a vision of the future state — </w:t>
      </w:r>
      <w:r>
        <w:rPr>
          <w:i/>
        </w:rPr>
        <w:t>le’asid la’vo</w:t>
      </w:r>
      <w:r>
        <w:t xml:space="preserve"> the </w:t>
      </w:r>
      <w:r>
        <w:rPr>
          <w:i/>
        </w:rPr>
        <w:t>chiluk</w:t>
      </w:r>
      <w:r>
        <w:t xml:space="preserve"> (</w:t>
      </w:r>
      <w:r>
        <w:rPr>
          <w:rFonts w:ascii="David" w:hAnsi="David"/>
        </w:rPr>
        <w:t>חילוק</w:t>
      </w:r>
      <w:r>
        <w:t xml:space="preserve">) between day and night dissolves, and with it the </w:t>
      </w:r>
      <w:r>
        <w:rPr>
          <w:i/>
        </w:rPr>
        <w:t>metzius</w:t>
      </w:r>
      <w:r>
        <w:t xml:space="preserve"> of an evening </w:t>
      </w:r>
      <w:r>
        <w:rPr>
          <w:i/>
        </w:rPr>
        <w:t>korban</w:t>
      </w:r>
      <w:r>
        <w:t>.</w:t>
      </w:r>
    </w:p>
    <w:p>
      <w:r>
        <w:rPr>
          <w:b/>
          <w:color w:val="1E3A8A"/>
        </w:rPr>
        <w:t xml:space="preserve">12. </w:t>
      </w:r>
      <w:r>
        <w:rPr>
          <w:b/>
          <w:i/>
          <w:color w:val="1E3A8A"/>
        </w:rPr>
        <w:t>Yeshayahu</w:t>
      </w:r>
      <w:r>
        <w:rPr>
          <w:b/>
          <w:color w:val="1E3A8A"/>
        </w:rPr>
        <w:t xml:space="preserve"> 60:19–20 — </w:t>
      </w:r>
      <w:r>
        <w:rPr>
          <w:b/>
          <w:i/>
          <w:color w:val="1E3A8A"/>
        </w:rPr>
        <w:t>“</w:t>
      </w:r>
      <w:r>
        <w:rPr>
          <w:rFonts w:ascii="David" w:hAnsi="David"/>
          <w:b/>
          <w:i/>
          <w:color w:val="1E3A8A"/>
        </w:rPr>
        <w:t>לא יבוא עוד שמשך</w:t>
      </w:r>
      <w:r>
        <w:rPr>
          <w:b/>
          <w:i/>
          <w:color w:val="1E3A8A"/>
        </w:rPr>
        <w:t>”</w:t>
      </w:r>
      <w:r>
        <w:rPr>
          <w:b/>
          <w:color w:val="1E3A8A"/>
        </w:rPr>
        <w:t xml:space="preserve">; cf. </w:t>
      </w:r>
      <w:r>
        <w:rPr>
          <w:b/>
          <w:i/>
          <w:color w:val="1E3A8A"/>
        </w:rPr>
        <w:t>Yeshayahu</w:t>
      </w:r>
      <w:r>
        <w:rPr>
          <w:b/>
          <w:color w:val="1E3A8A"/>
        </w:rPr>
        <w:t xml:space="preserve"> 2:2–3 — </w:t>
      </w:r>
      <w:r>
        <w:rPr>
          <w:b/>
          <w:i/>
          <w:color w:val="1E3A8A"/>
        </w:rPr>
        <w:t>“</w:t>
      </w:r>
      <w:r>
        <w:rPr>
          <w:rFonts w:ascii="David" w:hAnsi="David"/>
          <w:b/>
          <w:i/>
          <w:color w:val="1E3A8A"/>
        </w:rPr>
        <w:t>ונהרו אליו כל הגוים</w:t>
      </w:r>
      <w:r>
        <w:rPr>
          <w:b/>
          <w:i/>
          <w:color w:val="1E3A8A"/>
        </w:rPr>
        <w:t>.”</w:t>
      </w:r>
      <w:r>
        <w:t xml:space="preserve"> </w:t>
      </w:r>
      <w:r>
        <w:t xml:space="preserve">— Two </w:t>
      </w:r>
      <w:r>
        <w:rPr>
          <w:i/>
        </w:rPr>
        <w:t>nevu’os</w:t>
      </w:r>
      <w:r>
        <w:t xml:space="preserve"> (</w:t>
      </w:r>
      <w:r>
        <w:rPr>
          <w:rFonts w:ascii="David" w:hAnsi="David"/>
        </w:rPr>
        <w:t>נבואות</w:t>
      </w:r>
      <w:r>
        <w:t xml:space="preserve">) of the future </w:t>
      </w:r>
      <w:r>
        <w:rPr>
          <w:i/>
        </w:rPr>
        <w:t>geulah</w:t>
      </w:r>
      <w:r>
        <w:t xml:space="preserve">. </w:t>
      </w:r>
      <w:r>
        <w:rPr>
          <w:i/>
        </w:rPr>
        <w:t>Yeshayahu</w:t>
      </w:r>
      <w:r>
        <w:t xml:space="preserve"> 60 describes the unending light of the </w:t>
      </w:r>
      <w:r>
        <w:rPr>
          <w:i/>
        </w:rPr>
        <w:t>or ha-ganuz</w:t>
      </w:r>
      <w:r>
        <w:t xml:space="preserve"> (</w:t>
      </w:r>
      <w:r>
        <w:rPr>
          <w:rFonts w:ascii="David" w:hAnsi="David"/>
        </w:rPr>
        <w:t>אור הגנוז</w:t>
      </w:r>
      <w:r>
        <w:t xml:space="preserve">) replacing the natural sun and moon — textual support for the </w:t>
      </w:r>
      <w:r>
        <w:rPr>
          <w:i/>
        </w:rPr>
        <w:t>Tif’eres Banim</w:t>
      </w:r>
      <w:r>
        <w:t xml:space="preserve">’s reading. </w:t>
      </w:r>
      <w:r>
        <w:rPr>
          <w:i/>
        </w:rPr>
        <w:t>Yeshayahu</w:t>
      </w:r>
      <w:r>
        <w:t xml:space="preserve"> 2 — </w:t>
      </w:r>
      <w:r>
        <w:rPr>
          <w:i/>
        </w:rPr>
        <w:t>all the nations shall stream</w:t>
      </w:r>
      <w:r>
        <w:t xml:space="preserve"> — is the textual support for the </w:t>
      </w:r>
      <w:r>
        <w:rPr>
          <w:i/>
        </w:rPr>
        <w:t>Maharam Schick</w:t>
      </w:r>
      <w:r>
        <w:t xml:space="preserve">’s reading of the universal </w:t>
      </w:r>
      <w:r>
        <w:rPr>
          <w:i/>
        </w:rPr>
        <w:t>tikkun</w:t>
      </w:r>
      <w:r>
        <w:t xml:space="preserve"> of </w:t>
      </w:r>
      <w:r>
        <w:rPr>
          <w:i/>
        </w:rPr>
        <w:t>zera Avraham</w:t>
      </w:r>
      <w:r>
        <w:t>.</w:t>
      </w:r>
    </w:p>
    <w:p>
      <w:r>
        <w:rPr>
          <w:b/>
          <w:color w:val="1E3A8A"/>
        </w:rPr>
        <w:t xml:space="preserve">13. </w:t>
      </w:r>
      <w:r>
        <w:rPr>
          <w:b/>
          <w:i/>
          <w:color w:val="1E3A8A"/>
        </w:rPr>
        <w:t>Bereshis</w:t>
      </w:r>
      <w:r>
        <w:rPr>
          <w:b/>
          <w:color w:val="1E3A8A"/>
        </w:rPr>
        <w:t xml:space="preserve"> 18:22 — </w:t>
      </w:r>
      <w:r>
        <w:rPr>
          <w:b/>
          <w:i/>
          <w:color w:val="1E3A8A"/>
        </w:rPr>
        <w:t>“</w:t>
      </w:r>
      <w:r>
        <w:rPr>
          <w:rFonts w:ascii="David" w:hAnsi="David"/>
          <w:b/>
          <w:i/>
          <w:color w:val="1E3A8A"/>
        </w:rPr>
        <w:t>ויהי עמד לפני ה'</w:t>
      </w:r>
      <w:r>
        <w:rPr>
          <w:b/>
          <w:i/>
          <w:color w:val="1E3A8A"/>
        </w:rPr>
        <w:t>”</w:t>
      </w:r>
      <w:r>
        <w:rPr>
          <w:b/>
          <w:color w:val="1E3A8A"/>
        </w:rPr>
        <w:t xml:space="preserve">; </w:t>
      </w:r>
      <w:r>
        <w:rPr>
          <w:b/>
          <w:i/>
          <w:color w:val="1E3A8A"/>
        </w:rPr>
        <w:t>Rashi</w:t>
      </w:r>
      <w:r>
        <w:rPr>
          <w:b/>
          <w:color w:val="1E3A8A"/>
        </w:rPr>
        <w:t xml:space="preserve">: </w:t>
      </w:r>
      <w:r>
        <w:rPr>
          <w:b/>
          <w:i/>
          <w:color w:val="1E3A8A"/>
        </w:rPr>
        <w:t>“</w:t>
      </w:r>
      <w:r>
        <w:rPr>
          <w:rFonts w:ascii="David" w:hAnsi="David"/>
          <w:b/>
          <w:i/>
          <w:color w:val="1E3A8A"/>
        </w:rPr>
        <w:t>אין עמידה אלא תפילה</w:t>
      </w:r>
      <w:r>
        <w:rPr>
          <w:b/>
          <w:i/>
          <w:color w:val="1E3A8A"/>
        </w:rPr>
        <w:t>”</w:t>
      </w:r>
      <w:r>
        <w:rPr>
          <w:b/>
          <w:color w:val="1E3A8A"/>
        </w:rPr>
        <w:t xml:space="preserve">; cf. </w:t>
      </w:r>
      <w:r>
        <w:rPr>
          <w:b/>
          <w:i/>
          <w:color w:val="1E3A8A"/>
        </w:rPr>
        <w:t>Sforno</w:t>
      </w:r>
      <w:r>
        <w:rPr>
          <w:b/>
          <w:color w:val="1E3A8A"/>
        </w:rPr>
        <w:t>.</w:t>
      </w:r>
      <w:r>
        <w:t xml:space="preserve"> </w:t>
      </w:r>
      <w:r>
        <w:t xml:space="preserve">— </w:t>
      </w:r>
      <w:r>
        <w:rPr>
          <w:i/>
        </w:rPr>
        <w:t>Avraham</w:t>
      </w:r>
      <w:r>
        <w:t xml:space="preserve">’s </w:t>
      </w:r>
      <w:r>
        <w:rPr>
          <w:i/>
        </w:rPr>
        <w:t>tefillah</w:t>
      </w:r>
      <w:r>
        <w:t xml:space="preserve"> for </w:t>
      </w:r>
      <w:r>
        <w:rPr>
          <w:i/>
        </w:rPr>
        <w:t>Sedom</w:t>
      </w:r>
      <w:r>
        <w:t xml:space="preserve"> (</w:t>
      </w:r>
      <w:r>
        <w:rPr>
          <w:rFonts w:ascii="David" w:hAnsi="David"/>
        </w:rPr>
        <w:t>סדום</w:t>
      </w:r>
      <w:r>
        <w:t xml:space="preserve">) is described with the participial </w:t>
      </w:r>
      <w:r>
        <w:rPr>
          <w:i/>
        </w:rPr>
        <w:t>“</w:t>
      </w:r>
      <w:r>
        <w:rPr>
          <w:rFonts w:ascii="David" w:hAnsi="David"/>
          <w:i/>
        </w:rPr>
        <w:t>עמד</w:t>
      </w:r>
      <w:r>
        <w:rPr>
          <w:i/>
        </w:rPr>
        <w:t>”</w:t>
      </w:r>
      <w:r>
        <w:t xml:space="preserve"> — </w:t>
      </w:r>
      <w:r>
        <w:rPr>
          <w:i/>
        </w:rPr>
        <w:t>standing</w:t>
      </w:r>
      <w:r>
        <w:t xml:space="preserve">, in continuous present. </w:t>
      </w:r>
      <w:r>
        <w:rPr>
          <w:i/>
        </w:rPr>
        <w:t>Rashi</w:t>
      </w:r>
      <w:r>
        <w:t xml:space="preserve"> identifies this as the </w:t>
      </w:r>
      <w:r>
        <w:rPr>
          <w:i/>
        </w:rPr>
        <w:t>mekor</w:t>
      </w:r>
      <w:r>
        <w:t xml:space="preserve"> (</w:t>
      </w:r>
      <w:r>
        <w:rPr>
          <w:rFonts w:ascii="David" w:hAnsi="David"/>
        </w:rPr>
        <w:t>מקור</w:t>
      </w:r>
      <w:r>
        <w:t xml:space="preserve">) for </w:t>
      </w:r>
      <w:r>
        <w:rPr>
          <w:i/>
        </w:rPr>
        <w:t>tefillas Shacharis</w:t>
      </w:r>
      <w:r>
        <w:t xml:space="preserve">. The </w:t>
      </w:r>
      <w:r>
        <w:rPr>
          <w:i/>
        </w:rPr>
        <w:t>Sforno</w:t>
      </w:r>
      <w:r>
        <w:t xml:space="preserve"> and other </w:t>
      </w:r>
      <w:r>
        <w:rPr>
          <w:i/>
        </w:rPr>
        <w:t>Rishonim</w:t>
      </w:r>
      <w:r>
        <w:t xml:space="preserve"> note that the verbal form chosen for </w:t>
      </w:r>
      <w:r>
        <w:rPr>
          <w:i/>
        </w:rPr>
        <w:t>Avraham</w:t>
      </w:r>
      <w:r>
        <w:t xml:space="preserve">’s </w:t>
      </w:r>
      <w:r>
        <w:rPr>
          <w:i/>
        </w:rPr>
        <w:t>tefillah</w:t>
      </w:r>
      <w:r>
        <w:t xml:space="preserve"> differs from those used for </w:t>
      </w:r>
      <w:r>
        <w:rPr>
          <w:i/>
        </w:rPr>
        <w:t>Yitzchak</w:t>
      </w:r>
      <w:r>
        <w:t xml:space="preserve"> and </w:t>
      </w:r>
      <w:r>
        <w:rPr>
          <w:i/>
        </w:rPr>
        <w:t>Yaakov</w:t>
      </w:r>
      <w:r>
        <w:t xml:space="preserve"> — eternal present versus narrative past — supporting the </w:t>
      </w:r>
      <w:r>
        <w:rPr>
          <w:i/>
        </w:rPr>
        <w:t>Tif’eres Banim</w:t>
      </w:r>
      <w:r>
        <w:t>’s reading.</w:t>
      </w:r>
    </w:p>
    <w:p>
      <w:r>
        <w:rPr>
          <w:b/>
          <w:color w:val="1E3A8A"/>
        </w:rPr>
        <w:t xml:space="preserve">14. </w:t>
      </w:r>
      <w:r>
        <w:rPr>
          <w:b/>
          <w:i/>
          <w:color w:val="1E3A8A"/>
        </w:rPr>
        <w:t>Bereshis</w:t>
      </w:r>
      <w:r>
        <w:rPr>
          <w:b/>
          <w:color w:val="1E3A8A"/>
        </w:rPr>
        <w:t xml:space="preserve"> 24:63 — </w:t>
      </w:r>
      <w:r>
        <w:rPr>
          <w:b/>
          <w:i/>
          <w:color w:val="1E3A8A"/>
        </w:rPr>
        <w:t>“</w:t>
      </w:r>
      <w:r>
        <w:rPr>
          <w:rFonts w:ascii="David" w:hAnsi="David"/>
          <w:b/>
          <w:i/>
          <w:color w:val="1E3A8A"/>
        </w:rPr>
        <w:t>ויצא יצחק לשוח בשדה לפנות ערב</w:t>
      </w:r>
      <w:r>
        <w:rPr>
          <w:b/>
          <w:i/>
          <w:color w:val="1E3A8A"/>
        </w:rPr>
        <w:t>.”</w:t>
      </w:r>
      <w:r>
        <w:t xml:space="preserve"> </w:t>
      </w:r>
      <w:r>
        <w:t xml:space="preserve">— The </w:t>
      </w:r>
      <w:r>
        <w:rPr>
          <w:i/>
        </w:rPr>
        <w:t>pasuk</w:t>
      </w:r>
      <w:r>
        <w:t xml:space="preserve"> describing </w:t>
      </w:r>
      <w:r>
        <w:rPr>
          <w:i/>
        </w:rPr>
        <w:t>Yitzchak</w:t>
      </w:r>
      <w:r>
        <w:t xml:space="preserve">’s prayer at </w:t>
      </w:r>
      <w:r>
        <w:rPr>
          <w:i/>
        </w:rPr>
        <w:t>Minchah</w:t>
      </w:r>
      <w:r>
        <w:t xml:space="preserve"> time (</w:t>
      </w:r>
      <w:r>
        <w:rPr>
          <w:i/>
        </w:rPr>
        <w:t>“</w:t>
      </w:r>
      <w:r>
        <w:rPr>
          <w:rFonts w:ascii="David" w:hAnsi="David"/>
          <w:i/>
        </w:rPr>
        <w:t>לפנות ערב</w:t>
      </w:r>
      <w:r>
        <w:rPr>
          <w:i/>
        </w:rPr>
        <w:t>”</w:t>
      </w:r>
      <w:r>
        <w:t xml:space="preserve">) — the </w:t>
      </w:r>
      <w:r>
        <w:rPr>
          <w:i/>
        </w:rPr>
        <w:t>mekor</w:t>
      </w:r>
      <w:r>
        <w:t xml:space="preserve"> for </w:t>
      </w:r>
      <w:r>
        <w:rPr>
          <w:i/>
        </w:rPr>
        <w:t>tefillas Minchah</w:t>
      </w:r>
      <w:r>
        <w:t xml:space="preserve"> as instituted by </w:t>
      </w:r>
      <w:r>
        <w:rPr>
          <w:i/>
        </w:rPr>
        <w:t>Yitzchak Avinu</w:t>
      </w:r>
      <w:r>
        <w:t xml:space="preserve">. The verbal form </w:t>
      </w:r>
      <w:r>
        <w:rPr>
          <w:i/>
        </w:rPr>
        <w:t>“</w:t>
      </w:r>
      <w:r>
        <w:rPr>
          <w:rFonts w:ascii="David" w:hAnsi="David"/>
          <w:i/>
        </w:rPr>
        <w:t>ויצא</w:t>
      </w:r>
      <w:r>
        <w:rPr>
          <w:i/>
        </w:rPr>
        <w:t>”</w:t>
      </w:r>
      <w:r>
        <w:t xml:space="preserve"> is </w:t>
      </w:r>
      <w:r>
        <w:rPr>
          <w:i/>
        </w:rPr>
        <w:t>vav ha-hipuch</w:t>
      </w:r>
      <w:r>
        <w:t xml:space="preserve"> narrative past.</w:t>
      </w:r>
    </w:p>
    <w:p>
      <w:r>
        <w:rPr>
          <w:b/>
          <w:color w:val="1E3A8A"/>
        </w:rPr>
        <w:t xml:space="preserve">15. </w:t>
      </w:r>
      <w:r>
        <w:rPr>
          <w:b/>
          <w:i/>
          <w:color w:val="1E3A8A"/>
        </w:rPr>
        <w:t>Bereshis</w:t>
      </w:r>
      <w:r>
        <w:rPr>
          <w:b/>
          <w:color w:val="1E3A8A"/>
        </w:rPr>
        <w:t xml:space="preserve"> 28:11 — </w:t>
      </w:r>
      <w:r>
        <w:rPr>
          <w:b/>
          <w:i/>
          <w:color w:val="1E3A8A"/>
        </w:rPr>
        <w:t>“</w:t>
      </w:r>
      <w:r>
        <w:rPr>
          <w:rFonts w:ascii="David" w:hAnsi="David"/>
          <w:b/>
          <w:i/>
          <w:color w:val="1E3A8A"/>
        </w:rPr>
        <w:t>ויפגע במקום, וילן שם</w:t>
      </w:r>
      <w:r>
        <w:rPr>
          <w:b/>
          <w:i/>
          <w:color w:val="1E3A8A"/>
        </w:rPr>
        <w:t>.”</w:t>
      </w:r>
      <w:r>
        <w:t xml:space="preserve"> </w:t>
      </w:r>
      <w:r>
        <w:t xml:space="preserve">— The </w:t>
      </w:r>
      <w:r>
        <w:rPr>
          <w:i/>
        </w:rPr>
        <w:t>pasuk</w:t>
      </w:r>
      <w:r>
        <w:t xml:space="preserve"> describing </w:t>
      </w:r>
      <w:r>
        <w:rPr>
          <w:i/>
        </w:rPr>
        <w:t>Yaakov</w:t>
      </w:r>
      <w:r>
        <w:t xml:space="preserve">’s prayer on the way to Charan — the </w:t>
      </w:r>
      <w:r>
        <w:rPr>
          <w:i/>
        </w:rPr>
        <w:t>mekor</w:t>
      </w:r>
      <w:r>
        <w:t xml:space="preserve"> for </w:t>
      </w:r>
      <w:r>
        <w:rPr>
          <w:i/>
        </w:rPr>
        <w:t>tefillas Ma’ariv</w:t>
      </w:r>
      <w:r>
        <w:t xml:space="preserve"> as instituted by </w:t>
      </w:r>
      <w:r>
        <w:rPr>
          <w:i/>
        </w:rPr>
        <w:t>Yaakov Avinu</w:t>
      </w:r>
      <w:r>
        <w:t xml:space="preserve">. The form </w:t>
      </w:r>
      <w:r>
        <w:rPr>
          <w:i/>
        </w:rPr>
        <w:t>“</w:t>
      </w:r>
      <w:r>
        <w:rPr>
          <w:rFonts w:ascii="David" w:hAnsi="David"/>
          <w:i/>
        </w:rPr>
        <w:t>ויפגע</w:t>
      </w:r>
      <w:r>
        <w:rPr>
          <w:i/>
        </w:rPr>
        <w:t>”</w:t>
      </w:r>
      <w:r>
        <w:t xml:space="preserve"> is again narrative past, completing the grammatical contrast that supports the </w:t>
      </w:r>
      <w:r>
        <w:rPr>
          <w:i/>
        </w:rPr>
        <w:t>Tif’eres Banim</w:t>
      </w:r>
      <w:r>
        <w:t>’s reading.</w:t>
      </w:r>
    </w:p>
    <w:p>
      <w:r>
        <w:rPr>
          <w:b/>
          <w:color w:val="1E3A8A"/>
        </w:rPr>
        <w:t xml:space="preserve">16. </w:t>
      </w:r>
      <w:r>
        <w:rPr>
          <w:b/>
          <w:i/>
          <w:color w:val="1E3A8A"/>
        </w:rPr>
        <w:t>Hasagos HaRa’avad</w:t>
      </w:r>
      <w:r>
        <w:rPr>
          <w:b/>
          <w:color w:val="1E3A8A"/>
        </w:rPr>
        <w:t xml:space="preserve"> on </w:t>
      </w:r>
      <w:r>
        <w:rPr>
          <w:b/>
          <w:i/>
          <w:color w:val="1E3A8A"/>
        </w:rPr>
        <w:t>Rambam</w:t>
      </w:r>
      <w:r>
        <w:rPr>
          <w:b/>
          <w:color w:val="1E3A8A"/>
        </w:rPr>
        <w:t xml:space="preserve"> — whether nature changes </w:t>
      </w:r>
      <w:r>
        <w:rPr>
          <w:b/>
          <w:i/>
          <w:color w:val="1E3A8A"/>
        </w:rPr>
        <w:t>le’asid la’vo</w:t>
      </w:r>
      <w:r>
        <w:rPr>
          <w:b/>
          <w:color w:val="1E3A8A"/>
        </w:rPr>
        <w:t>.</w:t>
      </w:r>
      <w:r>
        <w:t xml:space="preserve"> </w:t>
      </w:r>
      <w:r>
        <w:t>— Rabbi Avraham ben David of Posquières (</w:t>
      </w:r>
      <w:r>
        <w:rPr>
          <w:i/>
        </w:rPr>
        <w:t>Ra’avad</w:t>
      </w:r>
      <w:r>
        <w:t xml:space="preserve">, c. 1125–1198), in his </w:t>
      </w:r>
      <w:r>
        <w:rPr>
          <w:i/>
        </w:rPr>
        <w:t>hasagos</w:t>
      </w:r>
      <w:r>
        <w:t xml:space="preserve"> on the </w:t>
      </w:r>
      <w:r>
        <w:rPr>
          <w:i/>
        </w:rPr>
        <w:t>Mishneh Torah</w:t>
      </w:r>
      <w:r>
        <w:t xml:space="preserve">, takes positions across several </w:t>
      </w:r>
      <w:r>
        <w:rPr>
          <w:i/>
        </w:rPr>
        <w:t>sugyos</w:t>
      </w:r>
      <w:r>
        <w:t xml:space="preserve"> on the relationship between the </w:t>
      </w:r>
      <w:r>
        <w:rPr>
          <w:i/>
        </w:rPr>
        <w:t>Torah</w:t>
      </w:r>
      <w:r>
        <w:t xml:space="preserve">’s eternal stability and the natural world’s potential for transformation in the messianic era. The </w:t>
      </w:r>
      <w:r>
        <w:rPr>
          <w:i/>
        </w:rPr>
        <w:t>Rambam</w:t>
      </w:r>
      <w:r>
        <w:t xml:space="preserve">’s general view is that nature does not change; the </w:t>
      </w:r>
      <w:r>
        <w:rPr>
          <w:i/>
        </w:rPr>
        <w:t>Ra’avad</w:t>
      </w:r>
      <w:r>
        <w:t xml:space="preserve"> and many </w:t>
      </w:r>
      <w:r>
        <w:rPr>
          <w:i/>
        </w:rPr>
        <w:t>mekubalim</w:t>
      </w:r>
      <w:r>
        <w:t xml:space="preserve"> hold that nature itself transforms. Both positions accommodate the </w:t>
      </w:r>
      <w:r>
        <w:rPr>
          <w:i/>
        </w:rPr>
        <w:t>Tif’eres Banim</w:t>
      </w:r>
      <w:r>
        <w:t xml:space="preserve">’s </w:t>
      </w:r>
      <w:r>
        <w:rPr>
          <w:i/>
        </w:rPr>
        <w:t>chiddush</w:t>
      </w:r>
      <w:r>
        <w:t xml:space="preserve"> within the principle of </w:t>
      </w:r>
      <w:r>
        <w:rPr>
          <w:i/>
        </w:rPr>
        <w:t>“</w:t>
      </w:r>
      <w:r>
        <w:rPr>
          <w:rFonts w:ascii="David" w:hAnsi="David"/>
          <w:i/>
        </w:rPr>
        <w:t>לא תשתנה התורה</w:t>
      </w:r>
      <w:r>
        <w:rPr>
          <w:i/>
        </w:rPr>
        <w:t>.”</w:t>
      </w:r>
    </w:p>
    <w:p>
      <w:r>
        <w:rPr>
          <w:b/>
          <w:color w:val="1E3A8A"/>
        </w:rPr>
        <w:t xml:space="preserve">17. </w:t>
      </w:r>
    </w:p>
    <w:p>
      <w:pPr>
        <w:ind w:left="432"/>
      </w:pPr>
      <w:r>
        <w:rPr>
          <w:b/>
          <w:color w:val="D4A017"/>
          <w:sz w:val="18"/>
        </w:rPr>
        <w:t xml:space="preserve">[Note] </w:t>
      </w:r>
      <w:r>
        <w:rPr>
          <w:i/>
          <w:color w:val="5A4B1A"/>
          <w:sz w:val="18"/>
        </w:rPr>
        <w:t>Ramban</w:t>
      </w:r>
      <w:r>
        <w:rPr>
          <w:color w:val="5A4B1A"/>
          <w:sz w:val="18"/>
        </w:rPr>
        <w:t xml:space="preserve"> on the future </w:t>
      </w:r>
      <w:r>
        <w:rPr>
          <w:i/>
          <w:color w:val="5A4B1A"/>
          <w:sz w:val="18"/>
        </w:rPr>
        <w:t>kashrus</w:t>
      </w:r>
      <w:r>
        <w:rPr>
          <w:color w:val="5A4B1A"/>
          <w:sz w:val="18"/>
        </w:rPr>
        <w:t xml:space="preserve"> of the </w:t>
      </w:r>
      <w:r>
        <w:rPr>
          <w:i/>
          <w:color w:val="5A4B1A"/>
          <w:sz w:val="18"/>
        </w:rPr>
        <w:t>chazir</w:t>
      </w:r>
      <w:r>
        <w:rPr>
          <w:color w:val="5A4B1A"/>
          <w:sz w:val="18"/>
        </w:rPr>
        <w:t xml:space="preserve"> (</w:t>
      </w:r>
      <w:r>
        <w:rPr>
          <w:rFonts w:ascii="David" w:hAnsi="David"/>
          <w:color w:val="5A4B1A"/>
          <w:sz w:val="18"/>
        </w:rPr>
        <w:t>חזיר</w:t>
      </w:r>
      <w:r>
        <w:rPr>
          <w:color w:val="5A4B1A"/>
          <w:sz w:val="18"/>
        </w:rPr>
        <w:t xml:space="preserve">) — the well-known </w:t>
      </w:r>
      <w:r>
        <w:rPr>
          <w:i/>
          <w:color w:val="5A4B1A"/>
          <w:sz w:val="18"/>
        </w:rPr>
        <w:t>drasha</w:t>
      </w:r>
      <w:r>
        <w:rPr>
          <w:color w:val="5A4B1A"/>
          <w:sz w:val="18"/>
        </w:rPr>
        <w:t xml:space="preserve"> </w:t>
      </w:r>
      <w:r>
        <w:rPr>
          <w:i/>
          <w:color w:val="5A4B1A"/>
          <w:sz w:val="18"/>
        </w:rPr>
        <w:t>“</w:t>
      </w:r>
      <w:r>
        <w:rPr>
          <w:rFonts w:ascii="David" w:hAnsi="David"/>
          <w:i/>
          <w:color w:val="5A4B1A"/>
          <w:sz w:val="18"/>
        </w:rPr>
        <w:t>למה נקרא שמו חזיר? שעתיד הקדוש ברוך הוא להחזירו לישראל</w:t>
      </w:r>
      <w:r>
        <w:rPr>
          <w:i/>
          <w:color w:val="5A4B1A"/>
          <w:sz w:val="18"/>
        </w:rPr>
        <w:t>”</w:t>
      </w:r>
      <w:r>
        <w:rPr>
          <w:color w:val="5A4B1A"/>
          <w:sz w:val="18"/>
        </w:rPr>
        <w:t xml:space="preserve">. The </w:t>
      </w:r>
      <w:r>
        <w:rPr>
          <w:i/>
          <w:color w:val="5A4B1A"/>
          <w:sz w:val="18"/>
        </w:rPr>
        <w:t>drasha</w:t>
      </w:r>
      <w:r>
        <w:rPr>
          <w:color w:val="5A4B1A"/>
          <w:sz w:val="18"/>
        </w:rPr>
        <w:t xml:space="preserve"> is widely cited in </w:t>
      </w:r>
      <w:r>
        <w:rPr>
          <w:i/>
          <w:color w:val="5A4B1A"/>
          <w:sz w:val="18"/>
        </w:rPr>
        <w:t>Ramban</w:t>
      </w:r>
      <w:r>
        <w:rPr>
          <w:color w:val="5A4B1A"/>
          <w:sz w:val="18"/>
        </w:rPr>
        <w:t xml:space="preserve">’s name in </w:t>
      </w:r>
      <w:r>
        <w:rPr>
          <w:i/>
          <w:color w:val="5A4B1A"/>
          <w:sz w:val="18"/>
        </w:rPr>
        <w:t>chassidishe</w:t>
      </w:r>
      <w:r>
        <w:rPr>
          <w:color w:val="5A4B1A"/>
          <w:sz w:val="18"/>
        </w:rPr>
        <w:t xml:space="preserve"> literature and appears in printed collections associated with him, though the precise textual location is not straightforward and parallel formulations are attributed also to </w:t>
      </w:r>
      <w:r>
        <w:rPr>
          <w:i/>
          <w:color w:val="5A4B1A"/>
          <w:sz w:val="18"/>
        </w:rPr>
        <w:t>Rabbeinu Bachye</w:t>
      </w:r>
      <w:r>
        <w:rPr>
          <w:color w:val="5A4B1A"/>
          <w:sz w:val="18"/>
        </w:rPr>
        <w:t xml:space="preserve"> (</w:t>
      </w:r>
      <w:r>
        <w:rPr>
          <w:rFonts w:ascii="David" w:hAnsi="David"/>
          <w:color w:val="5A4B1A"/>
          <w:sz w:val="18"/>
        </w:rPr>
        <w:t>רבינו בחיי</w:t>
      </w:r>
      <w:r>
        <w:rPr>
          <w:color w:val="5A4B1A"/>
          <w:sz w:val="18"/>
        </w:rPr>
        <w:t xml:space="preserve">) and to </w:t>
      </w:r>
      <w:r>
        <w:rPr>
          <w:i/>
          <w:color w:val="5A4B1A"/>
          <w:sz w:val="18"/>
        </w:rPr>
        <w:t>Midrashic</w:t>
      </w:r>
      <w:r>
        <w:rPr>
          <w:color w:val="5A4B1A"/>
          <w:sz w:val="18"/>
        </w:rPr>
        <w:t xml:space="preserve"> collections. The </w:t>
      </w:r>
      <w:r>
        <w:rPr>
          <w:i/>
          <w:color w:val="5A4B1A"/>
          <w:sz w:val="18"/>
        </w:rPr>
        <w:t>Ramban</w:t>
      </w:r>
      <w:r>
        <w:rPr>
          <w:color w:val="5A4B1A"/>
          <w:sz w:val="18"/>
        </w:rPr>
        <w:t xml:space="preserve">’s reading — that the pig itself will develop to satisfy the </w:t>
      </w:r>
      <w:r>
        <w:rPr>
          <w:i/>
          <w:color w:val="5A4B1A"/>
          <w:sz w:val="18"/>
        </w:rPr>
        <w:t>simanei kashrus</w:t>
      </w:r>
      <w:r>
        <w:rPr>
          <w:color w:val="5A4B1A"/>
          <w:sz w:val="18"/>
        </w:rPr>
        <w:t xml:space="preserve"> of </w:t>
      </w:r>
      <w:r>
        <w:rPr>
          <w:i/>
          <w:color w:val="5A4B1A"/>
          <w:sz w:val="18"/>
        </w:rPr>
        <w:t>maflis parsah u-ma’aleh gerah</w:t>
      </w:r>
      <w:r>
        <w:rPr>
          <w:color w:val="5A4B1A"/>
          <w:sz w:val="18"/>
        </w:rPr>
        <w:t xml:space="preserve">, while the </w:t>
      </w:r>
      <w:r>
        <w:rPr>
          <w:i/>
          <w:color w:val="5A4B1A"/>
          <w:sz w:val="18"/>
        </w:rPr>
        <w:t>Torah</w:t>
      </w:r>
      <w:r>
        <w:rPr>
          <w:color w:val="5A4B1A"/>
          <w:sz w:val="18"/>
        </w:rPr>
        <w:t xml:space="preserve">’s rules remain unchanged — is the structural parallel the </w:t>
      </w:r>
      <w:r>
        <w:rPr>
          <w:i/>
          <w:color w:val="5A4B1A"/>
          <w:sz w:val="18"/>
        </w:rPr>
        <w:t>Tif’eres Banim</w:t>
      </w:r>
      <w:r>
        <w:rPr>
          <w:color w:val="5A4B1A"/>
          <w:sz w:val="18"/>
        </w:rPr>
        <w:t xml:space="preserve"> invokes: nature changes, the </w:t>
      </w:r>
      <w:r>
        <w:rPr>
          <w:i/>
          <w:color w:val="5A4B1A"/>
          <w:sz w:val="18"/>
        </w:rPr>
        <w:t>Torah</w:t>
      </w:r>
      <w:r>
        <w:rPr>
          <w:color w:val="5A4B1A"/>
          <w:sz w:val="18"/>
        </w:rPr>
        <w:t xml:space="preserve"> does not.</w:t>
      </w:r>
    </w:p>
    <w:p>
      <w:r>
        <w:rPr>
          <w:b/>
          <w:color w:val="1E3A8A"/>
        </w:rPr>
        <w:t xml:space="preserve">18. </w:t>
      </w:r>
      <w:r>
        <w:rPr>
          <w:b/>
          <w:i/>
          <w:color w:val="1E3A8A"/>
        </w:rPr>
        <w:t>Rambam</w:t>
      </w:r>
      <w:r>
        <w:rPr>
          <w:b/>
          <w:color w:val="1E3A8A"/>
        </w:rPr>
        <w:t xml:space="preserve">, </w:t>
      </w:r>
      <w:r>
        <w:rPr>
          <w:b/>
          <w:i/>
          <w:color w:val="1E3A8A"/>
        </w:rPr>
        <w:t>Hilchos Temidin U-Musafin</w:t>
      </w:r>
      <w:r>
        <w:rPr>
          <w:b/>
          <w:color w:val="1E3A8A"/>
        </w:rPr>
        <w:t xml:space="preserve"> ch. 1; </w:t>
      </w:r>
      <w:r>
        <w:rPr>
          <w:b/>
          <w:i/>
          <w:color w:val="1E3A8A"/>
        </w:rPr>
        <w:t>Sefer HaMitzvos</w:t>
      </w:r>
      <w:r>
        <w:rPr>
          <w:b/>
          <w:color w:val="1E3A8A"/>
        </w:rPr>
        <w:t xml:space="preserve">, </w:t>
      </w:r>
      <w:r>
        <w:rPr>
          <w:b/>
          <w:i/>
          <w:color w:val="1E3A8A"/>
        </w:rPr>
        <w:t>Mitzvas Aseh</w:t>
      </w:r>
      <w:r>
        <w:rPr>
          <w:b/>
          <w:color w:val="1E3A8A"/>
        </w:rPr>
        <w:t xml:space="preserve"> 39.</w:t>
      </w:r>
      <w:r>
        <w:t xml:space="preserve"> </w:t>
      </w:r>
      <w:r>
        <w:t xml:space="preserve">— The </w:t>
      </w:r>
      <w:r>
        <w:rPr>
          <w:i/>
        </w:rPr>
        <w:t>Rambam</w:t>
      </w:r>
      <w:r>
        <w:t xml:space="preserve"> counts the daily </w:t>
      </w:r>
      <w:r>
        <w:rPr>
          <w:i/>
        </w:rPr>
        <w:t>korban tamid</w:t>
      </w:r>
      <w:r>
        <w:t xml:space="preserve"> as a single </w:t>
      </w:r>
      <w:r>
        <w:rPr>
          <w:i/>
        </w:rPr>
        <w:t>mitzvah</w:t>
      </w:r>
      <w:r>
        <w:t xml:space="preserve">, discharged twice each day. This is the structural support for the secondary reconciliation with </w:t>
      </w:r>
      <w:r>
        <w:rPr>
          <w:i/>
        </w:rPr>
        <w:t>“</w:t>
      </w:r>
      <w:r>
        <w:rPr>
          <w:rFonts w:ascii="David" w:hAnsi="David"/>
          <w:i/>
        </w:rPr>
        <w:t>לא תשתנה התורה</w:t>
      </w:r>
      <w:r>
        <w:rPr>
          <w:i/>
        </w:rPr>
        <w:t>”</w:t>
      </w:r>
      <w:r>
        <w:t xml:space="preserve">: in </w:t>
      </w:r>
      <w:r>
        <w:rPr>
          <w:i/>
        </w:rPr>
        <w:t>Bayis Shelishi</w:t>
      </w:r>
      <w:r>
        <w:t xml:space="preserve">, the same one </w:t>
      </w:r>
      <w:r>
        <w:rPr>
          <w:i/>
        </w:rPr>
        <w:t>mitzvah</w:t>
      </w:r>
      <w:r>
        <w:t xml:space="preserve"> is discharged once instead of twice — the </w:t>
      </w:r>
      <w:r>
        <w:rPr>
          <w:i/>
        </w:rPr>
        <w:t>mitzvah</w:t>
      </w:r>
      <w:r>
        <w:t xml:space="preserve"> has not changed, only its frequency of execution.</w:t>
      </w:r>
    </w:p>
    <w:p>
      <w:r>
        <w:rPr>
          <w:b/>
          <w:color w:val="1E3A8A"/>
        </w:rPr>
        <w:t xml:space="preserve">19. </w:t>
      </w:r>
      <w:r>
        <w:rPr>
          <w:b/>
          <w:i/>
          <w:color w:val="1E3A8A"/>
        </w:rPr>
        <w:t>She’eilos u-Teshuvos Maharam Schick</w:t>
      </w:r>
      <w:r>
        <w:rPr>
          <w:b/>
          <w:color w:val="1E3A8A"/>
        </w:rPr>
        <w:t xml:space="preserve"> and his </w:t>
      </w:r>
      <w:r>
        <w:rPr>
          <w:b/>
          <w:i/>
          <w:color w:val="1E3A8A"/>
        </w:rPr>
        <w:t>drashos</w:t>
      </w:r>
      <w:r>
        <w:rPr>
          <w:b/>
          <w:color w:val="1E3A8A"/>
        </w:rPr>
        <w:t xml:space="preserve"> — </w:t>
      </w:r>
      <w:r>
        <w:rPr>
          <w:b/>
          <w:i/>
          <w:color w:val="1E3A8A"/>
        </w:rPr>
        <w:t>chiddush</w:t>
      </w:r>
      <w:r>
        <w:rPr>
          <w:b/>
          <w:color w:val="1E3A8A"/>
        </w:rPr>
        <w:t xml:space="preserve"> on </w:t>
      </w:r>
      <w:r>
        <w:rPr>
          <w:b/>
          <w:i/>
          <w:color w:val="1E3A8A"/>
        </w:rPr>
        <w:t>“</w:t>
      </w:r>
      <w:r>
        <w:rPr>
          <w:rFonts w:ascii="David" w:hAnsi="David"/>
          <w:b/>
          <w:i/>
          <w:color w:val="1E3A8A"/>
        </w:rPr>
        <w:t>מגן אברהם</w:t>
      </w:r>
      <w:r>
        <w:rPr>
          <w:b/>
          <w:i/>
          <w:color w:val="1E3A8A"/>
        </w:rPr>
        <w:t>”</w:t>
      </w:r>
      <w:r>
        <w:rPr>
          <w:b/>
          <w:color w:val="1E3A8A"/>
        </w:rPr>
        <w:t xml:space="preserve"> as the </w:t>
      </w:r>
      <w:r>
        <w:rPr>
          <w:b/>
          <w:i/>
          <w:color w:val="1E3A8A"/>
        </w:rPr>
        <w:t>chasimah</w:t>
      </w:r>
      <w:r>
        <w:rPr>
          <w:b/>
          <w:color w:val="1E3A8A"/>
        </w:rPr>
        <w:t xml:space="preserve"> on the </w:t>
      </w:r>
      <w:r>
        <w:rPr>
          <w:b/>
          <w:i/>
          <w:color w:val="1E3A8A"/>
        </w:rPr>
        <w:t>tikkun</w:t>
      </w:r>
      <w:r>
        <w:rPr>
          <w:b/>
          <w:color w:val="1E3A8A"/>
        </w:rPr>
        <w:t xml:space="preserve"> of all of </w:t>
      </w:r>
      <w:r>
        <w:rPr>
          <w:b/>
          <w:i/>
          <w:color w:val="1E3A8A"/>
        </w:rPr>
        <w:t>zera Avraham</w:t>
      </w:r>
      <w:r>
        <w:rPr>
          <w:b/>
          <w:color w:val="1E3A8A"/>
        </w:rPr>
        <w:t>.</w:t>
      </w:r>
      <w:r>
        <w:t xml:space="preserve"> </w:t>
      </w:r>
      <w:r>
        <w:t xml:space="preserve">— Rabbi Moshe Schick (1809–1879), foremost </w:t>
      </w:r>
      <w:r>
        <w:rPr>
          <w:i/>
        </w:rPr>
        <w:t>talmid</w:t>
      </w:r>
      <w:r>
        <w:t xml:space="preserve"> of the </w:t>
      </w:r>
      <w:r>
        <w:rPr>
          <w:i/>
        </w:rPr>
        <w:t>Chasam Sofer</w:t>
      </w:r>
      <w:r>
        <w:t xml:space="preserve"> and </w:t>
      </w:r>
      <w:r>
        <w:rPr>
          <w:i/>
        </w:rPr>
        <w:t>rosh yeshivah</w:t>
      </w:r>
      <w:r>
        <w:t xml:space="preserve"> in Huszt with a </w:t>
      </w:r>
      <w:r>
        <w:rPr>
          <w:i/>
        </w:rPr>
        <w:t>yeshiva</w:t>
      </w:r>
      <w:r>
        <w:t xml:space="preserve"> of eight hundred </w:t>
      </w:r>
      <w:r>
        <w:rPr>
          <w:i/>
        </w:rPr>
        <w:t>talmidim</w:t>
      </w:r>
      <w:r>
        <w:t xml:space="preserve">. In his </w:t>
      </w:r>
      <w:r>
        <w:rPr>
          <w:i/>
        </w:rPr>
        <w:t>drashos</w:t>
      </w:r>
      <w:r>
        <w:t xml:space="preserve"> and </w:t>
      </w:r>
      <w:r>
        <w:rPr>
          <w:i/>
        </w:rPr>
        <w:t>teshuvos</w:t>
      </w:r>
      <w:r>
        <w:t xml:space="preserve"> he develops the reading that the singular </w:t>
      </w:r>
      <w:r>
        <w:rPr>
          <w:i/>
        </w:rPr>
        <w:t>chasimah</w:t>
      </w:r>
      <w:r>
        <w:t xml:space="preserve"> </w:t>
      </w:r>
      <w:r>
        <w:rPr>
          <w:i/>
        </w:rPr>
        <w:t>“</w:t>
      </w:r>
      <w:r>
        <w:rPr>
          <w:rFonts w:ascii="David" w:hAnsi="David"/>
          <w:i/>
        </w:rPr>
        <w:t>מגן אברהם</w:t>
      </w:r>
      <w:r>
        <w:rPr>
          <w:i/>
        </w:rPr>
        <w:t>”</w:t>
      </w:r>
      <w:r>
        <w:t xml:space="preserve"> is not a contraction excluding </w:t>
      </w:r>
      <w:r>
        <w:rPr>
          <w:i/>
        </w:rPr>
        <w:t>Yishmael</w:t>
      </w:r>
      <w:r>
        <w:t xml:space="preserve"> and </w:t>
      </w:r>
      <w:r>
        <w:rPr>
          <w:i/>
        </w:rPr>
        <w:t>Eisav</w:t>
      </w:r>
      <w:r>
        <w:t xml:space="preserve"> but an inclusion: </w:t>
      </w:r>
      <w:r>
        <w:rPr>
          <w:i/>
        </w:rPr>
        <w:t>Avraham</w:t>
      </w:r>
      <w:r>
        <w:t xml:space="preserve"> as </w:t>
      </w:r>
      <w:r>
        <w:rPr>
          <w:i/>
        </w:rPr>
        <w:t>“</w:t>
      </w:r>
      <w:r>
        <w:rPr>
          <w:rFonts w:ascii="David" w:hAnsi="David"/>
          <w:i/>
        </w:rPr>
        <w:t>אב המון גוים</w:t>
      </w:r>
      <w:r>
        <w:rPr>
          <w:i/>
        </w:rPr>
        <w:t>”</w:t>
      </w:r>
      <w:r>
        <w:t xml:space="preserve">, with the promise of </w:t>
      </w:r>
      <w:r>
        <w:rPr>
          <w:i/>
        </w:rPr>
        <w:t>Hashem</w:t>
      </w:r>
      <w:r>
        <w:t xml:space="preserve">’s shielding extended over the whole </w:t>
      </w:r>
      <w:r>
        <w:rPr>
          <w:i/>
        </w:rPr>
        <w:t>zera</w:t>
      </w:r>
      <w:r>
        <w:t xml:space="preserve">. The reading interlocks with the </w:t>
      </w:r>
      <w:r>
        <w:rPr>
          <w:i/>
        </w:rPr>
        <w:t>Rambam</w:t>
      </w:r>
      <w:r>
        <w:t xml:space="preserve">’s long-arc framing of </w:t>
      </w:r>
      <w:r>
        <w:rPr>
          <w:i/>
        </w:rPr>
        <w:t>Yishu</w:t>
      </w:r>
      <w:r>
        <w:t xml:space="preserve"> and the founder of Islam.</w:t>
      </w:r>
    </w:p>
    <w:p>
      <w:r>
        <w:rPr>
          <w:b/>
          <w:color w:val="1E3A8A"/>
        </w:rPr>
        <w:t xml:space="preserve">20. </w:t>
      </w:r>
      <w:r>
        <w:rPr>
          <w:b/>
          <w:i/>
          <w:color w:val="1E3A8A"/>
        </w:rPr>
        <w:t>Rambam</w:t>
      </w:r>
      <w:r>
        <w:rPr>
          <w:b/>
          <w:color w:val="1E3A8A"/>
        </w:rPr>
        <w:t xml:space="preserve">, </w:t>
      </w:r>
      <w:r>
        <w:rPr>
          <w:b/>
          <w:i/>
          <w:color w:val="1E3A8A"/>
        </w:rPr>
        <w:t>Hilchos Avodah Zarah</w:t>
      </w:r>
      <w:r>
        <w:rPr>
          <w:b/>
          <w:color w:val="1E3A8A"/>
        </w:rPr>
        <w:t xml:space="preserve"> ch. 1 — </w:t>
      </w:r>
      <w:r>
        <w:rPr>
          <w:b/>
          <w:i/>
          <w:color w:val="1E3A8A"/>
        </w:rPr>
        <w:t>Avraham Avinu</w:t>
      </w:r>
      <w:r>
        <w:rPr>
          <w:b/>
          <w:color w:val="1E3A8A"/>
        </w:rPr>
        <w:t xml:space="preserve"> spreading the </w:t>
      </w:r>
      <w:r>
        <w:rPr>
          <w:b/>
          <w:i/>
          <w:color w:val="1E3A8A"/>
        </w:rPr>
        <w:t>emunah</w:t>
      </w:r>
      <w:r>
        <w:rPr>
          <w:b/>
          <w:color w:val="1E3A8A"/>
        </w:rPr>
        <w:t>.</w:t>
      </w:r>
      <w:r>
        <w:t xml:space="preserve"> </w:t>
      </w:r>
      <w:r>
        <w:t xml:space="preserve">— The </w:t>
      </w:r>
      <w:r>
        <w:rPr>
          <w:i/>
        </w:rPr>
        <w:t>Rambam</w:t>
      </w:r>
      <w:r>
        <w:t xml:space="preserve">’s opening </w:t>
      </w:r>
      <w:r>
        <w:rPr>
          <w:i/>
        </w:rPr>
        <w:t>perek</w:t>
      </w:r>
      <w:r>
        <w:t xml:space="preserve"> in </w:t>
      </w:r>
      <w:r>
        <w:rPr>
          <w:i/>
        </w:rPr>
        <w:t>Hilchos Avodah Zarah</w:t>
      </w:r>
      <w:r>
        <w:t xml:space="preserve"> is a brief history of </w:t>
      </w:r>
      <w:r>
        <w:rPr>
          <w:i/>
        </w:rPr>
        <w:t>emunah</w:t>
      </w:r>
      <w:r>
        <w:t xml:space="preserve">: humanity’s slide into idolatry, and </w:t>
      </w:r>
      <w:r>
        <w:rPr>
          <w:i/>
        </w:rPr>
        <w:t>Avraham</w:t>
      </w:r>
      <w:r>
        <w:t xml:space="preserve">’s solitary recognition of </w:t>
      </w:r>
      <w:r>
        <w:rPr>
          <w:i/>
        </w:rPr>
        <w:t>achdus ha-Bore</w:t>
      </w:r>
      <w:r>
        <w:t xml:space="preserve"> (</w:t>
      </w:r>
      <w:r>
        <w:rPr>
          <w:rFonts w:ascii="David" w:hAnsi="David"/>
        </w:rPr>
        <w:t>אחדות הבורא</w:t>
      </w:r>
      <w:r>
        <w:t xml:space="preserve">). The </w:t>
      </w:r>
      <w:r>
        <w:rPr>
          <w:i/>
        </w:rPr>
        <w:t>Rambam</w:t>
      </w:r>
      <w:r>
        <w:t xml:space="preserve"> describes </w:t>
      </w:r>
      <w:r>
        <w:rPr>
          <w:i/>
        </w:rPr>
        <w:t>Avraham</w:t>
      </w:r>
      <w:r>
        <w:t xml:space="preserve">’s indefatigable travel from town to town and family to family proclaiming </w:t>
      </w:r>
      <w:r>
        <w:rPr>
          <w:i/>
        </w:rPr>
        <w:t>emes</w:t>
      </w:r>
      <w:r>
        <w:t xml:space="preserve">, gathering followers, and seeding the future </w:t>
      </w:r>
      <w:r>
        <w:rPr>
          <w:i/>
        </w:rPr>
        <w:t>umah</w:t>
      </w:r>
      <w:r>
        <w:t xml:space="preserve"> (</w:t>
      </w:r>
      <w:r>
        <w:rPr>
          <w:rFonts w:ascii="David" w:hAnsi="David"/>
        </w:rPr>
        <w:t>אומה</w:t>
      </w:r>
      <w:r>
        <w:t xml:space="preserve">). This portrait stands behind the </w:t>
      </w:r>
      <w:r>
        <w:rPr>
          <w:i/>
        </w:rPr>
        <w:t>Maharam Schick</w:t>
      </w:r>
      <w:r>
        <w:t xml:space="preserve">’s emphasis that </w:t>
      </w:r>
      <w:r>
        <w:rPr>
          <w:i/>
        </w:rPr>
        <w:t>Avraham</w:t>
      </w:r>
      <w:r>
        <w:t>’s mission was universal, not parochial.</w:t>
      </w:r>
    </w:p>
    <w:p>
      <w:r>
        <w:rPr>
          <w:b/>
          <w:color w:val="1E3A8A"/>
        </w:rPr>
        <w:t xml:space="preserve">21. </w:t>
      </w:r>
    </w:p>
    <w:p>
      <w:pPr>
        <w:ind w:left="432"/>
      </w:pPr>
      <w:r>
        <w:rPr>
          <w:b/>
          <w:color w:val="D4A017"/>
          <w:sz w:val="18"/>
        </w:rPr>
        <w:t xml:space="preserve">[Note] </w:t>
      </w:r>
      <w:r>
        <w:rPr>
          <w:i/>
          <w:color w:val="5A4B1A"/>
          <w:sz w:val="18"/>
        </w:rPr>
        <w:t>Etz HaDa’as Tov</w:t>
      </w:r>
      <w:r>
        <w:rPr>
          <w:color w:val="5A4B1A"/>
          <w:sz w:val="18"/>
        </w:rPr>
        <w:t xml:space="preserve"> (Rabbi Chaim Vital, 1542–1620) at the close of </w:t>
      </w:r>
      <w:r>
        <w:rPr>
          <w:i/>
          <w:color w:val="5A4B1A"/>
          <w:sz w:val="18"/>
        </w:rPr>
        <w:t>Parshas Re’eh</w:t>
      </w:r>
      <w:r>
        <w:rPr>
          <w:color w:val="5A4B1A"/>
          <w:sz w:val="18"/>
        </w:rPr>
        <w:t xml:space="preserve">, drawing on the </w:t>
      </w:r>
      <w:r>
        <w:rPr>
          <w:i/>
          <w:color w:val="5A4B1A"/>
          <w:sz w:val="18"/>
        </w:rPr>
        <w:t>Arizal</w:t>
      </w:r>
      <w:r>
        <w:rPr>
          <w:color w:val="5A4B1A"/>
          <w:sz w:val="18"/>
        </w:rPr>
        <w:t xml:space="preserve"> — the kabbalistic </w:t>
      </w:r>
      <w:r>
        <w:rPr>
          <w:i/>
          <w:color w:val="5A4B1A"/>
          <w:sz w:val="18"/>
        </w:rPr>
        <w:t>mesorah</w:t>
      </w:r>
      <w:r>
        <w:rPr>
          <w:color w:val="5A4B1A"/>
          <w:sz w:val="18"/>
        </w:rPr>
        <w:t xml:space="preserve"> that identifies the founders of Christianity and Islam as spiritual </w:t>
      </w:r>
      <w:r>
        <w:rPr>
          <w:i/>
          <w:color w:val="5A4B1A"/>
          <w:sz w:val="18"/>
        </w:rPr>
        <w:t>gilgulim</w:t>
      </w:r>
      <w:r>
        <w:rPr>
          <w:color w:val="5A4B1A"/>
          <w:sz w:val="18"/>
        </w:rPr>
        <w:t xml:space="preserve"> of </w:t>
      </w:r>
      <w:r>
        <w:rPr>
          <w:i/>
          <w:color w:val="5A4B1A"/>
          <w:sz w:val="18"/>
        </w:rPr>
        <w:t>Eisav</w:t>
      </w:r>
      <w:r>
        <w:rPr>
          <w:color w:val="5A4B1A"/>
          <w:sz w:val="18"/>
        </w:rPr>
        <w:t xml:space="preserve"> and </w:t>
      </w:r>
      <w:r>
        <w:rPr>
          <w:i/>
          <w:color w:val="5A4B1A"/>
          <w:sz w:val="18"/>
        </w:rPr>
        <w:t>Yishmael</w:t>
      </w:r>
      <w:r>
        <w:rPr>
          <w:color w:val="5A4B1A"/>
          <w:sz w:val="18"/>
        </w:rPr>
        <w:t xml:space="preserve">. Rabbi Chaim Vital was the foremost </w:t>
      </w:r>
      <w:r>
        <w:rPr>
          <w:i/>
          <w:color w:val="5A4B1A"/>
          <w:sz w:val="18"/>
        </w:rPr>
        <w:t>talmid</w:t>
      </w:r>
      <w:r>
        <w:rPr>
          <w:color w:val="5A4B1A"/>
          <w:sz w:val="18"/>
        </w:rPr>
        <w:t xml:space="preserve"> of the </w:t>
      </w:r>
      <w:r>
        <w:rPr>
          <w:i/>
          <w:color w:val="5A4B1A"/>
          <w:sz w:val="18"/>
        </w:rPr>
        <w:t>Arizal</w:t>
      </w:r>
      <w:r>
        <w:rPr>
          <w:color w:val="5A4B1A"/>
          <w:sz w:val="18"/>
        </w:rPr>
        <w:t xml:space="preserve"> and the chief transmitter of his Kabbalah. The two names of the founder of Christianity and of </w:t>
      </w:r>
      <w:r>
        <w:rPr>
          <w:i/>
          <w:color w:val="5A4B1A"/>
          <w:sz w:val="18"/>
        </w:rPr>
        <w:t>Eisav</w:t>
      </w:r>
      <w:r>
        <w:rPr>
          <w:color w:val="5A4B1A"/>
          <w:sz w:val="18"/>
        </w:rPr>
        <w:t xml:space="preserve"> differ by only a single letter (</w:t>
      </w:r>
      <w:r>
        <w:rPr>
          <w:rFonts w:ascii="David" w:hAnsi="David"/>
          <w:color w:val="5A4B1A"/>
          <w:sz w:val="18"/>
        </w:rPr>
        <w:t>י</w:t>
      </w:r>
      <w:r>
        <w:rPr>
          <w:color w:val="5A4B1A"/>
          <w:sz w:val="18"/>
        </w:rPr>
        <w:t xml:space="preserve"> in place of </w:t>
      </w:r>
      <w:r>
        <w:rPr>
          <w:rFonts w:ascii="David" w:hAnsi="David"/>
          <w:color w:val="5A4B1A"/>
          <w:sz w:val="18"/>
        </w:rPr>
        <w:t>ע</w:t>
      </w:r>
      <w:r>
        <w:rPr>
          <w:color w:val="5A4B1A"/>
          <w:sz w:val="18"/>
        </w:rPr>
        <w:t xml:space="preserve">); the letter-play is a mnemonic pointer, not a proof, and the substantive tradition is the kabbalistic </w:t>
      </w:r>
      <w:r>
        <w:rPr>
          <w:i/>
          <w:color w:val="5A4B1A"/>
          <w:sz w:val="18"/>
        </w:rPr>
        <w:t>gilgul</w:t>
      </w:r>
      <w:r>
        <w:rPr>
          <w:color w:val="5A4B1A"/>
          <w:sz w:val="18"/>
        </w:rPr>
        <w:t xml:space="preserve"> attribution itself. The tradition that Islam’s founder had a Jewish teacher — and the dream of the tree growing from his hand, interpreted by a Jewish sage as a summons to prophethood — is preserved in </w:t>
      </w:r>
      <w:r>
        <w:rPr>
          <w:i/>
          <w:color w:val="5A4B1A"/>
          <w:sz w:val="18"/>
        </w:rPr>
        <w:t>Etz HaDa’as Tov</w:t>
      </w:r>
      <w:r>
        <w:rPr>
          <w:color w:val="5A4B1A"/>
          <w:sz w:val="18"/>
        </w:rPr>
        <w:t xml:space="preserve"> as kabbalistic </w:t>
      </w:r>
      <w:r>
        <w:rPr>
          <w:i/>
          <w:color w:val="5A4B1A"/>
          <w:sz w:val="18"/>
        </w:rPr>
        <w:t>mesorah</w:t>
      </w:r>
      <w:r>
        <w:rPr>
          <w:color w:val="5A4B1A"/>
          <w:sz w:val="18"/>
        </w:rPr>
        <w:t>; the historical form of the tradition should be understood in that register.</w:t>
      </w:r>
    </w:p>
    <w:p>
      <w:r>
        <w:rPr>
          <w:b/>
          <w:color w:val="1E3A8A"/>
        </w:rPr>
        <w:t xml:space="preserve">22. </w:t>
      </w:r>
      <w:r>
        <w:rPr>
          <w:b/>
          <w:i/>
          <w:color w:val="1E3A8A"/>
        </w:rPr>
        <w:t>She’eilos u-Teshuvos HaRadbaz</w:t>
      </w:r>
      <w:r>
        <w:rPr>
          <w:b/>
          <w:color w:val="1E3A8A"/>
        </w:rPr>
        <w:t xml:space="preserve"> on </w:t>
      </w:r>
      <w:r>
        <w:rPr>
          <w:b/>
          <w:i/>
          <w:color w:val="1E3A8A"/>
        </w:rPr>
        <w:t>shituf</w:t>
      </w:r>
      <w:r>
        <w:rPr>
          <w:b/>
          <w:color w:val="1E3A8A"/>
        </w:rPr>
        <w:t xml:space="preserve">; status of Christianity and Islam relative to </w:t>
      </w:r>
      <w:r>
        <w:rPr>
          <w:b/>
          <w:i/>
          <w:color w:val="1E3A8A"/>
        </w:rPr>
        <w:t>avodah zarah</w:t>
      </w:r>
      <w:r>
        <w:rPr>
          <w:b/>
          <w:color w:val="1E3A8A"/>
        </w:rPr>
        <w:t>.</w:t>
      </w:r>
      <w:r>
        <w:t xml:space="preserve"> </w:t>
      </w:r>
      <w:r>
        <w:t>— Rabbi David ibn Zimra (</w:t>
      </w:r>
      <w:r>
        <w:rPr>
          <w:i/>
        </w:rPr>
        <w:t>Radbaz</w:t>
      </w:r>
      <w:r>
        <w:t xml:space="preserve">, 1479–1573, Egypt and Tzfas) develops the halakhic-theological category of </w:t>
      </w:r>
      <w:r>
        <w:rPr>
          <w:i/>
        </w:rPr>
        <w:t>shituf</w:t>
      </w:r>
      <w:r>
        <w:t>: belief in one God paired with another power. For non-</w:t>
      </w:r>
      <w:r>
        <w:rPr>
          <w:i/>
        </w:rPr>
        <w:t>Yehudim</w:t>
      </w:r>
      <w:r>
        <w:t xml:space="preserve">, </w:t>
      </w:r>
      <w:r>
        <w:rPr>
          <w:i/>
        </w:rPr>
        <w:t>shituf</w:t>
      </w:r>
      <w:r>
        <w:t xml:space="preserve"> is not the full </w:t>
      </w:r>
      <w:r>
        <w:rPr>
          <w:i/>
        </w:rPr>
        <w:t>issur</w:t>
      </w:r>
      <w:r>
        <w:t xml:space="preserve"> of </w:t>
      </w:r>
      <w:r>
        <w:rPr>
          <w:i/>
        </w:rPr>
        <w:t>avodah zarah</w:t>
      </w:r>
      <w:r>
        <w:t xml:space="preserve">; Christians thereby retain a partial </w:t>
      </w:r>
      <w:r>
        <w:rPr>
          <w:i/>
        </w:rPr>
        <w:t>emes</w:t>
      </w:r>
      <w:r>
        <w:t xml:space="preserve">. Islam, with no Trinitarian element, is more clearly monotheistic. The </w:t>
      </w:r>
      <w:r>
        <w:rPr>
          <w:i/>
        </w:rPr>
        <w:t>Radbaz</w:t>
      </w:r>
      <w:r>
        <w:t xml:space="preserve">’s framework grounds the </w:t>
      </w:r>
      <w:r>
        <w:rPr>
          <w:i/>
        </w:rPr>
        <w:t>Maharam Schick</w:t>
      </w:r>
      <w:r>
        <w:t xml:space="preserve">’s and </w:t>
      </w:r>
      <w:r>
        <w:rPr>
          <w:i/>
        </w:rPr>
        <w:t>Rambam</w:t>
      </w:r>
      <w:r>
        <w:t xml:space="preserve">’s view that the descendants of </w:t>
      </w:r>
      <w:r>
        <w:rPr>
          <w:i/>
        </w:rPr>
        <w:t>Yishmael</w:t>
      </w:r>
      <w:r>
        <w:t xml:space="preserve"> and </w:t>
      </w:r>
      <w:r>
        <w:rPr>
          <w:i/>
        </w:rPr>
        <w:t>Eisav</w:t>
      </w:r>
      <w:r>
        <w:t xml:space="preserve"> hold residual elements of </w:t>
      </w:r>
      <w:r>
        <w:rPr>
          <w:i/>
        </w:rPr>
        <w:t>Avraham</w:t>
      </w:r>
      <w:r>
        <w:t>’s legacy.</w:t>
      </w:r>
    </w:p>
    <w:p>
      <w:r>
        <w:rPr>
          <w:b/>
          <w:color w:val="1E3A8A"/>
        </w:rPr>
        <w:t xml:space="preserve">23. </w:t>
      </w:r>
    </w:p>
    <w:p>
      <w:pPr>
        <w:ind w:left="432"/>
      </w:pPr>
      <w:r>
        <w:rPr>
          <w:b/>
          <w:color w:val="D4A017"/>
          <w:sz w:val="18"/>
        </w:rPr>
        <w:t xml:space="preserve">[Note] </w:t>
      </w:r>
      <w:r>
        <w:rPr>
          <w:color w:val="5A4B1A"/>
          <w:sz w:val="18"/>
        </w:rPr>
        <w:t xml:space="preserve">On the scope of the </w:t>
      </w:r>
      <w:r>
        <w:rPr>
          <w:i/>
          <w:color w:val="5A4B1A"/>
          <w:sz w:val="18"/>
        </w:rPr>
        <w:t>Radbaz</w:t>
      </w:r>
      <w:r>
        <w:rPr>
          <w:color w:val="5A4B1A"/>
          <w:sz w:val="18"/>
        </w:rPr>
        <w:t xml:space="preserve">’s </w:t>
      </w:r>
      <w:r>
        <w:rPr>
          <w:i/>
          <w:color w:val="5A4B1A"/>
          <w:sz w:val="18"/>
        </w:rPr>
        <w:t>shituf</w:t>
      </w:r>
      <w:r>
        <w:rPr>
          <w:color w:val="5A4B1A"/>
          <w:sz w:val="18"/>
        </w:rPr>
        <w:t xml:space="preserve"> ruling and the wider </w:t>
      </w:r>
      <w:r>
        <w:rPr>
          <w:i/>
          <w:color w:val="5A4B1A"/>
          <w:sz w:val="18"/>
        </w:rPr>
        <w:t>machlokes</w:t>
      </w:r>
      <w:r>
        <w:rPr>
          <w:color w:val="5A4B1A"/>
          <w:sz w:val="18"/>
        </w:rPr>
        <w:t xml:space="preserve">. The </w:t>
      </w:r>
      <w:r>
        <w:rPr>
          <w:i/>
          <w:color w:val="5A4B1A"/>
          <w:sz w:val="18"/>
        </w:rPr>
        <w:t>Rema</w:t>
      </w:r>
      <w:r>
        <w:rPr>
          <w:color w:val="5A4B1A"/>
          <w:sz w:val="18"/>
        </w:rPr>
        <w:t xml:space="preserve"> (</w:t>
      </w:r>
      <w:r>
        <w:rPr>
          <w:i/>
          <w:color w:val="5A4B1A"/>
          <w:sz w:val="18"/>
        </w:rPr>
        <w:t>Orach Chaim</w:t>
      </w:r>
      <w:r>
        <w:rPr>
          <w:color w:val="5A4B1A"/>
          <w:sz w:val="18"/>
        </w:rPr>
        <w:t xml:space="preserve"> 156), the </w:t>
      </w:r>
      <w:r>
        <w:rPr>
          <w:i/>
          <w:color w:val="5A4B1A"/>
          <w:sz w:val="18"/>
        </w:rPr>
        <w:t>Noda Bi-Yehudah</w:t>
      </w:r>
      <w:r>
        <w:rPr>
          <w:color w:val="5A4B1A"/>
          <w:sz w:val="18"/>
        </w:rPr>
        <w:t xml:space="preserve">, the </w:t>
      </w:r>
      <w:r>
        <w:rPr>
          <w:i/>
          <w:color w:val="5A4B1A"/>
          <w:sz w:val="18"/>
        </w:rPr>
        <w:t>Chasam Sofer</w:t>
      </w:r>
      <w:r>
        <w:rPr>
          <w:color w:val="5A4B1A"/>
          <w:sz w:val="18"/>
        </w:rPr>
        <w:t xml:space="preserve">, and later </w:t>
      </w:r>
      <w:r>
        <w:rPr>
          <w:i/>
          <w:color w:val="5A4B1A"/>
          <w:sz w:val="18"/>
        </w:rPr>
        <w:t>poskim</w:t>
      </w:r>
      <w:r>
        <w:rPr>
          <w:color w:val="5A4B1A"/>
          <w:sz w:val="18"/>
        </w:rPr>
        <w:t xml:space="preserve"> weigh in with differing positions on the precise scope of the leniency — whether </w:t>
      </w:r>
      <w:r>
        <w:rPr>
          <w:i/>
          <w:color w:val="5A4B1A"/>
          <w:sz w:val="18"/>
        </w:rPr>
        <w:t>shituf</w:t>
      </w:r>
      <w:r>
        <w:rPr>
          <w:color w:val="5A4B1A"/>
          <w:sz w:val="18"/>
        </w:rPr>
        <w:t xml:space="preserve"> is fully permitted to non-</w:t>
      </w:r>
      <w:r>
        <w:rPr>
          <w:i/>
          <w:color w:val="5A4B1A"/>
          <w:sz w:val="18"/>
        </w:rPr>
        <w:t>Yehudim</w:t>
      </w:r>
      <w:r>
        <w:rPr>
          <w:color w:val="5A4B1A"/>
          <w:sz w:val="18"/>
        </w:rPr>
        <w:t xml:space="preserve">, or is prohibited but not classified as full </w:t>
      </w:r>
      <w:r>
        <w:rPr>
          <w:i/>
          <w:color w:val="5A4B1A"/>
          <w:sz w:val="18"/>
        </w:rPr>
        <w:t>avodah zarah</w:t>
      </w:r>
      <w:r>
        <w:rPr>
          <w:color w:val="5A4B1A"/>
          <w:sz w:val="18"/>
        </w:rPr>
        <w:t xml:space="preserve">; and whether Christianity in particular falls within the category. The </w:t>
      </w:r>
      <w:r>
        <w:rPr>
          <w:i/>
          <w:color w:val="5A4B1A"/>
          <w:sz w:val="18"/>
        </w:rPr>
        <w:t>Maharam Schick</w:t>
      </w:r>
      <w:r>
        <w:rPr>
          <w:color w:val="5A4B1A"/>
          <w:sz w:val="18"/>
        </w:rPr>
        <w:t xml:space="preserve">’s reading does not require the strongest formulation of the leniency; it requires that within a serious halakhic tradition, the descendants of </w:t>
      </w:r>
      <w:r>
        <w:rPr>
          <w:i/>
          <w:color w:val="5A4B1A"/>
          <w:sz w:val="18"/>
        </w:rPr>
        <w:t>Yishmael</w:t>
      </w:r>
      <w:r>
        <w:rPr>
          <w:color w:val="5A4B1A"/>
          <w:sz w:val="18"/>
        </w:rPr>
        <w:t xml:space="preserve"> and </w:t>
      </w:r>
      <w:r>
        <w:rPr>
          <w:i/>
          <w:color w:val="5A4B1A"/>
          <w:sz w:val="18"/>
        </w:rPr>
        <w:t>Eisav</w:t>
      </w:r>
      <w:r>
        <w:rPr>
          <w:color w:val="5A4B1A"/>
          <w:sz w:val="18"/>
        </w:rPr>
        <w:t xml:space="preserve"> retain something of the </w:t>
      </w:r>
      <w:r>
        <w:rPr>
          <w:i/>
          <w:color w:val="5A4B1A"/>
          <w:sz w:val="18"/>
        </w:rPr>
        <w:t>emunah</w:t>
      </w:r>
      <w:r>
        <w:rPr>
          <w:color w:val="5A4B1A"/>
          <w:sz w:val="18"/>
        </w:rPr>
        <w:t xml:space="preserve"> of </w:t>
      </w:r>
      <w:r>
        <w:rPr>
          <w:i/>
          <w:color w:val="5A4B1A"/>
          <w:sz w:val="18"/>
        </w:rPr>
        <w:t>Avraham</w:t>
      </w:r>
      <w:r>
        <w:rPr>
          <w:color w:val="5A4B1A"/>
          <w:sz w:val="18"/>
        </w:rPr>
        <w:t xml:space="preserve">. That much is well-founded across the range of </w:t>
      </w:r>
      <w:r>
        <w:rPr>
          <w:i/>
          <w:color w:val="5A4B1A"/>
          <w:sz w:val="18"/>
        </w:rPr>
        <w:t>shittos</w:t>
      </w:r>
      <w:r>
        <w:rPr>
          <w:color w:val="5A4B1A"/>
          <w:sz w:val="18"/>
        </w:rPr>
        <w:t xml:space="preserve"> (</w:t>
      </w:r>
      <w:r>
        <w:rPr>
          <w:rFonts w:ascii="David" w:hAnsi="David"/>
          <w:color w:val="5A4B1A"/>
          <w:sz w:val="18"/>
        </w:rPr>
        <w:t>שיטות</w:t>
      </w:r>
      <w:r>
        <w:rPr>
          <w:color w:val="5A4B1A"/>
          <w:sz w:val="18"/>
        </w:rPr>
        <w:t>).</w:t>
      </w:r>
    </w:p>
    <w:p>
      <w:r>
        <w:rPr>
          <w:b/>
          <w:color w:val="1E3A8A"/>
        </w:rPr>
        <w:t xml:space="preserve">24. </w:t>
      </w:r>
    </w:p>
    <w:p>
      <w:pPr>
        <w:ind w:left="432"/>
      </w:pPr>
      <w:r>
        <w:rPr>
          <w:b/>
          <w:color w:val="D4A017"/>
          <w:sz w:val="18"/>
        </w:rPr>
        <w:t xml:space="preserve">[Note] </w:t>
      </w:r>
      <w:r>
        <w:rPr>
          <w:color w:val="5A4B1A"/>
          <w:sz w:val="18"/>
        </w:rPr>
        <w:t xml:space="preserve">Oral </w:t>
      </w:r>
      <w:r>
        <w:rPr>
          <w:i/>
          <w:color w:val="5A4B1A"/>
          <w:sz w:val="18"/>
        </w:rPr>
        <w:t>mesorah</w:t>
      </w:r>
      <w:r>
        <w:rPr>
          <w:color w:val="5A4B1A"/>
          <w:sz w:val="18"/>
        </w:rPr>
        <w:t xml:space="preserve"> from the </w:t>
      </w:r>
      <w:r>
        <w:rPr>
          <w:i/>
          <w:color w:val="5A4B1A"/>
          <w:sz w:val="18"/>
        </w:rPr>
        <w:t>talmidim</w:t>
      </w:r>
      <w:r>
        <w:rPr>
          <w:color w:val="5A4B1A"/>
          <w:sz w:val="18"/>
        </w:rPr>
        <w:t xml:space="preserve"> of </w:t>
      </w:r>
      <w:r>
        <w:rPr>
          <w:i/>
          <w:color w:val="5A4B1A"/>
          <w:sz w:val="18"/>
        </w:rPr>
        <w:t>Rav Baruch Ber Leibowitz</w:t>
      </w:r>
      <w:r>
        <w:rPr>
          <w:color w:val="5A4B1A"/>
          <w:sz w:val="18"/>
        </w:rPr>
        <w:t xml:space="preserve"> of Kamenitz (1862–1939), </w:t>
      </w:r>
      <w:r>
        <w:rPr>
          <w:i/>
          <w:color w:val="5A4B1A"/>
          <w:sz w:val="18"/>
        </w:rPr>
        <w:t>rosh yeshivah</w:t>
      </w:r>
      <w:r>
        <w:rPr>
          <w:color w:val="5A4B1A"/>
          <w:sz w:val="18"/>
        </w:rPr>
        <w:t xml:space="preserve"> of Knesses Beis Yitzchak in Slabodka and later Kamenitz; </w:t>
      </w:r>
      <w:r>
        <w:rPr>
          <w:i/>
          <w:color w:val="5A4B1A"/>
          <w:sz w:val="18"/>
        </w:rPr>
        <w:t>talmid</w:t>
      </w:r>
      <w:r>
        <w:rPr>
          <w:color w:val="5A4B1A"/>
          <w:sz w:val="18"/>
        </w:rPr>
        <w:t xml:space="preserve"> of </w:t>
      </w:r>
      <w:r>
        <w:rPr>
          <w:i/>
          <w:color w:val="5A4B1A"/>
          <w:sz w:val="18"/>
        </w:rPr>
        <w:t>Rav Chaim Soloveitchik</w:t>
      </w:r>
      <w:r>
        <w:rPr>
          <w:color w:val="5A4B1A"/>
          <w:sz w:val="18"/>
        </w:rPr>
        <w:t xml:space="preserve"> of Brisk; author of </w:t>
      </w:r>
      <w:r>
        <w:rPr>
          <w:i/>
          <w:color w:val="5A4B1A"/>
          <w:sz w:val="18"/>
        </w:rPr>
        <w:t>Birkas Shmuel</w:t>
      </w:r>
      <w:r>
        <w:rPr>
          <w:color w:val="5A4B1A"/>
          <w:sz w:val="18"/>
        </w:rPr>
        <w:t xml:space="preserve"> (</w:t>
      </w:r>
      <w:r>
        <w:rPr>
          <w:rFonts w:ascii="David" w:hAnsi="David"/>
          <w:color w:val="5A4B1A"/>
          <w:sz w:val="18"/>
        </w:rPr>
        <w:t>ברכת שמואל</w:t>
      </w:r>
      <w:r>
        <w:rPr>
          <w:color w:val="5A4B1A"/>
          <w:sz w:val="18"/>
        </w:rPr>
        <w:t xml:space="preserve">). The story of the wagon driver who did not cross himself — </w:t>
      </w:r>
      <w:r>
        <w:rPr>
          <w:i/>
          <w:color w:val="5A4B1A"/>
          <w:sz w:val="18"/>
        </w:rPr>
        <w:t>“</w:t>
      </w:r>
      <w:r>
        <w:rPr>
          <w:rFonts w:ascii="David" w:hAnsi="David"/>
          <w:i/>
          <w:color w:val="5A4B1A"/>
          <w:sz w:val="18"/>
        </w:rPr>
        <w:t>איינער וואָס גלייבט נישט אין גאָט</w:t>
      </w:r>
      <w:r>
        <w:rPr>
          <w:i/>
          <w:color w:val="5A4B1A"/>
          <w:sz w:val="18"/>
        </w:rPr>
        <w:t>”</w:t>
      </w:r>
      <w:r>
        <w:rPr>
          <w:color w:val="5A4B1A"/>
          <w:sz w:val="18"/>
        </w:rPr>
        <w:t xml:space="preserve">, one with no fear of any God, even a false one, has no moral floor — circulates in the </w:t>
      </w:r>
      <w:r>
        <w:rPr>
          <w:i/>
          <w:color w:val="5A4B1A"/>
          <w:sz w:val="18"/>
        </w:rPr>
        <w:t>yeshiva</w:t>
      </w:r>
      <w:r>
        <w:rPr>
          <w:color w:val="5A4B1A"/>
          <w:sz w:val="18"/>
        </w:rPr>
        <w:t xml:space="preserve"> world; the shiur did not identify a published source.</w:t>
      </w:r>
    </w:p>
    <w:p>
      <w:r>
        <w:rPr>
          <w:b/>
          <w:color w:val="1E3A8A"/>
        </w:rPr>
        <w:t xml:space="preserve">25. </w:t>
      </w:r>
      <w:r>
        <w:rPr>
          <w:b/>
          <w:i/>
          <w:color w:val="1E3A8A"/>
        </w:rPr>
        <w:t>Rambam</w:t>
      </w:r>
      <w:r>
        <w:rPr>
          <w:b/>
          <w:color w:val="1E3A8A"/>
        </w:rPr>
        <w:t xml:space="preserve">, </w:t>
      </w:r>
      <w:r>
        <w:rPr>
          <w:b/>
          <w:i/>
          <w:color w:val="1E3A8A"/>
        </w:rPr>
        <w:t>Hilchos Melachim</w:t>
      </w:r>
      <w:r>
        <w:rPr>
          <w:b/>
          <w:color w:val="1E3A8A"/>
        </w:rPr>
        <w:t xml:space="preserve"> 11:4 (uncensored, Frankel edition) — the founders of Christianity and Islam in the long arc of </w:t>
      </w:r>
      <w:r>
        <w:rPr>
          <w:b/>
          <w:i/>
          <w:color w:val="1E3A8A"/>
        </w:rPr>
        <w:t>tikkun ha-olam</w:t>
      </w:r>
      <w:r>
        <w:rPr>
          <w:b/>
          <w:color w:val="1E3A8A"/>
        </w:rPr>
        <w:t>.</w:t>
      </w:r>
      <w:r>
        <w:t xml:space="preserve"> </w:t>
      </w:r>
      <w:r>
        <w:t xml:space="preserve">— The closing </w:t>
      </w:r>
      <w:r>
        <w:rPr>
          <w:i/>
        </w:rPr>
        <w:t>halakhah</w:t>
      </w:r>
      <w:r>
        <w:t xml:space="preserve"> of the </w:t>
      </w:r>
      <w:r>
        <w:rPr>
          <w:i/>
        </w:rPr>
        <w:t>Mishneh Torah</w:t>
      </w:r>
      <w:r>
        <w:t xml:space="preserve"> in which the </w:t>
      </w:r>
      <w:r>
        <w:rPr>
          <w:i/>
        </w:rPr>
        <w:t>Rambam</w:t>
      </w:r>
      <w:r>
        <w:t xml:space="preserve"> discusses the founder of Christianity and the founder of Islam (whom he names elsewhere as </w:t>
      </w:r>
      <w:r>
        <w:rPr>
          <w:i/>
        </w:rPr>
        <w:t>“</w:t>
      </w:r>
      <w:r>
        <w:rPr>
          <w:rFonts w:ascii="David" w:hAnsi="David"/>
          <w:i/>
        </w:rPr>
        <w:t>המשוגע</w:t>
      </w:r>
      <w:r>
        <w:rPr>
          <w:i/>
        </w:rPr>
        <w:t>”</w:t>
      </w:r>
      <w:r>
        <w:t xml:space="preserve">) as having played, despite the immense suffering they caused, an instrumental role in seeding world consciousness with the concept of </w:t>
      </w:r>
      <w:r>
        <w:rPr>
          <w:i/>
        </w:rPr>
        <w:t>Mashiach</w:t>
      </w:r>
      <w:r>
        <w:t xml:space="preserve"> in preparation for the </w:t>
      </w:r>
      <w:r>
        <w:rPr>
          <w:i/>
        </w:rPr>
        <w:t>actual</w:t>
      </w:r>
      <w:r>
        <w:t xml:space="preserve"> </w:t>
      </w:r>
      <w:r>
        <w:rPr>
          <w:i/>
        </w:rPr>
        <w:t>Mashiach</w:t>
      </w:r>
      <w:r>
        <w:t xml:space="preserve">. The passage was excised by Christian censors from printed editions for centuries. The Frankel edition of the </w:t>
      </w:r>
      <w:r>
        <w:rPr>
          <w:i/>
        </w:rPr>
        <w:t>Mishneh Torah</w:t>
      </w:r>
      <w:r>
        <w:t xml:space="preserve">, working from the original Yemenite </w:t>
      </w:r>
      <w:r>
        <w:rPr>
          <w:i/>
        </w:rPr>
        <w:t>kisvei yad</w:t>
      </w:r>
      <w:r>
        <w:t xml:space="preserve">, restored it to printed form in our generation. The </w:t>
      </w:r>
      <w:r>
        <w:rPr>
          <w:i/>
        </w:rPr>
        <w:t>Rambam</w:t>
      </w:r>
      <w:r>
        <w:t>’s language is compact; the paraphrase in the body text renders his substance in expanded English rather than a verbatim translation.</w:t>
      </w:r>
    </w:p>
    <w:p>
      <w:r>
        <w:rPr>
          <w:b/>
          <w:color w:val="1E3A8A"/>
        </w:rPr>
        <w:t xml:space="preserve">26. </w:t>
      </w:r>
      <w:r>
        <w:rPr>
          <w:b/>
          <w:color w:val="1E3A8A"/>
        </w:rPr>
        <w:t xml:space="preserve">The </w:t>
      </w:r>
      <w:r>
        <w:rPr>
          <w:b/>
          <w:i/>
          <w:color w:val="1E3A8A"/>
        </w:rPr>
        <w:t>Yaavetz</w:t>
      </w:r>
      <w:r>
        <w:rPr>
          <w:b/>
          <w:color w:val="1E3A8A"/>
        </w:rPr>
        <w:t xml:space="preserve"> (Rabbi Yaakov Emden, 1697–1776, Altona) — emphasis of the </w:t>
      </w:r>
      <w:r>
        <w:rPr>
          <w:b/>
          <w:i/>
          <w:color w:val="1E3A8A"/>
        </w:rPr>
        <w:t>Rambam</w:t>
      </w:r>
      <w:r>
        <w:rPr>
          <w:b/>
          <w:color w:val="1E3A8A"/>
        </w:rPr>
        <w:t xml:space="preserve">’s </w:t>
      </w:r>
      <w:r>
        <w:rPr>
          <w:b/>
          <w:i/>
          <w:color w:val="1E3A8A"/>
        </w:rPr>
        <w:t>Hilchos Melachim</w:t>
      </w:r>
      <w:r>
        <w:rPr>
          <w:b/>
          <w:color w:val="1E3A8A"/>
        </w:rPr>
        <w:t xml:space="preserve"> passage on the long arc of </w:t>
      </w:r>
      <w:r>
        <w:rPr>
          <w:b/>
          <w:i/>
          <w:color w:val="1E3A8A"/>
        </w:rPr>
        <w:t>tikkun ha-olam</w:t>
      </w:r>
      <w:r>
        <w:rPr>
          <w:b/>
          <w:color w:val="1E3A8A"/>
        </w:rPr>
        <w:t>.</w:t>
      </w:r>
      <w:r>
        <w:t xml:space="preserve"> </w:t>
      </w:r>
      <w:r>
        <w:t xml:space="preserve">— The </w:t>
      </w:r>
      <w:r>
        <w:rPr>
          <w:i/>
        </w:rPr>
        <w:t>Yaavetz</w:t>
      </w:r>
      <w:r>
        <w:t xml:space="preserve">, son of the </w:t>
      </w:r>
      <w:r>
        <w:rPr>
          <w:i/>
        </w:rPr>
        <w:t>Chacham Tzvi</w:t>
      </w:r>
      <w:r>
        <w:t xml:space="preserve"> (</w:t>
      </w:r>
      <w:r>
        <w:rPr>
          <w:rFonts w:ascii="David" w:hAnsi="David"/>
        </w:rPr>
        <w:t>חכם צבי</w:t>
      </w:r>
      <w:r>
        <w:t xml:space="preserve">), in his writings on </w:t>
      </w:r>
      <w:r>
        <w:rPr>
          <w:i/>
        </w:rPr>
        <w:t>emunah</w:t>
      </w:r>
      <w:r>
        <w:t xml:space="preserve"> and in his polemics returns repeatedly to the </w:t>
      </w:r>
      <w:r>
        <w:rPr>
          <w:i/>
        </w:rPr>
        <w:t>Rambam</w:t>
      </w:r>
      <w:r>
        <w:t xml:space="preserve">’s long-arc framing in </w:t>
      </w:r>
      <w:r>
        <w:rPr>
          <w:i/>
        </w:rPr>
        <w:t>Hilchos Melachim</w:t>
      </w:r>
      <w:r>
        <w:t xml:space="preserve">. He emphasizes that the historical role of Christianity and Islam in seeding world consciousness with the messianic idea is, in the </w:t>
      </w:r>
      <w:r>
        <w:rPr>
          <w:i/>
        </w:rPr>
        <w:t>Rambam</w:t>
      </w:r>
      <w:r>
        <w:t xml:space="preserve">’s reading, providential — an aspect of </w:t>
      </w:r>
      <w:r>
        <w:rPr>
          <w:i/>
        </w:rPr>
        <w:t>tikkun ha-olam</w:t>
      </w:r>
      <w:r>
        <w:t xml:space="preserve"> beyond human comprehension.</w:t>
      </w:r>
    </w:p>
    <w:p>
      <w:r>
        <w:rPr>
          <w:b/>
          <w:color w:val="1E3A8A"/>
        </w:rPr>
        <w:t xml:space="preserve">27. </w:t>
      </w:r>
      <w:r>
        <w:rPr>
          <w:b/>
          <w:i/>
          <w:color w:val="1E3A8A"/>
        </w:rPr>
        <w:t>Bereshis</w:t>
      </w:r>
      <w:r>
        <w:rPr>
          <w:b/>
          <w:color w:val="1E3A8A"/>
        </w:rPr>
        <w:t xml:space="preserve"> 17:5 — </w:t>
      </w:r>
      <w:r>
        <w:rPr>
          <w:b/>
          <w:i/>
          <w:color w:val="1E3A8A"/>
        </w:rPr>
        <w:t>“</w:t>
      </w:r>
      <w:r>
        <w:rPr>
          <w:rFonts w:ascii="David" w:hAnsi="David"/>
          <w:b/>
          <w:i/>
          <w:color w:val="1E3A8A"/>
        </w:rPr>
        <w:t>כי אב המון גוים נתתיך</w:t>
      </w:r>
      <w:r>
        <w:rPr>
          <w:b/>
          <w:i/>
          <w:color w:val="1E3A8A"/>
        </w:rPr>
        <w:t>.”</w:t>
      </w:r>
      <w:r>
        <w:t xml:space="preserve"> </w:t>
      </w:r>
      <w:r>
        <w:t xml:space="preserve">— The </w:t>
      </w:r>
      <w:r>
        <w:rPr>
          <w:i/>
        </w:rPr>
        <w:t>pasuk</w:t>
      </w:r>
      <w:r>
        <w:t xml:space="preserve"> in which </w:t>
      </w:r>
      <w:r>
        <w:rPr>
          <w:i/>
        </w:rPr>
        <w:t>Avram</w:t>
      </w:r>
      <w:r>
        <w:t xml:space="preserve"> is renamed </w:t>
      </w:r>
      <w:r>
        <w:rPr>
          <w:i/>
        </w:rPr>
        <w:t>Avraham</w:t>
      </w:r>
      <w:r>
        <w:t xml:space="preserve">, with the explicit expansion of his paternity to </w:t>
      </w:r>
      <w:r>
        <w:rPr>
          <w:i/>
        </w:rPr>
        <w:t>“a multitude of nations.”</w:t>
      </w:r>
      <w:r>
        <w:t xml:space="preserve"> This is the textual pivot on which the </w:t>
      </w:r>
      <w:r>
        <w:rPr>
          <w:i/>
        </w:rPr>
        <w:t>Maharam Schick</w:t>
      </w:r>
      <w:r>
        <w:t xml:space="preserve">’s reading rests: </w:t>
      </w:r>
      <w:r>
        <w:rPr>
          <w:i/>
        </w:rPr>
        <w:t>Avraham</w:t>
      </w:r>
      <w:r>
        <w:t xml:space="preserve">, unlike </w:t>
      </w:r>
      <w:r>
        <w:rPr>
          <w:i/>
        </w:rPr>
        <w:t>Yitzchak</w:t>
      </w:r>
      <w:r>
        <w:t xml:space="preserve"> or </w:t>
      </w:r>
      <w:r>
        <w:rPr>
          <w:i/>
        </w:rPr>
        <w:t>Yaakov</w:t>
      </w:r>
      <w:r>
        <w:t xml:space="preserve">, carries both a narrow paternity (of the </w:t>
      </w:r>
      <w:r>
        <w:rPr>
          <w:i/>
        </w:rPr>
        <w:t>Yaakov mateh shleimah</w:t>
      </w:r>
      <w:r>
        <w:t xml:space="preserve">) and a wide one (of the </w:t>
      </w:r>
      <w:r>
        <w:rPr>
          <w:i/>
        </w:rPr>
        <w:t>av hamon goyim</w:t>
      </w:r>
      <w:r>
        <w:t xml:space="preserve">). The </w:t>
      </w:r>
      <w:r>
        <w:rPr>
          <w:i/>
        </w:rPr>
        <w:t>chasimah</w:t>
      </w:r>
      <w:r>
        <w:t xml:space="preserve"> that names </w:t>
      </w:r>
      <w:r>
        <w:rPr>
          <w:i/>
        </w:rPr>
        <w:t>Avraham</w:t>
      </w:r>
      <w:r>
        <w:t xml:space="preserve"> alone reaches for the wider paternity that only he bears.</w:t>
      </w:r>
    </w:p>
    <w:p>
      <w:r>
        <w:rPr>
          <w:b/>
          <w:color w:val="1E3A8A"/>
        </w:rPr>
        <w:t xml:space="preserve">28. </w:t>
      </w:r>
    </w:p>
    <w:p>
      <w:pPr>
        <w:ind w:left="432"/>
      </w:pPr>
      <w:r>
        <w:rPr>
          <w:b/>
          <w:color w:val="D4A017"/>
          <w:sz w:val="18"/>
        </w:rPr>
        <w:t xml:space="preserve">[Note] </w:t>
      </w:r>
      <w:r>
        <w:rPr>
          <w:color w:val="5A4B1A"/>
          <w:sz w:val="18"/>
        </w:rPr>
        <w:t xml:space="preserve">A kabbalistic </w:t>
      </w:r>
      <w:r>
        <w:rPr>
          <w:i/>
          <w:color w:val="5A4B1A"/>
          <w:sz w:val="18"/>
        </w:rPr>
        <w:t>siddur</w:t>
      </w:r>
      <w:r>
        <w:rPr>
          <w:color w:val="5A4B1A"/>
          <w:sz w:val="18"/>
        </w:rPr>
        <w:t>-</w:t>
      </w:r>
      <w:r>
        <w:rPr>
          <w:i/>
          <w:color w:val="5A4B1A"/>
          <w:sz w:val="18"/>
        </w:rPr>
        <w:t>kavvanah</w:t>
      </w:r>
      <w:r>
        <w:rPr>
          <w:color w:val="5A4B1A"/>
          <w:sz w:val="18"/>
        </w:rPr>
        <w:t xml:space="preserve"> tradition transmitted in the name of the </w:t>
      </w:r>
      <w:r>
        <w:rPr>
          <w:i/>
          <w:color w:val="5A4B1A"/>
          <w:sz w:val="18"/>
        </w:rPr>
        <w:t>Mateh Tov</w:t>
      </w:r>
      <w:r>
        <w:rPr>
          <w:color w:val="5A4B1A"/>
          <w:sz w:val="18"/>
        </w:rPr>
        <w:t xml:space="preserve"> (</w:t>
      </w:r>
      <w:r>
        <w:rPr>
          <w:rFonts w:ascii="David" w:hAnsi="David"/>
          <w:color w:val="5A4B1A"/>
          <w:sz w:val="18"/>
        </w:rPr>
        <w:t>מטה טוב</w:t>
      </w:r>
      <w:r>
        <w:rPr>
          <w:color w:val="5A4B1A"/>
          <w:sz w:val="18"/>
        </w:rPr>
        <w:t xml:space="preserve">) — recorded in the shiur under the name </w:t>
      </w:r>
      <w:r>
        <w:rPr>
          <w:i/>
          <w:color w:val="5A4B1A"/>
          <w:sz w:val="18"/>
        </w:rPr>
        <w:t>Minkud Matav</w:t>
      </w:r>
      <w:r>
        <w:rPr>
          <w:color w:val="5A4B1A"/>
          <w:sz w:val="18"/>
        </w:rPr>
        <w:t xml:space="preserve">; the precise attribution and edition were not identified. The </w:t>
      </w:r>
      <w:r>
        <w:rPr>
          <w:i/>
          <w:color w:val="5A4B1A"/>
          <w:sz w:val="18"/>
        </w:rPr>
        <w:t>kavvanah</w:t>
      </w:r>
      <w:r>
        <w:rPr>
          <w:color w:val="5A4B1A"/>
          <w:sz w:val="18"/>
        </w:rPr>
        <w:t xml:space="preserve"> tradition recorded under this name overlaps with the kabbalistic </w:t>
      </w:r>
      <w:r>
        <w:rPr>
          <w:i/>
          <w:color w:val="5A4B1A"/>
          <w:sz w:val="18"/>
        </w:rPr>
        <w:t>siddurim</w:t>
      </w:r>
      <w:r>
        <w:rPr>
          <w:color w:val="5A4B1A"/>
          <w:sz w:val="18"/>
        </w:rPr>
        <w:t xml:space="preserve"> of the </w:t>
      </w:r>
      <w:r>
        <w:rPr>
          <w:i/>
          <w:color w:val="5A4B1A"/>
          <w:sz w:val="18"/>
        </w:rPr>
        <w:t>Arizal</w:t>
      </w:r>
      <w:r>
        <w:rPr>
          <w:color w:val="5A4B1A"/>
          <w:sz w:val="18"/>
        </w:rPr>
        <w:t xml:space="preserve"> school. The synthesis offered in the closing chapter can be received on the strength of the three </w:t>
      </w:r>
      <w:r>
        <w:rPr>
          <w:i/>
          <w:color w:val="5A4B1A"/>
          <w:sz w:val="18"/>
        </w:rPr>
        <w:t>mehalchim</w:t>
      </w:r>
      <w:r>
        <w:rPr>
          <w:color w:val="5A4B1A"/>
          <w:sz w:val="18"/>
        </w:rPr>
        <w:t xml:space="preserve"> themselves, independent of the pinned attribution of the </w:t>
      </w:r>
      <w:r>
        <w:rPr>
          <w:i/>
          <w:color w:val="5A4B1A"/>
          <w:sz w:val="18"/>
        </w:rPr>
        <w:t>kavvanah</w:t>
      </w:r>
      <w:r>
        <w:rPr>
          <w:color w:val="5A4B1A"/>
          <w:sz w:val="18"/>
        </w:rPr>
        <w:t>.</w:t>
      </w:r>
    </w:p>
    <w:p>
      <w:r>
        <w:rPr>
          <w:b/>
          <w:color w:val="1E3A8A"/>
        </w:rPr>
        <w:t xml:space="preserve">29. </w:t>
      </w:r>
      <w:r>
        <w:rPr>
          <w:b/>
          <w:i/>
          <w:color w:val="1E3A8A"/>
        </w:rPr>
        <w:t>Shulchan Aruch</w:t>
      </w:r>
      <w:r>
        <w:rPr>
          <w:b/>
          <w:color w:val="1E3A8A"/>
        </w:rPr>
        <w:t xml:space="preserve">, </w:t>
      </w:r>
      <w:r>
        <w:rPr>
          <w:b/>
          <w:i/>
          <w:color w:val="1E3A8A"/>
        </w:rPr>
        <w:t>Orach Chaim</w:t>
      </w:r>
      <w:r>
        <w:rPr>
          <w:b/>
          <w:color w:val="1E3A8A"/>
        </w:rPr>
        <w:t xml:space="preserve"> 101 — the halakhic requirement of </w:t>
      </w:r>
      <w:r>
        <w:rPr>
          <w:b/>
          <w:i/>
          <w:color w:val="1E3A8A"/>
        </w:rPr>
        <w:t>kavvanah</w:t>
      </w:r>
      <w:r>
        <w:rPr>
          <w:b/>
          <w:color w:val="1E3A8A"/>
        </w:rPr>
        <w:t xml:space="preserve"> in the first </w:t>
      </w:r>
      <w:r>
        <w:rPr>
          <w:b/>
          <w:i/>
          <w:color w:val="1E3A8A"/>
        </w:rPr>
        <w:t>berachah</w:t>
      </w:r>
      <w:r>
        <w:rPr>
          <w:b/>
          <w:color w:val="1E3A8A"/>
        </w:rPr>
        <w:t xml:space="preserve"> of </w:t>
      </w:r>
      <w:r>
        <w:rPr>
          <w:b/>
          <w:i/>
          <w:color w:val="1E3A8A"/>
        </w:rPr>
        <w:t>Shemoneh Esrei</w:t>
      </w:r>
      <w:r>
        <w:rPr>
          <w:b/>
          <w:color w:val="1E3A8A"/>
        </w:rPr>
        <w:t>.</w:t>
      </w:r>
      <w:r>
        <w:t xml:space="preserve"> </w:t>
      </w:r>
      <w:r>
        <w:t xml:space="preserve">— The </w:t>
      </w:r>
      <w:r>
        <w:rPr>
          <w:i/>
        </w:rPr>
        <w:t>Shulchan Aruch</w:t>
      </w:r>
      <w:r>
        <w:t xml:space="preserve"> rules that </w:t>
      </w:r>
      <w:r>
        <w:rPr>
          <w:i/>
        </w:rPr>
        <w:t>kavvanah</w:t>
      </w:r>
      <w:r>
        <w:t xml:space="preserve"> in </w:t>
      </w:r>
      <w:r>
        <w:rPr>
          <w:i/>
        </w:rPr>
        <w:t>Birkas Avos</w:t>
      </w:r>
      <w:r>
        <w:t xml:space="preserve"> is </w:t>
      </w:r>
      <w:r>
        <w:rPr>
          <w:i/>
        </w:rPr>
        <w:t>me’akev</w:t>
      </w:r>
      <w:r>
        <w:t xml:space="preserve"> (</w:t>
      </w:r>
      <w:r>
        <w:rPr>
          <w:rFonts w:ascii="David" w:hAnsi="David"/>
        </w:rPr>
        <w:t>מעכב</w:t>
      </w:r>
      <w:r>
        <w:t xml:space="preserve">) — one who did not have </w:t>
      </w:r>
      <w:r>
        <w:rPr>
          <w:i/>
        </w:rPr>
        <w:t>kavvanah</w:t>
      </w:r>
      <w:r>
        <w:t xml:space="preserve"> in the first </w:t>
      </w:r>
      <w:r>
        <w:rPr>
          <w:i/>
        </w:rPr>
        <w:t>berachah</w:t>
      </w:r>
      <w:r>
        <w:t xml:space="preserve"> is required, </w:t>
      </w:r>
      <w:r>
        <w:rPr>
          <w:i/>
        </w:rPr>
        <w:t>be-di’avad</w:t>
      </w:r>
      <w:r>
        <w:t xml:space="preserve"> (</w:t>
      </w:r>
      <w:r>
        <w:rPr>
          <w:rFonts w:ascii="David" w:hAnsi="David"/>
        </w:rPr>
        <w:t>בדיעבד</w:t>
      </w:r>
      <w:r>
        <w:t xml:space="preserve">), to repeat the </w:t>
      </w:r>
      <w:r>
        <w:rPr>
          <w:i/>
        </w:rPr>
        <w:t>Shemoneh Esrei</w:t>
      </w:r>
      <w:r>
        <w:t xml:space="preserve">. The kabbalistic </w:t>
      </w:r>
      <w:r>
        <w:rPr>
          <w:i/>
        </w:rPr>
        <w:t>kavvanah</w:t>
      </w:r>
      <w:r>
        <w:t xml:space="preserve"> offered in the closing chapter is an </w:t>
      </w:r>
      <w:r>
        <w:rPr>
          <w:i/>
        </w:rPr>
        <w:t>enhancement</w:t>
      </w:r>
      <w:r>
        <w:t xml:space="preserve"> layered upon the halakhic requirement of understanding what one is saying; the halakhic obligation is fulfilled by the ordinary meaning of the words, and the kabbalistic overlay is for the </w:t>
      </w:r>
      <w:r>
        <w:rPr>
          <w:i/>
        </w:rPr>
        <w:t>ba’al nefesh</w:t>
      </w:r>
      <w:r>
        <w:t xml:space="preserve"> (</w:t>
      </w:r>
      <w:r>
        <w:rPr>
          <w:rFonts w:ascii="David" w:hAnsi="David"/>
        </w:rPr>
        <w:t>בעל נפש</w:t>
      </w:r>
      <w:r>
        <w:t xml:space="preserve">) who can reach it without disturbing the base </w:t>
      </w:r>
      <w:r>
        <w:rPr>
          <w:i/>
        </w:rPr>
        <w:t>kavvanah</w:t>
      </w:r>
      <w:r>
        <w:t>.</w:t>
      </w:r>
    </w:p>
    <w:p>
      <w:pPr>
        <w:pBdr>
          <w:bottom w:val="single" w:sz="6" w:space="1" w:color="B8860B"/>
        </w:pBdr>
      </w:pPr>
    </w:p>
    <w:p>
      <w:pPr>
        <w:jc w:val="center"/>
      </w:pPr>
      <w:r>
        <w:rPr>
          <w:i/>
          <w:color w:val="5A4B1A"/>
          <w:sz w:val="18"/>
        </w:rPr>
        <w:br/>
        <w:t xml:space="preserve">Sefer Edition of Rabbi Ephrati’s Sunday-morning shiur on </w:t>
      </w:r>
      <w:r>
        <w:rPr>
          <w:i/>
          <w:color w:val="5A4B1A"/>
          <w:sz w:val="18"/>
        </w:rPr>
        <w:t>Tefillah</w:t>
      </w:r>
      <w:r>
        <w:rPr>
          <w:i/>
          <w:color w:val="5A4B1A"/>
          <w:sz w:val="18"/>
        </w:rPr>
        <w:t xml:space="preserve">, recorded 16 </w:t>
      </w:r>
      <w:r>
        <w:rPr>
          <w:i/>
          <w:color w:val="5A4B1A"/>
          <w:sz w:val="18"/>
        </w:rPr>
        <w:t>Adar</w:t>
      </w:r>
      <w:r>
        <w:rPr>
          <w:i/>
          <w:color w:val="5A4B1A"/>
          <w:sz w:val="18"/>
        </w:rPr>
        <w:t xml:space="preserve"> 5785 (16 March 2025, </w:t>
      </w:r>
      <w:r>
        <w:rPr>
          <w:i/>
          <w:color w:val="5A4B1A"/>
          <w:sz w:val="18"/>
        </w:rPr>
        <w:t>Purim Katan</w:t>
      </w:r>
      <w:r>
        <w:rPr>
          <w:i/>
          <w:color w:val="5A4B1A"/>
          <w:sz w:val="18"/>
        </w:rPr>
        <w:t xml:space="preserve">). This edition incorporates the Shiur Review and Editorial Review of 30 August 2026: the three </w:t>
      </w:r>
      <w:r>
        <w:rPr>
          <w:i/>
          <w:color w:val="5A4B1A"/>
          <w:sz w:val="18"/>
        </w:rPr>
        <w:t>mehalchim</w:t>
      </w:r>
      <w:r>
        <w:rPr>
          <w:i/>
          <w:color w:val="5A4B1A"/>
          <w:sz w:val="18"/>
        </w:rPr>
        <w:t xml:space="preserve"> are now drawn together in an explicit synthetic chapter; the </w:t>
      </w:r>
      <w:r>
        <w:rPr>
          <w:i/>
          <w:color w:val="5A4B1A"/>
          <w:sz w:val="18"/>
        </w:rPr>
        <w:t>Maharam Schick</w:t>
      </w:r>
      <w:r>
        <w:rPr>
          <w:i/>
          <w:color w:val="5A4B1A"/>
          <w:sz w:val="18"/>
        </w:rPr>
        <w:t xml:space="preserve">’s linguistic pivot from </w:t>
      </w:r>
      <w:r>
        <w:rPr>
          <w:i/>
          <w:color w:val="5A4B1A"/>
          <w:sz w:val="18"/>
        </w:rPr>
        <w:t>Avraham</w:t>
      </w:r>
      <w:r>
        <w:rPr>
          <w:i/>
          <w:color w:val="5A4B1A"/>
          <w:sz w:val="18"/>
        </w:rPr>
        <w:t>-of-the-</w:t>
      </w:r>
      <w:r>
        <w:rPr>
          <w:i/>
          <w:color w:val="5A4B1A"/>
          <w:sz w:val="18"/>
        </w:rPr>
        <w:t>Avos</w:t>
      </w:r>
      <w:r>
        <w:rPr>
          <w:i/>
          <w:color w:val="5A4B1A"/>
          <w:sz w:val="18"/>
        </w:rPr>
        <w:t xml:space="preserve"> to </w:t>
      </w:r>
      <w:r>
        <w:rPr>
          <w:i/>
          <w:color w:val="5A4B1A"/>
          <w:sz w:val="18"/>
        </w:rPr>
        <w:t>Avraham</w:t>
      </w:r>
      <w:r>
        <w:rPr>
          <w:i/>
          <w:color w:val="5A4B1A"/>
          <w:sz w:val="18"/>
        </w:rPr>
        <w:t>-of-the-</w:t>
      </w:r>
      <w:r>
        <w:rPr>
          <w:i/>
          <w:color w:val="5A4B1A"/>
          <w:sz w:val="18"/>
        </w:rPr>
        <w:t>av hamon goyim</w:t>
      </w:r>
      <w:r>
        <w:rPr>
          <w:i/>
          <w:color w:val="5A4B1A"/>
          <w:sz w:val="18"/>
        </w:rPr>
        <w:t xml:space="preserve"> is defended from the </w:t>
      </w:r>
      <w:r>
        <w:rPr>
          <w:i/>
          <w:color w:val="5A4B1A"/>
          <w:sz w:val="18"/>
        </w:rPr>
        <w:t>Bereshis</w:t>
      </w:r>
      <w:r>
        <w:rPr>
          <w:i/>
          <w:color w:val="5A4B1A"/>
          <w:sz w:val="18"/>
        </w:rPr>
        <w:t xml:space="preserve"> 17:5 renaming; the self-contradicting letter claim on </w:t>
      </w:r>
      <w:r>
        <w:rPr>
          <w:i/>
          <w:color w:val="5A4B1A"/>
          <w:sz w:val="18"/>
        </w:rPr>
        <w:t>Yishu</w:t>
      </w:r>
      <w:r>
        <w:rPr>
          <w:i/>
          <w:color w:val="5A4B1A"/>
          <w:sz w:val="18"/>
        </w:rPr>
        <w:t xml:space="preserve"> / </w:t>
      </w:r>
      <w:r>
        <w:rPr>
          <w:i/>
          <w:color w:val="5A4B1A"/>
          <w:sz w:val="18"/>
        </w:rPr>
        <w:t>Eisav</w:t>
      </w:r>
      <w:r>
        <w:rPr>
          <w:i/>
          <w:color w:val="5A4B1A"/>
          <w:sz w:val="18"/>
        </w:rPr>
        <w:t xml:space="preserve"> has been corrected to a single-letter difference; the paraphrased “censored </w:t>
      </w:r>
      <w:r>
        <w:rPr>
          <w:i/>
          <w:color w:val="5A4B1A"/>
          <w:sz w:val="18"/>
        </w:rPr>
        <w:t>Rambam</w:t>
      </w:r>
      <w:r>
        <w:rPr>
          <w:i/>
          <w:color w:val="5A4B1A"/>
          <w:sz w:val="18"/>
        </w:rPr>
        <w:t xml:space="preserve">” blockquote has been demoted to indirect discourse to avoid misleading the reader about verbatim </w:t>
      </w:r>
      <w:r>
        <w:rPr>
          <w:i/>
          <w:color w:val="5A4B1A"/>
          <w:sz w:val="18"/>
        </w:rPr>
        <w:t>Rambam</w:t>
      </w:r>
      <w:r>
        <w:rPr>
          <w:i/>
          <w:color w:val="5A4B1A"/>
          <w:sz w:val="18"/>
        </w:rPr>
        <w:t xml:space="preserve">; the </w:t>
      </w:r>
      <w:r>
        <w:rPr>
          <w:i/>
          <w:color w:val="5A4B1A"/>
          <w:sz w:val="18"/>
        </w:rPr>
        <w:t>Ramban</w:t>
      </w:r>
      <w:r>
        <w:rPr>
          <w:i/>
          <w:color w:val="5A4B1A"/>
          <w:sz w:val="18"/>
        </w:rPr>
        <w:t>-on-</w:t>
      </w:r>
      <w:r>
        <w:rPr>
          <w:i/>
          <w:color w:val="5A4B1A"/>
          <w:sz w:val="18"/>
        </w:rPr>
        <w:t>chazir</w:t>
      </w:r>
      <w:r>
        <w:rPr>
          <w:i/>
          <w:color w:val="5A4B1A"/>
          <w:sz w:val="18"/>
        </w:rPr>
        <w:t xml:space="preserve"> reconciliation now leads and the </w:t>
      </w:r>
      <w:r>
        <w:rPr>
          <w:i/>
          <w:color w:val="5A4B1A"/>
          <w:sz w:val="18"/>
        </w:rPr>
        <w:t>Rambam</w:t>
      </w:r>
      <w:r>
        <w:rPr>
          <w:i/>
          <w:color w:val="5A4B1A"/>
          <w:sz w:val="18"/>
        </w:rPr>
        <w:t>-</w:t>
      </w:r>
      <w:r>
        <w:rPr>
          <w:i/>
          <w:color w:val="5A4B1A"/>
          <w:sz w:val="18"/>
        </w:rPr>
        <w:t>chad-mitzvah</w:t>
      </w:r>
      <w:r>
        <w:rPr>
          <w:i/>
          <w:color w:val="5A4B1A"/>
          <w:sz w:val="18"/>
        </w:rPr>
        <w:t xml:space="preserve"> follows; the </w:t>
      </w:r>
      <w:r>
        <w:rPr>
          <w:i/>
          <w:color w:val="5A4B1A"/>
          <w:sz w:val="18"/>
        </w:rPr>
        <w:t>Kavvanah</w:t>
      </w:r>
      <w:r>
        <w:rPr>
          <w:i/>
          <w:color w:val="5A4B1A"/>
          <w:sz w:val="18"/>
        </w:rPr>
        <w:t xml:space="preserve"> section has been folded into the closing synthesis rather than standing as an orphan; the sponsorship / </w:t>
      </w:r>
      <w:r>
        <w:rPr>
          <w:i/>
          <w:color w:val="5A4B1A"/>
          <w:sz w:val="18"/>
        </w:rPr>
        <w:t>Purim Katan</w:t>
      </w:r>
      <w:r>
        <w:rPr>
          <w:i/>
          <w:color w:val="5A4B1A"/>
          <w:sz w:val="18"/>
        </w:rPr>
        <w:t xml:space="preserve"> lead-block has been removed; the </w:t>
      </w:r>
      <w:r>
        <w:rPr>
          <w:i/>
          <w:color w:val="5A4B1A"/>
          <w:sz w:val="18"/>
        </w:rPr>
        <w:t>Yechezkel</w:t>
      </w:r>
      <w:r>
        <w:rPr>
          <w:i/>
          <w:color w:val="5A4B1A"/>
          <w:sz w:val="18"/>
        </w:rPr>
        <w:t xml:space="preserve"> </w:t>
      </w:r>
      <w:r>
        <w:rPr>
          <w:i/>
          <w:color w:val="5A4B1A"/>
          <w:sz w:val="18"/>
        </w:rPr>
        <w:t>Bayis Sheini</w:t>
      </w:r>
      <w:r>
        <w:rPr>
          <w:i/>
          <w:color w:val="5A4B1A"/>
          <w:sz w:val="18"/>
        </w:rPr>
        <w:t>/</w:t>
      </w:r>
      <w:r>
        <w:rPr>
          <w:i/>
          <w:color w:val="5A4B1A"/>
          <w:sz w:val="18"/>
        </w:rPr>
        <w:t>Shelishi</w:t>
      </w:r>
      <w:r>
        <w:rPr>
          <w:i/>
          <w:color w:val="5A4B1A"/>
          <w:sz w:val="18"/>
        </w:rPr>
        <w:t xml:space="preserve"> range is flagged in the notes; the </w:t>
      </w:r>
      <w:r>
        <w:rPr>
          <w:i/>
          <w:color w:val="5A4B1A"/>
          <w:sz w:val="18"/>
        </w:rPr>
        <w:t>gilgul</w:t>
      </w:r>
      <w:r>
        <w:rPr>
          <w:i/>
          <w:color w:val="5A4B1A"/>
          <w:sz w:val="18"/>
        </w:rPr>
        <w:t xml:space="preserve"> and Jewish-teacher-of-</w:t>
      </w:r>
      <w:r>
        <w:rPr>
          <w:i/>
          <w:color w:val="5A4B1A"/>
          <w:sz w:val="18"/>
        </w:rPr>
        <w:t>Muhammad</w:t>
      </w:r>
      <w:r>
        <w:rPr>
          <w:i/>
          <w:color w:val="5A4B1A"/>
          <w:sz w:val="18"/>
        </w:rPr>
        <w:t xml:space="preserve"> claims are labeled explicitly as kabbalistic </w:t>
      </w:r>
      <w:r>
        <w:rPr>
          <w:i/>
          <w:color w:val="5A4B1A"/>
          <w:sz w:val="18"/>
        </w:rPr>
        <w:t>mesorah</w:t>
      </w:r>
      <w:r>
        <w:rPr>
          <w:i/>
          <w:color w:val="5A4B1A"/>
          <w:sz w:val="18"/>
        </w:rPr>
        <w:t xml:space="preserve">; the </w:t>
      </w:r>
      <w:r>
        <w:rPr>
          <w:i/>
          <w:color w:val="5A4B1A"/>
          <w:sz w:val="18"/>
        </w:rPr>
        <w:t>Mateh Tov</w:t>
      </w:r>
      <w:r>
        <w:rPr>
          <w:i/>
          <w:color w:val="5A4B1A"/>
          <w:sz w:val="18"/>
        </w:rPr>
        <w:t xml:space="preserve"> attribution is hedged in the body; the </w:t>
      </w:r>
      <w:r>
        <w:rPr>
          <w:i/>
          <w:color w:val="5A4B1A"/>
          <w:sz w:val="18"/>
        </w:rPr>
        <w:t>Radbaz</w:t>
      </w:r>
      <w:r>
        <w:rPr>
          <w:i/>
          <w:color w:val="5A4B1A"/>
          <w:sz w:val="18"/>
        </w:rPr>
        <w:t xml:space="preserve"> is placed within the broader halakhic </w:t>
      </w:r>
      <w:r>
        <w:rPr>
          <w:i/>
          <w:color w:val="5A4B1A"/>
          <w:sz w:val="18"/>
        </w:rPr>
        <w:t>machlokes</w:t>
      </w:r>
      <w:r>
        <w:rPr>
          <w:i/>
          <w:color w:val="5A4B1A"/>
          <w:sz w:val="18"/>
        </w:rPr>
        <w:t>; the “painful math” framing is softened; and footnotes are renumbered in body order.</w:t>
        <w:br/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