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cs="David" w:ascii="David" w:hAnsi="David"/>
          <w:b/>
          <w:color w:val="1E3A8A"/>
          <w:sz w:val="36"/>
          <w:rtl/>
        </w:rPr>
        <w:t>קְרִיאַת הַתּוֹרָה, קְדֻשָּׁה דְסִדְרָא, וְלַמְנַצֵּחַ מִזְמוֹר לְדָוִד</w:t>
      </w:r>
    </w:p>
    <w:p>
      <w:pPr>
        <w:jc w:val="center"/>
      </w:pPr>
      <w:r>
        <w:rPr>
          <w:rFonts w:cs="David"/>
          <w:color w:val="B8860B"/>
          <w:sz w:val="26"/>
        </w:rPr>
        <w:t>The Torah Reading, Kedushah DeSidra, and Lamnatzeach: Birkas HaGomel, Ashrei, and the Earliest Source</w:t>
      </w:r>
    </w:p>
    <w:p>
      <w:pPr>
        <w:jc w:val="center"/>
      </w:pPr>
      <w:r>
        <w:rPr>
          <w:rFonts w:cs="David"/>
          <w:i/>
          <w:color w:val="2C5282"/>
          <w:sz w:val="22"/>
        </w:rPr>
        <w:t xml:space="preserve">Studies in </w:t>
      </w:r>
      <w:r>
        <w:rPr>
          <w:rFonts w:cs="David"/>
          <w:i/>
          <w:color w:val="2C5282"/>
          <w:sz w:val="22"/>
        </w:rPr>
        <w:t>Tefillah</w:t>
      </w:r>
      <w:r>
        <w:rPr>
          <w:rFonts w:cs="David"/>
          <w:i/>
          <w:color w:val="2C5282"/>
          <w:sz w:val="22"/>
        </w:rPr>
        <w:t xml:space="preserve"> (</w:t>
      </w:r>
      <w:r>
        <w:rPr>
          <w:rFonts w:cs="David" w:ascii="David" w:hAnsi="David"/>
          <w:i/>
          <w:color w:val="2C5282"/>
          <w:sz w:val="22"/>
          <w:rtl/>
        </w:rPr>
        <w:t>תפילה</w:t>
      </w:r>
      <w:r>
        <w:rPr>
          <w:rFonts w:cs="David"/>
          <w:i/>
          <w:color w:val="2C5282"/>
          <w:sz w:val="22"/>
        </w:rPr>
        <w:t>)</w:t>
      </w:r>
      <w:r>
        <w:rPr>
          <w:rFonts w:cs="David"/>
          <w:i/>
          <w:color w:val="2C5282"/>
          <w:sz w:val="22"/>
        </w:rPr>
        <w:t xml:space="preserve"> — From the Open Ark to the Close of Davening</w:t>
      </w:r>
    </w:p>
    <w:p>
      <w:pPr>
        <w:jc w:val="center"/>
      </w:pPr>
      <w:r>
        <w:rPr>
          <w:rFonts w:cs="David"/>
          <w:color w:val="5A4B1A"/>
          <w:sz w:val="18"/>
        </w:rPr>
        <w:t>17 Kislev 5786 · 7 December 2025 · Sefer Edition</w:t>
      </w:r>
    </w:p>
    <w:p/>
    <w:p>
      <w:pPr>
        <w:ind w:left="200"/>
      </w:pPr>
      <w:r>
        <w:rPr>
          <w:rFonts w:cs="David"/>
          <w:i/>
          <w:color w:val="3B3B3B"/>
        </w:rPr>
        <w:t xml:space="preserve">This discourse leaves the opened ark of the previous week, the </w:t>
      </w:r>
      <w:r>
        <w:rPr>
          <w:rFonts w:cs="David"/>
          <w:i/>
          <w:color w:val="3B3B3B"/>
        </w:rPr>
        <w:t>Brich Shmei</w:t>
      </w:r>
      <w:r>
        <w:rPr>
          <w:rFonts w:cs="David"/>
          <w:i/>
          <w:color w:val="3B3B3B"/>
        </w:rPr>
        <w:t xml:space="preserve"> (</w:t>
      </w:r>
      <w:r>
        <w:rPr>
          <w:rFonts w:cs="David" w:ascii="David" w:hAnsi="David"/>
          <w:i/>
          <w:color w:val="1E3A8A"/>
          <w:rtl/>
        </w:rPr>
        <w:t>בריך שמיה</w:t>
      </w:r>
      <w:r>
        <w:rPr>
          <w:rFonts w:cs="David"/>
          <w:i/>
          <w:color w:val="3B3B3B"/>
        </w:rPr>
        <w:t>)</w:t>
      </w:r>
      <w:r>
        <w:rPr>
          <w:rFonts w:cs="David"/>
          <w:i/>
          <w:color w:val="3B3B3B"/>
        </w:rPr>
        <w:t xml:space="preserve">, and takes up the reading of the Torah itself: why every </w:t>
      </w:r>
      <w:r>
        <w:rPr>
          <w:rFonts w:cs="David"/>
          <w:i/>
          <w:color w:val="3B3B3B"/>
        </w:rPr>
        <w:t>oleh</w:t>
      </w:r>
      <w:r>
        <w:rPr>
          <w:rFonts w:cs="David"/>
          <w:i/>
          <w:color w:val="3B3B3B"/>
        </w:rPr>
        <w:t xml:space="preserve"> (</w:t>
      </w:r>
      <w:r>
        <w:rPr>
          <w:rFonts w:cs="David" w:ascii="David" w:hAnsi="David"/>
          <w:i/>
          <w:color w:val="1E3A8A"/>
          <w:rtl/>
        </w:rPr>
        <w:t>עולה</w:t>
      </w:r>
      <w:r>
        <w:rPr>
          <w:rFonts w:cs="David"/>
          <w:i/>
          <w:color w:val="3B3B3B"/>
        </w:rPr>
        <w:t>)</w:t>
      </w:r>
      <w:r>
        <w:rPr>
          <w:rFonts w:cs="David"/>
          <w:i/>
          <w:color w:val="3B3B3B"/>
        </w:rPr>
        <w:t xml:space="preserve"> makes a blessing of his own before and after his portion; why </w:t>
      </w:r>
      <w:r>
        <w:rPr>
          <w:rFonts w:cs="David"/>
          <w:i/>
          <w:color w:val="3B3B3B"/>
        </w:rPr>
        <w:t>Birkas HaGomel</w:t>
      </w:r>
      <w:r>
        <w:rPr>
          <w:rFonts w:cs="David"/>
          <w:i/>
          <w:color w:val="3B3B3B"/>
        </w:rPr>
        <w:t xml:space="preserve"> (</w:t>
      </w:r>
      <w:r>
        <w:rPr>
          <w:rFonts w:cs="David" w:ascii="David" w:hAnsi="David"/>
          <w:i/>
          <w:color w:val="1E3A8A"/>
          <w:rtl/>
        </w:rPr>
        <w:t>ברכת הגומל</w:t>
      </w:r>
      <w:r>
        <w:rPr>
          <w:rFonts w:cs="David"/>
          <w:i/>
          <w:color w:val="3B3B3B"/>
        </w:rPr>
        <w:t>)</w:t>
      </w:r>
      <w:r>
        <w:rPr>
          <w:rFonts w:cs="David"/>
          <w:i/>
          <w:color w:val="3B3B3B"/>
        </w:rPr>
        <w:t xml:space="preserve"> is said at the reading; and the Monday-and-Thursday </w:t>
      </w:r>
      <w:r>
        <w:rPr>
          <w:rFonts w:cs="David"/>
          <w:i/>
          <w:color w:val="3B3B3B"/>
        </w:rPr>
        <w:t>Yehi Ratzons</w:t>
      </w:r>
      <w:r>
        <w:rPr>
          <w:rFonts w:cs="David"/>
          <w:i/>
          <w:color w:val="3B3B3B"/>
        </w:rPr>
        <w:t xml:space="preserve"> (</w:t>
      </w:r>
      <w:r>
        <w:rPr>
          <w:rFonts w:cs="David" w:ascii="David" w:hAnsi="David"/>
          <w:i/>
          <w:color w:val="1E3A8A"/>
          <w:rtl/>
        </w:rPr>
        <w:t>יהי רצון</w:t>
      </w:r>
      <w:r>
        <w:rPr>
          <w:rFonts w:cs="David"/>
          <w:i/>
          <w:color w:val="3B3B3B"/>
        </w:rPr>
        <w:t>)</w:t>
      </w:r>
      <w:r>
        <w:rPr>
          <w:rFonts w:cs="David"/>
          <w:i/>
          <w:color w:val="3B3B3B"/>
        </w:rPr>
        <w:t>, one of which was lost to censorship.</w:t>
      </w:r>
    </w:p>
    <w:p>
      <w:pPr>
        <w:ind w:left="200"/>
      </w:pPr>
      <w:r>
        <w:rPr>
          <w:rFonts w:cs="David"/>
          <w:i/>
          <w:color w:val="3B3B3B"/>
        </w:rPr>
        <w:t xml:space="preserve">It then passes to </w:t>
      </w:r>
      <w:r>
        <w:rPr>
          <w:rFonts w:cs="David"/>
          <w:i/>
          <w:color w:val="3B3B3B"/>
        </w:rPr>
        <w:t>Kedushah DeSidra</w:t>
      </w:r>
      <w:r>
        <w:rPr>
          <w:rFonts w:cs="David"/>
          <w:i/>
          <w:color w:val="3B3B3B"/>
        </w:rPr>
        <w:t xml:space="preserve"> (</w:t>
      </w:r>
      <w:r>
        <w:rPr>
          <w:rFonts w:cs="David" w:ascii="David" w:hAnsi="David"/>
          <w:i/>
          <w:color w:val="1E3A8A"/>
          <w:rtl/>
        </w:rPr>
        <w:t>קדושה דסידרא</w:t>
      </w:r>
      <w:r>
        <w:rPr>
          <w:rFonts w:cs="David"/>
          <w:i/>
          <w:color w:val="3B3B3B"/>
        </w:rPr>
        <w:t>)</w:t>
      </w:r>
      <w:r>
        <w:rPr>
          <w:rFonts w:cs="David"/>
          <w:i/>
          <w:color w:val="3B3B3B"/>
        </w:rPr>
        <w:t xml:space="preserve">: why </w:t>
      </w:r>
      <w:r>
        <w:rPr>
          <w:rFonts w:cs="David"/>
          <w:i/>
          <w:color w:val="3B3B3B"/>
        </w:rPr>
        <w:t>Ashrei</w:t>
      </w:r>
      <w:r>
        <w:rPr>
          <w:rFonts w:cs="David"/>
          <w:i/>
          <w:color w:val="3B3B3B"/>
        </w:rPr>
        <w:t xml:space="preserve"> (</w:t>
      </w:r>
      <w:r>
        <w:rPr>
          <w:rFonts w:cs="David" w:ascii="David" w:hAnsi="David"/>
          <w:i/>
          <w:color w:val="1E3A8A"/>
          <w:rtl/>
        </w:rPr>
        <w:t>אשרי</w:t>
      </w:r>
      <w:r>
        <w:rPr>
          <w:rFonts w:cs="David"/>
          <w:i/>
          <w:color w:val="3B3B3B"/>
        </w:rPr>
        <w:t>)</w:t>
      </w:r>
      <w:r>
        <w:rPr>
          <w:rFonts w:cs="David"/>
          <w:i/>
          <w:color w:val="3B3B3B"/>
        </w:rPr>
        <w:t xml:space="preserve"> is said three times a day and why it is said again here, before </w:t>
      </w:r>
      <w:r>
        <w:rPr>
          <w:rFonts w:cs="David"/>
          <w:i/>
          <w:color w:val="3B3B3B"/>
        </w:rPr>
        <w:t>Uva LeTzion</w:t>
      </w:r>
      <w:r>
        <w:rPr>
          <w:rFonts w:cs="David"/>
          <w:i/>
          <w:color w:val="3B3B3B"/>
        </w:rPr>
        <w:t xml:space="preserve"> (</w:t>
      </w:r>
      <w:r>
        <w:rPr>
          <w:rFonts w:cs="David" w:ascii="David" w:hAnsi="David"/>
          <w:i/>
          <w:color w:val="1E3A8A"/>
          <w:rtl/>
        </w:rPr>
        <w:t>ובא לציון</w:t>
      </w:r>
      <w:r>
        <w:rPr>
          <w:rFonts w:cs="David"/>
          <w:i/>
          <w:color w:val="3B3B3B"/>
        </w:rPr>
        <w:t>)</w:t>
      </w:r>
      <w:r>
        <w:rPr>
          <w:rFonts w:cs="David"/>
          <w:i/>
          <w:color w:val="3B3B3B"/>
        </w:rPr>
        <w:t xml:space="preserve">; the contrast between the </w:t>
      </w:r>
      <w:r>
        <w:rPr>
          <w:rFonts w:cs="David"/>
          <w:i/>
          <w:color w:val="3B3B3B"/>
        </w:rPr>
        <w:t>Aruch HaShulchan</w:t>
      </w:r>
      <w:r>
        <w:rPr>
          <w:rFonts w:cs="David"/>
          <w:i/>
          <w:color w:val="3B3B3B"/>
        </w:rPr>
        <w:t xml:space="preserve"> (</w:t>
      </w:r>
      <w:r>
        <w:rPr>
          <w:rFonts w:cs="David" w:ascii="David" w:hAnsi="David"/>
          <w:i/>
          <w:color w:val="1E3A8A"/>
          <w:rtl/>
        </w:rPr>
        <w:t>ערוך השלחן</w:t>
      </w:r>
      <w:r>
        <w:rPr>
          <w:rFonts w:cs="David"/>
          <w:i/>
          <w:color w:val="3B3B3B"/>
        </w:rPr>
        <w:t>)</w:t>
      </w:r>
      <w:r>
        <w:rPr>
          <w:rFonts w:cs="David"/>
          <w:i/>
          <w:color w:val="3B3B3B"/>
        </w:rPr>
        <w:t xml:space="preserve"> and the </w:t>
      </w:r>
      <w:r>
        <w:rPr>
          <w:rFonts w:cs="David"/>
          <w:i/>
          <w:color w:val="3B3B3B"/>
        </w:rPr>
        <w:t>Mishnah Berurah</w:t>
      </w:r>
      <w:r>
        <w:rPr>
          <w:rFonts w:cs="David"/>
          <w:i/>
          <w:color w:val="3B3B3B"/>
        </w:rPr>
        <w:t xml:space="preserve"> (</w:t>
      </w:r>
      <w:r>
        <w:rPr>
          <w:rFonts w:cs="David" w:ascii="David" w:hAnsi="David"/>
          <w:i/>
          <w:color w:val="1E3A8A"/>
          <w:rtl/>
        </w:rPr>
        <w:t>משנה ברורה</w:t>
      </w:r>
      <w:r>
        <w:rPr>
          <w:rFonts w:cs="David"/>
          <w:i/>
          <w:color w:val="3B3B3B"/>
        </w:rPr>
        <w:t>)</w:t>
      </w:r>
      <w:r>
        <w:rPr>
          <w:rFonts w:cs="David"/>
          <w:i/>
          <w:color w:val="3B3B3B"/>
        </w:rPr>
        <w:t xml:space="preserve">; and the earliest source of </w:t>
      </w:r>
      <w:r>
        <w:rPr>
          <w:rFonts w:cs="David"/>
          <w:i/>
          <w:color w:val="3B3B3B"/>
        </w:rPr>
        <w:t>Lamnatzeach</w:t>
      </w:r>
      <w:r>
        <w:rPr>
          <w:rFonts w:cs="David"/>
          <w:i/>
          <w:color w:val="3B3B3B"/>
        </w:rPr>
        <w:t xml:space="preserve"> (</w:t>
      </w:r>
      <w:r>
        <w:rPr>
          <w:rFonts w:cs="David" w:ascii="David" w:hAnsi="David"/>
          <w:i/>
          <w:color w:val="1E3A8A"/>
          <w:rtl/>
        </w:rPr>
        <w:t>למנצח</w:t>
      </w:r>
      <w:r>
        <w:rPr>
          <w:rFonts w:cs="David"/>
          <w:i/>
          <w:color w:val="3B3B3B"/>
        </w:rPr>
        <w:t>)</w:t>
      </w:r>
      <w:r>
        <w:rPr>
          <w:rFonts w:cs="David"/>
          <w:i/>
          <w:color w:val="3B3B3B"/>
        </w:rPr>
        <w:t xml:space="preserve">, in a responsum of </w:t>
      </w:r>
      <w:r>
        <w:rPr>
          <w:rFonts w:cs="David"/>
          <w:i/>
          <w:color w:val="3B3B3B"/>
        </w:rPr>
        <w:t>Rav Natronai Gaon</w:t>
      </w:r>
      <w:r>
        <w:rPr>
          <w:rFonts w:cs="David"/>
          <w:i/>
          <w:color w:val="3B3B3B"/>
        </w:rPr>
        <w:t xml:space="preserve"> (</w:t>
      </w:r>
      <w:r>
        <w:rPr>
          <w:rFonts w:cs="David" w:ascii="David" w:hAnsi="David"/>
          <w:i/>
          <w:color w:val="1E3A8A"/>
          <w:rtl/>
        </w:rPr>
        <w:t>רב נטרונאי גאון</w:t>
      </w:r>
      <w:r>
        <w:rPr>
          <w:rFonts w:cs="David"/>
          <w:i/>
          <w:color w:val="3B3B3B"/>
        </w:rPr>
        <w:t>)</w:t>
      </w:r>
      <w:r>
        <w:rPr>
          <w:rFonts w:cs="David"/>
          <w:i/>
          <w:color w:val="3B3B3B"/>
        </w:rPr>
        <w:t xml:space="preserve"> to the Jews of Lucena, with the picture of the </w:t>
      </w:r>
      <w:r>
        <w:rPr>
          <w:rFonts w:cs="David"/>
          <w:i/>
          <w:color w:val="3B3B3B"/>
        </w:rPr>
        <w:t>Beis Rabbeinu SheBeBavel</w:t>
      </w:r>
      <w:r>
        <w:rPr>
          <w:rFonts w:cs="David"/>
          <w:i/>
          <w:color w:val="3B3B3B"/>
        </w:rPr>
        <w:t xml:space="preserve"> (</w:t>
      </w:r>
      <w:r>
        <w:rPr>
          <w:rFonts w:cs="David" w:ascii="David" w:hAnsi="David"/>
          <w:i/>
          <w:color w:val="1E3A8A"/>
          <w:rtl/>
        </w:rPr>
        <w:t>בית רבינו שבבבל</w:t>
      </w:r>
      <w:r>
        <w:rPr>
          <w:rFonts w:cs="David"/>
          <w:i/>
          <w:color w:val="3B3B3B"/>
        </w:rPr>
        <w:t>)</w:t>
      </w:r>
      <w:r>
        <w:rPr>
          <w:rFonts w:cs="David"/>
          <w:i/>
          <w:color w:val="3B3B3B"/>
        </w:rPr>
        <w:t xml:space="preserve"> behind it.</w:t>
      </w:r>
    </w:p>
    <w:p>
      <w:pPr>
        <w:ind w:left="200"/>
      </w:pPr>
      <w:r>
        <w:rPr>
          <w:rFonts w:cs="David"/>
          <w:i/>
          <w:color w:val="3B3B3B"/>
        </w:rPr>
        <w:t xml:space="preserve">The discourse stops, as the lecturer says, in the middle of </w:t>
      </w:r>
      <w:r>
        <w:rPr>
          <w:rFonts w:cs="David"/>
          <w:i/>
          <w:color w:val="3B3B3B"/>
        </w:rPr>
        <w:t>Lamnatzeach</w:t>
      </w:r>
      <w:r>
        <w:rPr>
          <w:rFonts w:cs="David"/>
          <w:i/>
          <w:color w:val="3B3B3B"/>
        </w:rPr>
        <w:t xml:space="preserve"> (</w:t>
      </w:r>
      <w:r>
        <w:rPr>
          <w:rFonts w:cs="David" w:ascii="David" w:hAnsi="David"/>
          <w:i/>
          <w:color w:val="1E3A8A"/>
          <w:rtl/>
        </w:rPr>
        <w:t>למנצח</w:t>
      </w:r>
      <w:r>
        <w:rPr>
          <w:rFonts w:cs="David"/>
          <w:i/>
          <w:color w:val="3B3B3B"/>
        </w:rPr>
        <w:t>)</w:t>
      </w:r>
      <w:r>
        <w:rPr>
          <w:rFonts w:cs="David"/>
          <w:i/>
          <w:color w:val="3B3B3B"/>
        </w:rPr>
        <w:t>, with the promise to continue the following week.</w:t>
      </w:r>
    </w:p>
    <w:p>
      <w:pPr>
        <w:jc w:val="center"/>
      </w:pPr>
      <w:r>
        <w:rPr>
          <w:rFonts w:cs="David" w:ascii="David" w:hAnsi="David"/>
          <w:color w:val="B8860B"/>
          <w:rtl/>
        </w:rPr>
        <w:t>✦   ✦   ✦</w:t>
      </w:r>
    </w:p>
    <w:p>
      <w:pPr>
        <w:spacing w:before="280"/>
      </w:pPr>
      <w:r>
        <w:rPr>
          <w:rFonts w:cs="David"/>
          <w:b/>
          <w:color w:val="1E3A8A"/>
          <w:sz w:val="26"/>
        </w:rPr>
        <w:t>I. THE BLESSINGS OF THE OLEH</w:t>
      </w:r>
    </w:p>
    <w:p>
      <w:pPr>
        <w:spacing w:before="160"/>
      </w:pPr>
      <w:r>
        <w:rPr>
          <w:rFonts w:cs="David"/>
          <w:i/>
          <w:color w:val="B8860B"/>
          <w:sz w:val="24"/>
        </w:rPr>
        <w:t>The Question</w:t>
      </w:r>
    </w:p>
    <w:p>
      <w:r>
        <w:rPr>
          <w:rFonts w:cs="David"/>
        </w:rPr>
        <w:t>A person called up to the Torah blesses before and after his portion. The question arises at once: a blessing over the Torah (</w:t>
      </w:r>
      <w:r>
        <w:rPr>
          <w:rFonts w:cs="David"/>
          <w:i/>
        </w:rPr>
        <w:t>Birkas HaTorah</w:t>
      </w:r>
      <w:r>
        <w:rPr>
          <w:rFonts w:cs="David"/>
        </w:rPr>
        <w:t xml:space="preserve"> (</w:t>
      </w:r>
      <w:r>
        <w:rPr>
          <w:rFonts w:cs="David" w:ascii="David" w:hAnsi="David"/>
          <w:color w:val="1E3A8A"/>
          <w:rtl/>
        </w:rPr>
        <w:t>ברכת התורה</w:t>
      </w:r>
      <w:r>
        <w:rPr>
          <w:rFonts w:cs="David"/>
        </w:rPr>
        <w:t>)</w:t>
      </w:r>
      <w:r>
        <w:rPr>
          <w:rFonts w:cs="David"/>
        </w:rPr>
        <w:t>) was already said that morning, as every morning. Why must a second blessing be made at the reading?</w:t>
      </w:r>
    </w:p>
    <w:p>
      <w:pPr>
        <w:spacing w:before="160"/>
      </w:pPr>
      <w:r>
        <w:rPr>
          <w:rFonts w:cs="David"/>
          <w:i/>
          <w:color w:val="B8860B"/>
          <w:sz w:val="24"/>
        </w:rPr>
        <w:t>Originally Every Oleh Read for Himself</w:t>
      </w:r>
    </w:p>
    <w:p>
      <w:r>
        <w:rPr>
          <w:rFonts w:cs="David"/>
        </w:rPr>
        <w:t xml:space="preserve">In the days of the </w:t>
      </w:r>
      <w:r>
        <w:rPr>
          <w:rFonts w:cs="David"/>
          <w:i/>
        </w:rPr>
        <w:t>Mishnah</w:t>
      </w:r>
      <w:r>
        <w:rPr>
          <w:rFonts w:cs="David"/>
        </w:rPr>
        <w:t xml:space="preserve"> (</w:t>
      </w:r>
      <w:r>
        <w:rPr>
          <w:rFonts w:cs="David" w:ascii="David" w:hAnsi="David"/>
          <w:color w:val="1E3A8A"/>
          <w:rtl/>
        </w:rPr>
        <w:t>משנה</w:t>
      </w:r>
      <w:r>
        <w:rPr>
          <w:rFonts w:cs="David"/>
        </w:rPr>
        <w:t>)</w:t>
      </w:r>
      <w:r>
        <w:rPr>
          <w:rFonts w:cs="David"/>
        </w:rPr>
        <w:t xml:space="preserve"> and the </w:t>
      </w:r>
      <w:r>
        <w:rPr>
          <w:rFonts w:cs="David"/>
          <w:i/>
        </w:rPr>
        <w:t>Gemara</w:t>
      </w:r>
      <w:r>
        <w:rPr>
          <w:rFonts w:cs="David"/>
        </w:rPr>
        <w:t xml:space="preserve"> (</w:t>
      </w:r>
      <w:r>
        <w:rPr>
          <w:rFonts w:cs="David" w:ascii="David" w:hAnsi="David"/>
          <w:color w:val="1E3A8A"/>
          <w:rtl/>
        </w:rPr>
        <w:t>גמרא</w:t>
      </w:r>
      <w:r>
        <w:rPr>
          <w:rFonts w:cs="David"/>
        </w:rPr>
        <w:t>)</w:t>
      </w:r>
      <w:r>
        <w:rPr>
          <w:rFonts w:cs="David"/>
          <w:color w:val="B8860B"/>
          <w:vertAlign w:val="superscript"/>
        </w:rPr>
        <w:t>[1]</w:t>
      </w:r>
      <w:r>
        <w:rPr>
          <w:rFonts w:cs="David"/>
        </w:rPr>
        <w:t xml:space="preserve"> every person called up read his own portion. Whoever received an </w:t>
      </w:r>
      <w:r>
        <w:rPr>
          <w:rFonts w:cs="David"/>
          <w:i/>
        </w:rPr>
        <w:t>aliyah</w:t>
      </w:r>
      <w:r>
        <w:rPr>
          <w:rFonts w:cs="David"/>
        </w:rPr>
        <w:t xml:space="preserve"> (</w:t>
      </w:r>
      <w:r>
        <w:rPr>
          <w:rFonts w:cs="David" w:ascii="David" w:hAnsi="David"/>
          <w:color w:val="1E3A8A"/>
          <w:rtl/>
        </w:rPr>
        <w:t>עליה</w:t>
      </w:r>
      <w:r>
        <w:rPr>
          <w:rFonts w:cs="David"/>
        </w:rPr>
        <w:t>)</w:t>
      </w:r>
      <w:r>
        <w:rPr>
          <w:rFonts w:cs="David"/>
        </w:rPr>
        <w:t xml:space="preserve"> had to know it, including the cantillation (</w:t>
      </w:r>
      <w:r>
        <w:rPr>
          <w:rFonts w:cs="David"/>
          <w:i/>
        </w:rPr>
        <w:t>taamim</w:t>
      </w:r>
      <w:r>
        <w:rPr>
          <w:rFonts w:cs="David"/>
        </w:rPr>
        <w:t xml:space="preserve"> (</w:t>
      </w:r>
      <w:r>
        <w:rPr>
          <w:rFonts w:cs="David" w:ascii="David" w:hAnsi="David"/>
          <w:color w:val="1E3A8A"/>
          <w:rtl/>
        </w:rPr>
        <w:t>טעמים</w:t>
      </w:r>
      <w:r>
        <w:rPr>
          <w:rFonts w:cs="David"/>
        </w:rPr>
        <w:t>)</w:t>
      </w:r>
      <w:r>
        <w:rPr>
          <w:rFonts w:cs="David"/>
        </w:rPr>
        <w:t>) and the grammar of every word, and some communities still keep this practice. The law is that one who is not prepared may not read. The lecturer related that on the previous day he himself had given the reading to another because he had not prepared.</w:t>
      </w:r>
    </w:p>
    <w:p>
      <w:pPr>
        <w:spacing w:before="160"/>
      </w:pPr>
      <w:r>
        <w:rPr>
          <w:rFonts w:cs="David"/>
          <w:i/>
          <w:color w:val="B8860B"/>
          <w:sz w:val="24"/>
        </w:rPr>
        <w:t>Two Verses and One Targum as Preparation</w:t>
      </w:r>
    </w:p>
    <w:p>
      <w:r>
        <w:rPr>
          <w:rFonts w:cs="David"/>
        </w:rPr>
        <w:t>How could a person prepare when he did not know whether he would be called? The authorities answer</w:t>
      </w:r>
      <w:r>
        <w:rPr>
          <w:rFonts w:cs="David"/>
          <w:color w:val="B8860B"/>
          <w:vertAlign w:val="superscript"/>
        </w:rPr>
        <w:t>[2]</w:t>
      </w:r>
      <w:r>
        <w:rPr>
          <w:rFonts w:cs="David"/>
        </w:rPr>
        <w:t xml:space="preserve"> that one who completes the portion each week, </w:t>
      </w:r>
      <w:r>
        <w:rPr>
          <w:rFonts w:cs="David"/>
          <w:i/>
        </w:rPr>
        <w:t>shnayim mikra v’echad targum</w:t>
      </w:r>
      <w:r>
        <w:rPr>
          <w:rFonts w:cs="David"/>
        </w:rPr>
        <w:t xml:space="preserve"> (</w:t>
      </w:r>
      <w:r>
        <w:rPr>
          <w:rFonts w:cs="David" w:ascii="David" w:hAnsi="David"/>
          <w:color w:val="1E3A8A"/>
          <w:rtl/>
        </w:rPr>
        <w:t>שנים מקרא ואחד תרגום</w:t>
      </w:r>
      <w:r>
        <w:rPr>
          <w:rFonts w:cs="David"/>
        </w:rPr>
        <w:t>)</w:t>
      </w:r>
      <w:r>
        <w:rPr>
          <w:rFonts w:cs="David"/>
        </w:rPr>
        <w:t xml:space="preserve">, is sufficiently prepared. The lecturer remarks that he does not believe those who review the portion twice today could take any unprepared </w:t>
      </w:r>
      <w:r>
        <w:rPr>
          <w:rFonts w:cs="David"/>
          <w:i/>
        </w:rPr>
        <w:t>aliyah</w:t>
      </w:r>
      <w:r>
        <w:rPr>
          <w:rFonts w:cs="David"/>
        </w:rPr>
        <w:t xml:space="preserve"> (</w:t>
      </w:r>
      <w:r>
        <w:rPr>
          <w:rFonts w:cs="David" w:ascii="David" w:hAnsi="David"/>
          <w:color w:val="1E3A8A"/>
          <w:rtl/>
        </w:rPr>
        <w:t>עליה</w:t>
      </w:r>
      <w:r>
        <w:rPr>
          <w:rFonts w:cs="David"/>
        </w:rPr>
        <w:t>)</w:t>
      </w:r>
      <w:r>
        <w:rPr>
          <w:rFonts w:cs="David"/>
        </w:rPr>
        <w:t xml:space="preserve"> without further practice. But today the </w:t>
      </w:r>
      <w:r>
        <w:rPr>
          <w:rFonts w:cs="David"/>
          <w:i/>
        </w:rPr>
        <w:t>baal korei</w:t>
      </w:r>
      <w:r>
        <w:rPr>
          <w:rFonts w:cs="David"/>
        </w:rPr>
        <w:t xml:space="preserve"> (</w:t>
      </w:r>
      <w:r>
        <w:rPr>
          <w:rFonts w:cs="David" w:ascii="David" w:hAnsi="David"/>
          <w:color w:val="1E3A8A"/>
          <w:rtl/>
        </w:rPr>
        <w:t>בעל קורא</w:t>
      </w:r>
      <w:r>
        <w:rPr>
          <w:rFonts w:cs="David"/>
        </w:rPr>
        <w:t>)</w:t>
      </w:r>
      <w:r>
        <w:rPr>
          <w:rFonts w:cs="David"/>
        </w:rPr>
        <w:t xml:space="preserve"> reads everything and the </w:t>
      </w:r>
      <w:r>
        <w:rPr>
          <w:rFonts w:cs="David"/>
          <w:i/>
        </w:rPr>
        <w:t>oleh</w:t>
      </w:r>
      <w:r>
        <w:rPr>
          <w:rFonts w:cs="David"/>
        </w:rPr>
        <w:t xml:space="preserve"> (</w:t>
      </w:r>
      <w:r>
        <w:rPr>
          <w:rFonts w:cs="David" w:ascii="David" w:hAnsi="David"/>
          <w:color w:val="1E3A8A"/>
          <w:rtl/>
        </w:rPr>
        <w:t>עולה</w:t>
      </w:r>
      <w:r>
        <w:rPr>
          <w:rFonts w:cs="David"/>
        </w:rPr>
        <w:t>)</w:t>
      </w:r>
      <w:r>
        <w:rPr>
          <w:rFonts w:cs="David"/>
        </w:rPr>
        <w:t xml:space="preserve"> only stands; it is the </w:t>
      </w:r>
      <w:r>
        <w:rPr>
          <w:rFonts w:cs="David"/>
          <w:i/>
        </w:rPr>
        <w:t>baal korei</w:t>
      </w:r>
      <w:r>
        <w:rPr>
          <w:rFonts w:cs="David"/>
        </w:rPr>
        <w:t xml:space="preserve"> (</w:t>
      </w:r>
      <w:r>
        <w:rPr>
          <w:rFonts w:cs="David" w:ascii="David" w:hAnsi="David"/>
          <w:color w:val="1E3A8A"/>
          <w:rtl/>
        </w:rPr>
        <w:t>בעל קורא</w:t>
      </w:r>
      <w:r>
        <w:rPr>
          <w:rFonts w:cs="David"/>
        </w:rPr>
        <w:t>)</w:t>
      </w:r>
      <w:r>
        <w:rPr>
          <w:rFonts w:cs="David"/>
        </w:rPr>
        <w:t xml:space="preserve"> who must prepare.</w:t>
      </w:r>
    </w:p>
    <w:p>
      <w:pPr>
        <w:spacing w:before="160"/>
      </w:pPr>
      <w:r>
        <w:rPr>
          <w:rFonts w:cs="David"/>
          <w:i/>
          <w:color w:val="B8860B"/>
          <w:sz w:val="24"/>
        </w:rPr>
        <w:t>The Reason for the Extra Blessing: Kavod HaTorah</w:t>
      </w:r>
    </w:p>
    <w:p>
      <w:r>
        <w:rPr>
          <w:rFonts w:cs="David"/>
        </w:rPr>
        <w:t>Why, then, the additional blessing? Because of the honor of the Torah (</w:t>
      </w:r>
      <w:r>
        <w:rPr>
          <w:rFonts w:cs="David"/>
          <w:i/>
        </w:rPr>
        <w:t>kavod haTorah</w:t>
      </w:r>
      <w:r>
        <w:rPr>
          <w:rFonts w:cs="David"/>
        </w:rPr>
        <w:t xml:space="preserve"> (</w:t>
      </w:r>
      <w:r>
        <w:rPr>
          <w:rFonts w:cs="David" w:ascii="David" w:hAnsi="David"/>
          <w:color w:val="1E3A8A"/>
          <w:rtl/>
        </w:rPr>
        <w:t>כבוד התורה</w:t>
      </w:r>
      <w:r>
        <w:rPr>
          <w:rFonts w:cs="David"/>
        </w:rPr>
        <w:t>)</w:t>
      </w:r>
      <w:r>
        <w:rPr>
          <w:rFonts w:cs="David"/>
        </w:rPr>
        <w:t>). The morning blessings are for one’s private study. When the Torah is read for the entire congregation, a fresh blessing is required out of respect for it.</w:t>
      </w:r>
    </w:p>
    <w:p>
      <w:pPr>
        <w:spacing w:before="280"/>
      </w:pPr>
      <w:r>
        <w:rPr>
          <w:rFonts w:cs="David"/>
          <w:b/>
          <w:color w:val="1E3A8A"/>
          <w:sz w:val="26"/>
        </w:rPr>
        <w:t>II. WHY EVERY OLEH: THE DECREE ON ACCOUNT OF THOSE ENTERING AND LEAVING</w:t>
      </w:r>
    </w:p>
    <w:p>
      <w:pPr>
        <w:spacing w:before="160"/>
      </w:pPr>
      <w:r>
        <w:rPr>
          <w:rFonts w:cs="David"/>
          <w:i/>
          <w:color w:val="B8860B"/>
          <w:sz w:val="24"/>
        </w:rPr>
        <w:t>The Older Practice</w:t>
      </w:r>
    </w:p>
    <w:p>
      <w:r>
        <w:rPr>
          <w:rFonts w:cs="David"/>
        </w:rPr>
        <w:t xml:space="preserve">The </w:t>
      </w:r>
      <w:r>
        <w:rPr>
          <w:rFonts w:cs="David"/>
          <w:i/>
        </w:rPr>
        <w:t>Gemara</w:t>
      </w:r>
      <w:r>
        <w:rPr>
          <w:rFonts w:cs="David"/>
        </w:rPr>
        <w:t xml:space="preserve"> (</w:t>
      </w:r>
      <w:r>
        <w:rPr>
          <w:rFonts w:cs="David" w:ascii="David" w:hAnsi="David"/>
          <w:color w:val="1E3A8A"/>
          <w:rtl/>
        </w:rPr>
        <w:t>גמרא</w:t>
      </w:r>
      <w:r>
        <w:rPr>
          <w:rFonts w:cs="David"/>
        </w:rPr>
        <w:t>)</w:t>
      </w:r>
      <w:r>
        <w:rPr>
          <w:rFonts w:cs="David"/>
        </w:rPr>
        <w:t xml:space="preserve"> near the end of </w:t>
      </w:r>
      <w:r>
        <w:rPr>
          <w:rFonts w:cs="David"/>
          <w:i/>
        </w:rPr>
        <w:t>Maseches Megillah</w:t>
      </w:r>
      <w:r>
        <w:rPr>
          <w:rFonts w:cs="David"/>
        </w:rPr>
        <w:t xml:space="preserve"> (</w:t>
      </w:r>
      <w:r>
        <w:rPr>
          <w:rFonts w:cs="David" w:ascii="David" w:hAnsi="David"/>
          <w:color w:val="1E3A8A"/>
          <w:rtl/>
        </w:rPr>
        <w:t>מסכת מגילה</w:t>
      </w:r>
      <w:r>
        <w:rPr>
          <w:rFonts w:cs="David"/>
        </w:rPr>
        <w:t>)</w:t>
      </w:r>
      <w:r>
        <w:rPr>
          <w:rFonts w:cs="David"/>
          <w:color w:val="B8860B"/>
          <w:vertAlign w:val="superscript"/>
        </w:rPr>
        <w:t>[3]</w:t>
      </w:r>
      <w:r>
        <w:rPr>
          <w:rFonts w:cs="David"/>
        </w:rPr>
        <w:t xml:space="preserve"> teaches that originally the first </w:t>
      </w:r>
      <w:r>
        <w:rPr>
          <w:rFonts w:cs="David"/>
          <w:i/>
        </w:rPr>
        <w:t>oleh</w:t>
      </w:r>
      <w:r>
        <w:rPr>
          <w:rFonts w:cs="David"/>
        </w:rPr>
        <w:t xml:space="preserve"> (</w:t>
      </w:r>
      <w:r>
        <w:rPr>
          <w:rFonts w:cs="David" w:ascii="David" w:hAnsi="David"/>
          <w:color w:val="1E3A8A"/>
          <w:rtl/>
        </w:rPr>
        <w:t>עולה</w:t>
      </w:r>
      <w:r>
        <w:rPr>
          <w:rFonts w:cs="David"/>
        </w:rPr>
        <w:t>)</w:t>
      </w:r>
      <w:r>
        <w:rPr>
          <w:rFonts w:cs="David"/>
        </w:rPr>
        <w:t xml:space="preserve"> blessed before his portion but made no blessing after it; those who followed relied on his opening blessing; and only the last </w:t>
      </w:r>
      <w:r>
        <w:rPr>
          <w:rFonts w:cs="David"/>
          <w:i/>
        </w:rPr>
        <w:t>oleh</w:t>
      </w:r>
      <w:r>
        <w:rPr>
          <w:rFonts w:cs="David"/>
        </w:rPr>
        <w:t xml:space="preserve"> (</w:t>
      </w:r>
      <w:r>
        <w:rPr>
          <w:rFonts w:cs="David" w:ascii="David" w:hAnsi="David"/>
          <w:color w:val="1E3A8A"/>
          <w:rtl/>
        </w:rPr>
        <w:t>עולה</w:t>
      </w:r>
      <w:r>
        <w:rPr>
          <w:rFonts w:cs="David"/>
        </w:rPr>
        <w:t>)</w:t>
      </w:r>
      <w:r>
        <w:rPr>
          <w:rFonts w:cs="David"/>
        </w:rPr>
        <w:t xml:space="preserve"> made the closing blessing, </w:t>
      </w:r>
      <w:r>
        <w:rPr>
          <w:rFonts w:cs="David"/>
          <w:i/>
        </w:rPr>
        <w:t>asher nasan lanu Toras emes</w:t>
      </w:r>
      <w:r>
        <w:rPr>
          <w:rFonts w:cs="David"/>
        </w:rPr>
        <w:t xml:space="preserve"> (</w:t>
      </w:r>
      <w:r>
        <w:rPr>
          <w:rFonts w:cs="David" w:ascii="David" w:hAnsi="David"/>
          <w:color w:val="1E3A8A"/>
          <w:rtl/>
        </w:rPr>
        <w:t>אשר נתן לנו תורת אמת</w:t>
      </w:r>
      <w:r>
        <w:rPr>
          <w:rFonts w:cs="David"/>
        </w:rPr>
        <w:t>)</w:t>
      </w:r>
      <w:r>
        <w:rPr>
          <w:rFonts w:cs="David"/>
        </w:rPr>
        <w:t xml:space="preserve">. On Monday and Thursday there are three </w:t>
      </w:r>
      <w:r>
        <w:rPr>
          <w:rFonts w:cs="David"/>
          <w:i/>
        </w:rPr>
        <w:t>aliyos</w:t>
      </w:r>
      <w:r>
        <w:rPr>
          <w:rFonts w:cs="David"/>
        </w:rPr>
        <w:t xml:space="preserve"> (</w:t>
      </w:r>
      <w:r>
        <w:rPr>
          <w:rFonts w:cs="David" w:ascii="David" w:hAnsi="David"/>
          <w:color w:val="1E3A8A"/>
          <w:rtl/>
        </w:rPr>
        <w:t>עליות</w:t>
      </w:r>
      <w:r>
        <w:rPr>
          <w:rFonts w:cs="David"/>
        </w:rPr>
        <w:t>)</w:t>
      </w:r>
      <w:r>
        <w:rPr>
          <w:rFonts w:cs="David"/>
        </w:rPr>
        <w:t xml:space="preserve">, on </w:t>
      </w:r>
      <w:r>
        <w:rPr>
          <w:rFonts w:cs="David"/>
          <w:i/>
        </w:rPr>
        <w:t>Shabbos</w:t>
      </w:r>
      <w:r>
        <w:rPr>
          <w:rFonts w:cs="David"/>
        </w:rPr>
        <w:t xml:space="preserve"> (</w:t>
      </w:r>
      <w:r>
        <w:rPr>
          <w:rFonts w:cs="David" w:ascii="David" w:hAnsi="David"/>
          <w:color w:val="1E3A8A"/>
          <w:rtl/>
        </w:rPr>
        <w:t>שבת</w:t>
      </w:r>
      <w:r>
        <w:rPr>
          <w:rFonts w:cs="David"/>
        </w:rPr>
        <w:t>)</w:t>
      </w:r>
      <w:r>
        <w:rPr>
          <w:rFonts w:cs="David"/>
        </w:rPr>
        <w:t xml:space="preserve"> seven, and the blessings bracketed only the beginning and the end.</w:t>
      </w:r>
    </w:p>
    <w:p>
      <w:pPr>
        <w:spacing w:before="160"/>
      </w:pPr>
      <w:r>
        <w:rPr>
          <w:rFonts w:cs="David"/>
          <w:i/>
          <w:color w:val="B8860B"/>
          <w:sz w:val="24"/>
        </w:rPr>
        <w:t>The Enactment</w:t>
      </w:r>
    </w:p>
    <w:p>
      <w:r>
        <w:rPr>
          <w:rFonts w:cs="David"/>
        </w:rPr>
        <w:t xml:space="preserve">Today the Sages have ordained that every </w:t>
      </w:r>
      <w:r>
        <w:rPr>
          <w:rFonts w:cs="David"/>
          <w:i/>
        </w:rPr>
        <w:t>oleh</w:t>
      </w:r>
      <w:r>
        <w:rPr>
          <w:rFonts w:cs="David"/>
        </w:rPr>
        <w:t xml:space="preserve"> (</w:t>
      </w:r>
      <w:r>
        <w:rPr>
          <w:rFonts w:cs="David" w:ascii="David" w:hAnsi="David"/>
          <w:color w:val="1E3A8A"/>
          <w:rtl/>
        </w:rPr>
        <w:t>עולה</w:t>
      </w:r>
      <w:r>
        <w:rPr>
          <w:rFonts w:cs="David"/>
        </w:rPr>
        <w:t>)</w:t>
      </w:r>
      <w:r>
        <w:rPr>
          <w:rFonts w:cs="David"/>
        </w:rPr>
        <w:t xml:space="preserve"> blesses before and after. The reason is a </w:t>
      </w:r>
      <w:r>
        <w:rPr>
          <w:rFonts w:cs="David"/>
          <w:i/>
        </w:rPr>
        <w:t>gezeirah mipnei haniknasim vehayotzim</w:t>
      </w:r>
      <w:r>
        <w:rPr>
          <w:rFonts w:cs="David"/>
        </w:rPr>
        <w:t xml:space="preserve"> (</w:t>
      </w:r>
      <w:r>
        <w:rPr>
          <w:rFonts w:cs="David" w:ascii="David" w:hAnsi="David"/>
          <w:color w:val="1E3A8A"/>
          <w:rtl/>
        </w:rPr>
        <w:t>גזירה מפני הנכנסים והיוצאים</w:t>
      </w:r>
      <w:r>
        <w:rPr>
          <w:rFonts w:cs="David"/>
        </w:rPr>
        <w:t>)</w:t>
      </w:r>
      <w:r>
        <w:rPr>
          <w:rFonts w:cs="David"/>
        </w:rPr>
        <w:t xml:space="preserve">: those who enter in the middle of the reading, say during the third </w:t>
      </w:r>
      <w:r>
        <w:rPr>
          <w:rFonts w:cs="David"/>
          <w:i/>
        </w:rPr>
        <w:t>aliyah</w:t>
      </w:r>
      <w:r>
        <w:rPr>
          <w:rFonts w:cs="David"/>
        </w:rPr>
        <w:t xml:space="preserve"> (</w:t>
      </w:r>
      <w:r>
        <w:rPr>
          <w:rFonts w:cs="David" w:ascii="David" w:hAnsi="David"/>
          <w:color w:val="1E3A8A"/>
          <w:rtl/>
        </w:rPr>
        <w:t>עליה</w:t>
      </w:r>
      <w:r>
        <w:rPr>
          <w:rFonts w:cs="David"/>
        </w:rPr>
        <w:t>)</w:t>
      </w:r>
      <w:r>
        <w:rPr>
          <w:rFonts w:cs="David"/>
        </w:rPr>
        <w:t>, did not hear the opening blessing, and those who leave early do not hear the closing one, and they might conclude that a blessing was omitted. The lecturer draws attention to the sensitivity this shows. A latecomer is commonly dismissed as careless; the Sages instead instituted a whole series of blessings for his sake. He adds that one who sees a man arrive late should therefore not rebuke him, and recalls what the Sages did for him.</w:t>
      </w:r>
    </w:p>
    <w:p>
      <w:r>
        <w:rPr>
          <w:rFonts w:cs="David"/>
        </w:rPr>
        <w:t xml:space="preserve">The reading is itself an obligation of the community: on Monday, on Thursday, and above all on </w:t>
      </w:r>
      <w:r>
        <w:rPr>
          <w:rFonts w:cs="David"/>
          <w:i/>
        </w:rPr>
        <w:t>Shabbos</w:t>
      </w:r>
      <w:r>
        <w:rPr>
          <w:rFonts w:cs="David"/>
        </w:rPr>
        <w:t xml:space="preserve"> (</w:t>
      </w:r>
      <w:r>
        <w:rPr>
          <w:rFonts w:cs="David" w:ascii="David" w:hAnsi="David"/>
          <w:color w:val="1E3A8A"/>
          <w:rtl/>
        </w:rPr>
        <w:t>שבת</w:t>
      </w:r>
      <w:r>
        <w:rPr>
          <w:rFonts w:cs="David"/>
        </w:rPr>
        <w:t>)</w:t>
      </w:r>
      <w:r>
        <w:rPr>
          <w:rFonts w:cs="David"/>
        </w:rPr>
        <w:t>, Israel may not go three days without Torah.</w:t>
      </w:r>
      <w:r>
        <w:rPr>
          <w:rFonts w:cs="David"/>
          <w:color w:val="B8860B"/>
          <w:vertAlign w:val="superscript"/>
        </w:rPr>
        <w:t>[4]</w:t>
      </w:r>
      <w:r>
        <w:rPr>
          <w:rFonts w:cs="David"/>
        </w:rPr>
        <w:t xml:space="preserve"> When the </w:t>
      </w:r>
      <w:r>
        <w:rPr>
          <w:rFonts w:cs="David"/>
          <w:i/>
        </w:rPr>
        <w:t>oleh</w:t>
      </w:r>
      <w:r>
        <w:rPr>
          <w:rFonts w:cs="David"/>
        </w:rPr>
        <w:t xml:space="preserve"> (</w:t>
      </w:r>
      <w:r>
        <w:rPr>
          <w:rFonts w:cs="David" w:ascii="David" w:hAnsi="David"/>
          <w:color w:val="1E3A8A"/>
          <w:rtl/>
        </w:rPr>
        <w:t>עולה</w:t>
      </w:r>
      <w:r>
        <w:rPr>
          <w:rFonts w:cs="David"/>
        </w:rPr>
        <w:t>)</w:t>
      </w:r>
      <w:r>
        <w:rPr>
          <w:rFonts w:cs="David"/>
        </w:rPr>
        <w:t xml:space="preserve"> says </w:t>
      </w:r>
      <w:r>
        <w:rPr>
          <w:rFonts w:cs="David"/>
          <w:i/>
        </w:rPr>
        <w:t>Barchu es Hashem hamevorach</w:t>
      </w:r>
      <w:r>
        <w:rPr>
          <w:rFonts w:cs="David"/>
        </w:rPr>
        <w:t xml:space="preserve"> (</w:t>
      </w:r>
      <w:r>
        <w:rPr>
          <w:rFonts w:cs="David" w:ascii="David" w:hAnsi="David"/>
          <w:color w:val="1E3A8A"/>
          <w:rtl/>
        </w:rPr>
        <w:t>ברכו את ה׳ המבורך</w:t>
      </w:r>
      <w:r>
        <w:rPr>
          <w:rFonts w:cs="David"/>
        </w:rPr>
        <w:t>)</w:t>
      </w:r>
      <w:r>
        <w:rPr>
          <w:rFonts w:cs="David"/>
        </w:rPr>
        <w:t>, he calls everyone to take part in discharging that obligation together, and the reader and the congregation fulfil it as one.</w:t>
      </w:r>
    </w:p>
    <w:p>
      <w:pPr>
        <w:spacing w:before="160"/>
      </w:pPr>
      <w:r>
        <w:rPr>
          <w:rFonts w:cs="David"/>
          <w:i/>
          <w:color w:val="B8860B"/>
          <w:sz w:val="24"/>
        </w:rPr>
        <w:t>Baruch Hu U’Varuch Shemo</w:t>
      </w:r>
    </w:p>
    <w:p>
      <w:r>
        <w:rPr>
          <w:rFonts w:cs="David"/>
        </w:rPr>
        <w:t xml:space="preserve">The lecturer mentions in passing the confusion among the later authorities as to why the custom is to answer </w:t>
      </w:r>
      <w:r>
        <w:rPr>
          <w:rFonts w:cs="David"/>
          <w:i/>
        </w:rPr>
        <w:t>Baruch Hu uvaruch Shemo</w:t>
      </w:r>
      <w:r>
        <w:rPr>
          <w:rFonts w:cs="David"/>
        </w:rPr>
        <w:t xml:space="preserve"> (</w:t>
      </w:r>
      <w:r>
        <w:rPr>
          <w:rFonts w:cs="David" w:ascii="David" w:hAnsi="David"/>
          <w:color w:val="1E3A8A"/>
          <w:rtl/>
        </w:rPr>
        <w:t>ברוך הוא וברוך שמו</w:t>
      </w:r>
      <w:r>
        <w:rPr>
          <w:rFonts w:cs="David"/>
        </w:rPr>
        <w:t>)</w:t>
      </w:r>
      <w:r>
        <w:rPr>
          <w:rFonts w:cs="David"/>
        </w:rPr>
        <w:t xml:space="preserve"> at certain blessings and not at others. The answer is not a matter of strict law and is not found in the </w:t>
      </w:r>
      <w:r>
        <w:rPr>
          <w:rFonts w:cs="David"/>
          <w:i/>
        </w:rPr>
        <w:t>Gemara</w:t>
      </w:r>
      <w:r>
        <w:rPr>
          <w:rFonts w:cs="David"/>
        </w:rPr>
        <w:t xml:space="preserve"> (</w:t>
      </w:r>
      <w:r>
        <w:rPr>
          <w:rFonts w:cs="David" w:ascii="David" w:hAnsi="David"/>
          <w:color w:val="1E3A8A"/>
          <w:rtl/>
        </w:rPr>
        <w:t>גמרא</w:t>
      </w:r>
      <w:r>
        <w:rPr>
          <w:rFonts w:cs="David"/>
        </w:rPr>
        <w:t>)</w:t>
      </w:r>
      <w:r>
        <w:rPr>
          <w:rFonts w:cs="David"/>
        </w:rPr>
        <w:t xml:space="preserve">; the </w:t>
      </w:r>
      <w:r>
        <w:rPr>
          <w:rFonts w:cs="David"/>
          <w:i/>
        </w:rPr>
        <w:t>Rishonim</w:t>
      </w:r>
      <w:r>
        <w:rPr>
          <w:rFonts w:cs="David"/>
        </w:rPr>
        <w:t xml:space="preserve"> (</w:t>
      </w:r>
      <w:r>
        <w:rPr>
          <w:rFonts w:cs="David" w:ascii="David" w:hAnsi="David"/>
          <w:color w:val="1E3A8A"/>
          <w:rtl/>
        </w:rPr>
        <w:t>ראשונים</w:t>
      </w:r>
      <w:r>
        <w:rPr>
          <w:rFonts w:cs="David"/>
        </w:rPr>
        <w:t>)</w:t>
      </w:r>
      <w:r>
        <w:rPr>
          <w:rFonts w:cs="David"/>
        </w:rPr>
        <w:t xml:space="preserve"> wrote that it is said whenever the Name is heard, yet practice has narrowed. A comprehensive responsum on the subject, with a long tract, is found in </w:t>
      </w:r>
      <w:r>
        <w:rPr>
          <w:rFonts w:cs="David"/>
          <w:i/>
        </w:rPr>
        <w:t>Mishnah Halachos</w:t>
      </w:r>
      <w:r>
        <w:rPr>
          <w:rFonts w:cs="David"/>
        </w:rPr>
        <w:t xml:space="preserve"> (</w:t>
      </w:r>
      <w:r>
        <w:rPr>
          <w:rFonts w:cs="David" w:ascii="David" w:hAnsi="David"/>
          <w:color w:val="1E3A8A"/>
          <w:rtl/>
        </w:rPr>
        <w:t>משנה הלכות</w:t>
      </w:r>
      <w:r>
        <w:rPr>
          <w:rFonts w:cs="David"/>
        </w:rPr>
        <w:t>)</w:t>
      </w:r>
      <w:r>
        <w:rPr>
          <w:rFonts w:cs="David"/>
        </w:rPr>
        <w:t xml:space="preserve"> of </w:t>
      </w:r>
      <w:r>
        <w:rPr>
          <w:rFonts w:cs="David"/>
          <w:i/>
        </w:rPr>
        <w:t>Rav Menashe Klein</w:t>
      </w:r>
      <w:r>
        <w:rPr>
          <w:rFonts w:cs="David"/>
        </w:rPr>
        <w:t xml:space="preserve"> (</w:t>
      </w:r>
      <w:r>
        <w:rPr>
          <w:rFonts w:cs="David" w:ascii="David" w:hAnsi="David"/>
          <w:color w:val="1E3A8A"/>
          <w:rtl/>
        </w:rPr>
        <w:t>רב מנשה קליין</w:t>
      </w:r>
      <w:r>
        <w:rPr>
          <w:rFonts w:cs="David"/>
        </w:rPr>
        <w:t>)</w:t>
      </w:r>
      <w:r>
        <w:rPr>
          <w:rFonts w:cs="David"/>
        </w:rPr>
        <w:t>.</w:t>
      </w:r>
      <w:r>
        <w:rPr>
          <w:rFonts w:cs="David"/>
          <w:color w:val="B8860B"/>
          <w:vertAlign w:val="superscript"/>
        </w:rPr>
        <w:t>[5]</w:t>
      </w:r>
      <w:r>
        <w:rPr>
          <w:rFonts w:cs="David"/>
        </w:rPr>
        <w:t xml:space="preserve"> The lecturer adds an admonition: the title of that work was mocked in some quarters of the </w:t>
      </w:r>
      <w:r>
        <w:rPr>
          <w:rFonts w:cs="David"/>
          <w:i/>
        </w:rPr>
        <w:t>yeshivah</w:t>
      </w:r>
      <w:r>
        <w:rPr>
          <w:rFonts w:cs="David"/>
        </w:rPr>
        <w:t xml:space="preserve"> (</w:t>
      </w:r>
      <w:r>
        <w:rPr>
          <w:rFonts w:cs="David" w:ascii="David" w:hAnsi="David"/>
          <w:color w:val="1E3A8A"/>
          <w:rtl/>
        </w:rPr>
        <w:t>ישיבה</w:t>
      </w:r>
      <w:r>
        <w:rPr>
          <w:rFonts w:cs="David"/>
        </w:rPr>
        <w:t>)</w:t>
      </w:r>
      <w:r>
        <w:rPr>
          <w:rFonts w:cs="David"/>
        </w:rPr>
        <w:t xml:space="preserve"> world during the dispute over the </w:t>
      </w:r>
      <w:r>
        <w:rPr>
          <w:rFonts w:cs="David"/>
          <w:i/>
        </w:rPr>
        <w:t>eruv</w:t>
      </w:r>
      <w:r>
        <w:rPr>
          <w:rFonts w:cs="David"/>
        </w:rPr>
        <w:t xml:space="preserve"> (</w:t>
      </w:r>
      <w:r>
        <w:rPr>
          <w:rFonts w:cs="David" w:ascii="David" w:hAnsi="David"/>
          <w:color w:val="1E3A8A"/>
          <w:rtl/>
        </w:rPr>
        <w:t>עירוב</w:t>
      </w:r>
      <w:r>
        <w:rPr>
          <w:rFonts w:cs="David"/>
        </w:rPr>
        <w:t>)</w:t>
      </w:r>
      <w:r>
        <w:rPr>
          <w:rFonts w:cs="David"/>
        </w:rPr>
        <w:t xml:space="preserve"> of Boro Park, in which his wife’s grandfather, </w:t>
      </w:r>
      <w:r>
        <w:rPr>
          <w:rFonts w:cs="David" w:ascii="David" w:hAnsi="David"/>
          <w:color w:val="1E3A8A"/>
          <w:rtl/>
        </w:rPr>
        <w:t>ר׳ ישראל בעלסקי</w:t>
      </w:r>
      <w:r>
        <w:rPr>
          <w:rFonts w:cs="David"/>
        </w:rPr>
        <w:t>, stood on the other side. Such mockery is not the way of Israel toward its Torah scholars; whoever has a halachic argument may make it.</w:t>
      </w:r>
    </w:p>
    <w:p>
      <w:pPr>
        <w:spacing w:before="280"/>
      </w:pPr>
      <w:r>
        <w:rPr>
          <w:rFonts w:cs="David"/>
          <w:b/>
          <w:color w:val="1E3A8A"/>
          <w:sz w:val="26"/>
        </w:rPr>
        <w:t>III. BIRKAS HAGOMEL: WHY AT THE READING OF THE TORAH</w:t>
      </w:r>
    </w:p>
    <w:p>
      <w:pPr>
        <w:spacing w:before="160"/>
      </w:pPr>
      <w:r>
        <w:rPr>
          <w:rFonts w:cs="David"/>
          <w:i/>
          <w:color w:val="B8860B"/>
          <w:sz w:val="24"/>
        </w:rPr>
        <w:t>The Four Categories</w:t>
      </w:r>
    </w:p>
    <w:p>
      <w:r>
        <w:rPr>
          <w:rFonts w:cs="David"/>
        </w:rPr>
        <w:t xml:space="preserve">The </w:t>
      </w:r>
      <w:r>
        <w:rPr>
          <w:rFonts w:cs="David"/>
          <w:i/>
        </w:rPr>
        <w:t>Gemara</w:t>
      </w:r>
      <w:r>
        <w:rPr>
          <w:rFonts w:cs="David"/>
        </w:rPr>
        <w:t xml:space="preserve"> (</w:t>
      </w:r>
      <w:r>
        <w:rPr>
          <w:rFonts w:cs="David" w:ascii="David" w:hAnsi="David"/>
          <w:color w:val="1E3A8A"/>
          <w:rtl/>
        </w:rPr>
        <w:t>גמרא</w:t>
      </w:r>
      <w:r>
        <w:rPr>
          <w:rFonts w:cs="David"/>
        </w:rPr>
        <w:t>)</w:t>
      </w:r>
      <w:r>
        <w:rPr>
          <w:rFonts w:cs="David"/>
          <w:color w:val="B8860B"/>
          <w:vertAlign w:val="superscript"/>
        </w:rPr>
        <w:t>[6]</w:t>
      </w:r>
      <w:r>
        <w:rPr>
          <w:rFonts w:cs="David"/>
        </w:rPr>
        <w:t xml:space="preserve"> derives from </w:t>
      </w:r>
      <w:r>
        <w:rPr>
          <w:rFonts w:cs="David"/>
          <w:i/>
        </w:rPr>
        <w:t>Tehillim</w:t>
      </w:r>
      <w:r>
        <w:rPr>
          <w:rFonts w:cs="David"/>
        </w:rPr>
        <w:t xml:space="preserve"> (</w:t>
      </w:r>
      <w:r>
        <w:rPr>
          <w:rFonts w:cs="David" w:ascii="David" w:hAnsi="David"/>
          <w:color w:val="1E3A8A"/>
          <w:rtl/>
        </w:rPr>
        <w:t>תהלים</w:t>
      </w:r>
      <w:r>
        <w:rPr>
          <w:rFonts w:cs="David"/>
        </w:rPr>
        <w:t>)</w:t>
      </w:r>
      <w:r>
        <w:rPr>
          <w:rFonts w:cs="David"/>
        </w:rPr>
        <w:t xml:space="preserve"> 107 four categories of persons who must give thanks after deliverance, and the </w:t>
      </w:r>
      <w:r>
        <w:rPr>
          <w:rFonts w:cs="David"/>
          <w:i/>
        </w:rPr>
        <w:t>Tur</w:t>
      </w:r>
      <w:r>
        <w:rPr>
          <w:rFonts w:cs="David"/>
        </w:rPr>
        <w:t xml:space="preserve"> (</w:t>
      </w:r>
      <w:r>
        <w:rPr>
          <w:rFonts w:cs="David" w:ascii="David" w:hAnsi="David"/>
          <w:color w:val="1E3A8A"/>
          <w:rtl/>
        </w:rPr>
        <w:t>טור</w:t>
      </w:r>
      <w:r>
        <w:rPr>
          <w:rFonts w:cs="David"/>
        </w:rPr>
        <w:t>)</w:t>
      </w:r>
      <w:r>
        <w:rPr>
          <w:rFonts w:cs="David"/>
          <w:color w:val="B8860B"/>
          <w:vertAlign w:val="superscript"/>
        </w:rPr>
        <w:t>[7]</w:t>
      </w:r>
      <w:r>
        <w:rPr>
          <w:rFonts w:cs="David"/>
        </w:rPr>
        <w:t xml:space="preserve"> gives the mnemonic </w:t>
      </w:r>
      <w:r>
        <w:rPr>
          <w:rFonts w:cs="David" w:ascii="David" w:hAnsi="David"/>
          <w:color w:val="1E3A8A"/>
          <w:rtl/>
        </w:rPr>
        <w:t>חיים</w:t>
      </w:r>
      <w:r>
        <w:rPr>
          <w:rFonts w:cs="David"/>
        </w:rPr>
        <w:t>:</w:t>
      </w:r>
    </w:p>
    <w:p>
      <w:pPr>
        <w:ind w:left="720" w:hanging="360"/>
      </w:pPr>
      <w:r>
        <w:rPr>
          <w:rFonts w:cs="David"/>
        </w:rPr>
        <w:t xml:space="preserve">1.  </w:t>
      </w:r>
      <w:r>
        <w:rPr>
          <w:rFonts w:cs="David" w:ascii="David" w:hAnsi="David"/>
          <w:color w:val="1E3A8A"/>
          <w:rtl/>
        </w:rPr>
        <w:t>ח</w:t>
      </w:r>
      <w:r>
        <w:rPr>
          <w:rFonts w:cs="David"/>
        </w:rPr>
        <w:t xml:space="preserve"> — </w:t>
      </w:r>
      <w:r>
        <w:rPr>
          <w:rFonts w:cs="David"/>
          <w:i/>
        </w:rPr>
        <w:t>chavush</w:t>
      </w:r>
      <w:r>
        <w:rPr>
          <w:rFonts w:cs="David"/>
        </w:rPr>
        <w:t xml:space="preserve"> (</w:t>
      </w:r>
      <w:r>
        <w:rPr>
          <w:rFonts w:cs="David" w:ascii="David" w:hAnsi="David"/>
          <w:color w:val="1E3A8A"/>
          <w:rtl/>
        </w:rPr>
        <w:t>חבוש</w:t>
      </w:r>
      <w:r>
        <w:rPr>
          <w:rFonts w:cs="David"/>
        </w:rPr>
        <w:t>)</w:t>
      </w:r>
      <w:r>
        <w:rPr>
          <w:rFonts w:cs="David"/>
        </w:rPr>
        <w:t>, one imprisoned.</w:t>
      </w:r>
    </w:p>
    <w:p>
      <w:pPr>
        <w:ind w:left="720" w:hanging="360"/>
      </w:pPr>
      <w:r>
        <w:rPr>
          <w:rFonts w:cs="David"/>
        </w:rPr>
        <w:t xml:space="preserve">2.  </w:t>
      </w:r>
      <w:r>
        <w:rPr>
          <w:rFonts w:cs="David" w:ascii="David" w:hAnsi="David"/>
          <w:color w:val="1E3A8A"/>
          <w:rtl/>
        </w:rPr>
        <w:t>י</w:t>
      </w:r>
      <w:r>
        <w:rPr>
          <w:rFonts w:cs="David"/>
        </w:rPr>
        <w:t xml:space="preserve"> — </w:t>
      </w:r>
      <w:r>
        <w:rPr>
          <w:rFonts w:cs="David"/>
          <w:i/>
        </w:rPr>
        <w:t>yam</w:t>
      </w:r>
      <w:r>
        <w:rPr>
          <w:rFonts w:cs="David"/>
        </w:rPr>
        <w:t xml:space="preserve"> (</w:t>
      </w:r>
      <w:r>
        <w:rPr>
          <w:rFonts w:cs="David" w:ascii="David" w:hAnsi="David"/>
          <w:color w:val="1E3A8A"/>
          <w:rtl/>
        </w:rPr>
        <w:t>ים</w:t>
      </w:r>
      <w:r>
        <w:rPr>
          <w:rFonts w:cs="David"/>
        </w:rPr>
        <w:t>)</w:t>
      </w:r>
      <w:r>
        <w:rPr>
          <w:rFonts w:cs="David"/>
        </w:rPr>
        <w:t>, one who crosses the sea.</w:t>
      </w:r>
    </w:p>
    <w:p>
      <w:pPr>
        <w:ind w:left="720" w:hanging="360"/>
      </w:pPr>
      <w:r>
        <w:rPr>
          <w:rFonts w:cs="David"/>
        </w:rPr>
        <w:t xml:space="preserve">3.  </w:t>
      </w:r>
      <w:r>
        <w:rPr>
          <w:rFonts w:cs="David" w:ascii="David" w:hAnsi="David"/>
          <w:color w:val="1E3A8A"/>
          <w:rtl/>
        </w:rPr>
        <w:t>י</w:t>
      </w:r>
      <w:r>
        <w:rPr>
          <w:rFonts w:cs="David"/>
        </w:rPr>
        <w:t xml:space="preserve"> — </w:t>
      </w:r>
      <w:r>
        <w:rPr>
          <w:rFonts w:cs="David"/>
          <w:i/>
        </w:rPr>
        <w:t>yissurim</w:t>
      </w:r>
      <w:r>
        <w:rPr>
          <w:rFonts w:cs="David"/>
        </w:rPr>
        <w:t xml:space="preserve"> (</w:t>
      </w:r>
      <w:r>
        <w:rPr>
          <w:rFonts w:cs="David" w:ascii="David" w:hAnsi="David"/>
          <w:color w:val="1E3A8A"/>
          <w:rtl/>
        </w:rPr>
        <w:t>ייסורים</w:t>
      </w:r>
      <w:r>
        <w:rPr>
          <w:rFonts w:cs="David"/>
        </w:rPr>
        <w:t>)</w:t>
      </w:r>
      <w:r>
        <w:rPr>
          <w:rFonts w:cs="David"/>
        </w:rPr>
        <w:t>, one who was ill and recovered.</w:t>
      </w:r>
    </w:p>
    <w:p>
      <w:pPr>
        <w:ind w:left="720" w:hanging="360"/>
      </w:pPr>
      <w:r>
        <w:rPr>
          <w:rFonts w:cs="David"/>
        </w:rPr>
        <w:t xml:space="preserve">4.  </w:t>
      </w:r>
      <w:r>
        <w:rPr>
          <w:rFonts w:cs="David" w:ascii="David" w:hAnsi="David"/>
          <w:color w:val="1E3A8A"/>
          <w:rtl/>
        </w:rPr>
        <w:t>מ</w:t>
      </w:r>
      <w:r>
        <w:rPr>
          <w:rFonts w:cs="David"/>
        </w:rPr>
        <w:t xml:space="preserve"> — </w:t>
      </w:r>
      <w:r>
        <w:rPr>
          <w:rFonts w:cs="David"/>
          <w:i/>
        </w:rPr>
        <w:t>midbar</w:t>
      </w:r>
      <w:r>
        <w:rPr>
          <w:rFonts w:cs="David"/>
        </w:rPr>
        <w:t xml:space="preserve"> (</w:t>
      </w:r>
      <w:r>
        <w:rPr>
          <w:rFonts w:cs="David" w:ascii="David" w:hAnsi="David"/>
          <w:color w:val="1E3A8A"/>
          <w:rtl/>
        </w:rPr>
        <w:t>מדבר</w:t>
      </w:r>
      <w:r>
        <w:rPr>
          <w:rFonts w:cs="David"/>
        </w:rPr>
        <w:t>)</w:t>
      </w:r>
      <w:r>
        <w:rPr>
          <w:rFonts w:cs="David"/>
        </w:rPr>
        <w:t>, one who travels through the wilderness.</w:t>
      </w:r>
    </w:p>
    <w:p>
      <w:r>
        <w:rPr>
          <w:rFonts w:cs="David"/>
        </w:rPr>
        <w:t xml:space="preserve">In the days of the </w:t>
      </w:r>
      <w:r>
        <w:rPr>
          <w:rFonts w:cs="David"/>
          <w:i/>
        </w:rPr>
        <w:t>Beis HaMikdash</w:t>
      </w:r>
      <w:r>
        <w:rPr>
          <w:rFonts w:cs="David"/>
        </w:rPr>
        <w:t xml:space="preserve"> (</w:t>
      </w:r>
      <w:r>
        <w:rPr>
          <w:rFonts w:cs="David" w:ascii="David" w:hAnsi="David"/>
          <w:color w:val="1E3A8A"/>
          <w:rtl/>
        </w:rPr>
        <w:t>בית המקדש</w:t>
      </w:r>
      <w:r>
        <w:rPr>
          <w:rFonts w:cs="David"/>
        </w:rPr>
        <w:t>)</w:t>
      </w:r>
      <w:r>
        <w:rPr>
          <w:rFonts w:cs="David"/>
        </w:rPr>
        <w:t xml:space="preserve"> the thanks took the form of a thanksgiving offering (</w:t>
      </w:r>
      <w:r>
        <w:rPr>
          <w:rFonts w:cs="David"/>
          <w:i/>
        </w:rPr>
        <w:t>korban todah</w:t>
      </w:r>
      <w:r>
        <w:rPr>
          <w:rFonts w:cs="David"/>
        </w:rPr>
        <w:t xml:space="preserve"> (</w:t>
      </w:r>
      <w:r>
        <w:rPr>
          <w:rFonts w:cs="David" w:ascii="David" w:hAnsi="David"/>
          <w:color w:val="1E3A8A"/>
          <w:rtl/>
        </w:rPr>
        <w:t>קרבן תודה</w:t>
      </w:r>
      <w:r>
        <w:rPr>
          <w:rFonts w:cs="David"/>
        </w:rPr>
        <w:t>)</w:t>
      </w:r>
      <w:r>
        <w:rPr>
          <w:rFonts w:cs="David"/>
        </w:rPr>
        <w:t xml:space="preserve">); today </w:t>
      </w:r>
      <w:r>
        <w:rPr>
          <w:rFonts w:cs="David"/>
          <w:i/>
        </w:rPr>
        <w:t>HaGomel</w:t>
      </w:r>
      <w:r>
        <w:rPr>
          <w:rFonts w:cs="David"/>
        </w:rPr>
        <w:t xml:space="preserve"> (</w:t>
      </w:r>
      <w:r>
        <w:rPr>
          <w:rFonts w:cs="David" w:ascii="David" w:hAnsi="David"/>
          <w:color w:val="1E3A8A"/>
          <w:rtl/>
        </w:rPr>
        <w:t>הגומל</w:t>
      </w:r>
      <w:r>
        <w:rPr>
          <w:rFonts w:cs="David"/>
        </w:rPr>
        <w:t>)</w:t>
      </w:r>
      <w:r>
        <w:rPr>
          <w:rFonts w:cs="David"/>
        </w:rPr>
        <w:t xml:space="preserve"> is said in its place.</w:t>
      </w:r>
    </w:p>
    <w:p>
      <w:pPr>
        <w:ind w:left="360"/>
      </w:pPr>
      <w:r>
        <w:rPr>
          <w:rFonts w:cs="David"/>
          <w:b/>
          <w:color w:val="2A2A2A"/>
          <w:sz w:val="22"/>
        </w:rPr>
        <w:t>A Dedication.</w:t>
      </w:r>
      <w:r>
        <w:rPr>
          <w:rFonts w:cs="David"/>
          <w:color w:val="2A2A2A"/>
          <w:sz w:val="22"/>
        </w:rPr>
        <w:t xml:space="preserve">  The lecturer dedicated the discourse, though not as its sponsor, to the complete recovery of </w:t>
      </w:r>
      <w:r>
        <w:rPr>
          <w:rFonts w:cs="David" w:ascii="David" w:hAnsi="David"/>
          <w:color w:val="1E3A8A"/>
          <w:sz w:val="22"/>
          <w:rtl/>
        </w:rPr>
        <w:t>ר׳ יוסף נחמן זעליג שליט״א</w:t>
      </w:r>
      <w:r>
        <w:rPr>
          <w:rFonts w:cs="David"/>
          <w:color w:val="2A2A2A"/>
          <w:sz w:val="22"/>
        </w:rPr>
        <w:t xml:space="preserve">, who stands in the second </w:t>
      </w:r>
      <w:r>
        <w:rPr>
          <w:rFonts w:cs="David" w:ascii="David" w:hAnsi="David"/>
          <w:color w:val="1E3A8A"/>
          <w:sz w:val="22"/>
          <w:rtl/>
        </w:rPr>
        <w:t>י</w:t>
      </w:r>
      <w:r>
        <w:rPr>
          <w:rFonts w:cs="David"/>
          <w:color w:val="2A2A2A"/>
          <w:sz w:val="22"/>
        </w:rPr>
        <w:t xml:space="preserve"> of </w:t>
      </w:r>
      <w:r>
        <w:rPr>
          <w:rFonts w:cs="David" w:ascii="David" w:hAnsi="David"/>
          <w:color w:val="1E3A8A"/>
          <w:sz w:val="22"/>
          <w:rtl/>
        </w:rPr>
        <w:t>חיים</w:t>
      </w:r>
      <w:r>
        <w:rPr>
          <w:rFonts w:cs="David"/>
          <w:color w:val="2A2A2A"/>
          <w:sz w:val="22"/>
        </w:rPr>
        <w:t xml:space="preserve">, </w:t>
      </w:r>
      <w:r>
        <w:rPr>
          <w:rFonts w:cs="David"/>
          <w:i/>
          <w:color w:val="2A2A2A"/>
          <w:sz w:val="22"/>
        </w:rPr>
        <w:t>yissurim</w:t>
      </w:r>
      <w:r>
        <w:rPr>
          <w:rFonts w:cs="David"/>
          <w:color w:val="2A2A2A"/>
          <w:sz w:val="22"/>
        </w:rPr>
        <w:t xml:space="preserve"> (</w:t>
      </w:r>
      <w:r>
        <w:rPr>
          <w:rFonts w:cs="David" w:ascii="David" w:hAnsi="David"/>
          <w:color w:val="1E3A8A"/>
          <w:sz w:val="22"/>
          <w:rtl/>
        </w:rPr>
        <w:t>ייסורים</w:t>
      </w:r>
      <w:r>
        <w:rPr>
          <w:rFonts w:cs="David"/>
          <w:color w:val="2A2A2A"/>
          <w:sz w:val="22"/>
        </w:rPr>
        <w:t>)</w:t>
      </w:r>
      <w:r>
        <w:rPr>
          <w:rFonts w:cs="David"/>
          <w:color w:val="2A2A2A"/>
          <w:sz w:val="22"/>
        </w:rPr>
        <w:t xml:space="preserve">, and who was then preparing a wedding for his granddaughter; it is a </w:t>
      </w:r>
      <w:r>
        <w:rPr>
          <w:rFonts w:cs="David"/>
          <w:i/>
          <w:color w:val="2A2A2A"/>
          <w:sz w:val="22"/>
        </w:rPr>
        <w:t>mitzvah</w:t>
      </w:r>
      <w:r>
        <w:rPr>
          <w:rFonts w:cs="David"/>
          <w:color w:val="2A2A2A"/>
          <w:sz w:val="22"/>
        </w:rPr>
        <w:t xml:space="preserve"> (</w:t>
      </w:r>
      <w:r>
        <w:rPr>
          <w:rFonts w:cs="David" w:ascii="David" w:hAnsi="David"/>
          <w:color w:val="1E3A8A"/>
          <w:sz w:val="22"/>
          <w:rtl/>
        </w:rPr>
        <w:t>מצוה</w:t>
      </w:r>
      <w:r>
        <w:rPr>
          <w:rFonts w:cs="David"/>
          <w:color w:val="2A2A2A"/>
          <w:sz w:val="22"/>
        </w:rPr>
        <w:t>)</w:t>
      </w:r>
      <w:r>
        <w:rPr>
          <w:rFonts w:cs="David"/>
          <w:color w:val="2A2A2A"/>
          <w:sz w:val="22"/>
        </w:rPr>
        <w:t xml:space="preserve"> to call him and visit him, among the other sick of Israel.</w:t>
      </w:r>
    </w:p>
    <w:p>
      <w:pPr>
        <w:spacing w:before="160"/>
      </w:pPr>
      <w:r>
        <w:rPr>
          <w:rFonts w:cs="David"/>
          <w:i/>
          <w:color w:val="B8860B"/>
          <w:sz w:val="24"/>
        </w:rPr>
        <w:t>Why at the Reading</w:t>
      </w:r>
    </w:p>
    <w:p>
      <w:r>
        <w:rPr>
          <w:rFonts w:cs="David"/>
        </w:rPr>
        <w:t xml:space="preserve">The verse reads </w:t>
      </w:r>
      <w:r>
        <w:rPr>
          <w:rFonts w:cs="David" w:ascii="David" w:hAnsi="David"/>
          <w:color w:val="1E3A8A"/>
          <w:rtl/>
        </w:rPr>
        <w:t>וירוממוהו בקהל עם ובמושב זקנים יהללוהו</w:t>
      </w:r>
      <w:r>
        <w:rPr>
          <w:rFonts w:cs="David"/>
        </w:rPr>
        <w:t xml:space="preserve"> (Tehillim 107:32). </w:t>
      </w:r>
      <w:r>
        <w:rPr>
          <w:rFonts w:cs="David"/>
          <w:i/>
        </w:rPr>
        <w:t>Bikhal am</w:t>
      </w:r>
      <w:r>
        <w:rPr>
          <w:rFonts w:cs="David"/>
        </w:rPr>
        <w:t xml:space="preserve"> (</w:t>
      </w:r>
      <w:r>
        <w:rPr>
          <w:rFonts w:cs="David" w:ascii="David" w:hAnsi="David"/>
          <w:color w:val="1E3A8A"/>
          <w:rtl/>
        </w:rPr>
        <w:t>בקהל עם</w:t>
      </w:r>
      <w:r>
        <w:rPr>
          <w:rFonts w:cs="David"/>
        </w:rPr>
        <w:t>)</w:t>
      </w:r>
      <w:r>
        <w:rPr>
          <w:rFonts w:cs="David"/>
        </w:rPr>
        <w:t xml:space="preserve"> means a </w:t>
      </w:r>
      <w:r>
        <w:rPr>
          <w:rFonts w:cs="David"/>
          <w:i/>
        </w:rPr>
        <w:t>minyan</w:t>
      </w:r>
      <w:r>
        <w:rPr>
          <w:rFonts w:cs="David"/>
        </w:rPr>
        <w:t xml:space="preserve"> (</w:t>
      </w:r>
      <w:r>
        <w:rPr>
          <w:rFonts w:cs="David" w:ascii="David" w:hAnsi="David"/>
          <w:color w:val="1E3A8A"/>
          <w:rtl/>
        </w:rPr>
        <w:t>מנין</w:t>
      </w:r>
      <w:r>
        <w:rPr>
          <w:rFonts w:cs="David"/>
        </w:rPr>
        <w:t>)</w:t>
      </w:r>
      <w:r>
        <w:rPr>
          <w:rFonts w:cs="David"/>
        </w:rPr>
        <w:t xml:space="preserve">; </w:t>
      </w:r>
      <w:r>
        <w:rPr>
          <w:rFonts w:cs="David"/>
          <w:i/>
        </w:rPr>
        <w:t>uvemoshav zekeinim</w:t>
      </w:r>
      <w:r>
        <w:rPr>
          <w:rFonts w:cs="David"/>
        </w:rPr>
        <w:t xml:space="preserve"> (</w:t>
      </w:r>
      <w:r>
        <w:rPr>
          <w:rFonts w:cs="David" w:ascii="David" w:hAnsi="David"/>
          <w:color w:val="1E3A8A"/>
          <w:rtl/>
        </w:rPr>
        <w:t>ובמושב זקנים</w:t>
      </w:r>
      <w:r>
        <w:rPr>
          <w:rFonts w:cs="David"/>
        </w:rPr>
        <w:t>)</w:t>
      </w:r>
      <w:r>
        <w:rPr>
          <w:rFonts w:cs="David"/>
        </w:rPr>
        <w:t xml:space="preserve"> means at least two </w:t>
      </w:r>
      <w:r>
        <w:rPr>
          <w:rFonts w:cs="David"/>
          <w:i/>
        </w:rPr>
        <w:t>talmidei chachamim</w:t>
      </w:r>
      <w:r>
        <w:rPr>
          <w:rFonts w:cs="David"/>
        </w:rPr>
        <w:t xml:space="preserve"> (</w:t>
      </w:r>
      <w:r>
        <w:rPr>
          <w:rFonts w:cs="David" w:ascii="David" w:hAnsi="David"/>
          <w:color w:val="1E3A8A"/>
          <w:rtl/>
        </w:rPr>
        <w:t>תלמידי חכמים</w:t>
      </w:r>
      <w:r>
        <w:rPr>
          <w:rFonts w:cs="David"/>
        </w:rPr>
        <w:t>)</w:t>
      </w:r>
      <w:r>
        <w:rPr>
          <w:rFonts w:cs="David"/>
        </w:rPr>
        <w:t xml:space="preserve">. Ideally, then, one blesses </w:t>
      </w:r>
      <w:r>
        <w:rPr>
          <w:rFonts w:cs="David"/>
          <w:i/>
        </w:rPr>
        <w:t>HaGomel</w:t>
      </w:r>
      <w:r>
        <w:rPr>
          <w:rFonts w:cs="David"/>
        </w:rPr>
        <w:t xml:space="preserve"> (</w:t>
      </w:r>
      <w:r>
        <w:rPr>
          <w:rFonts w:cs="David" w:ascii="David" w:hAnsi="David"/>
          <w:color w:val="1E3A8A"/>
          <w:rtl/>
        </w:rPr>
        <w:t>הגומל</w:t>
      </w:r>
      <w:r>
        <w:rPr>
          <w:rFonts w:cs="David"/>
        </w:rPr>
        <w:t>)</w:t>
      </w:r>
      <w:r>
        <w:rPr>
          <w:rFonts w:cs="David"/>
        </w:rPr>
        <w:t xml:space="preserve"> before ten persons, two of them scholars; some say the two may be counted within the ten. Why is this not demanded in practice? Because scholars are not always to be found, and the Sages’ remedy was to say it at the reading of the Torah: the scroll that lies open before the person stands, in the lecturer’s words, for the two scholars. That is why the blessing is said specifically at the reading, whether or not one was called up.</w:t>
      </w:r>
    </w:p>
    <w:p>
      <w:pPr>
        <w:spacing w:before="160"/>
      </w:pPr>
      <w:r>
        <w:rPr>
          <w:rFonts w:cs="David"/>
          <w:i/>
          <w:color w:val="B8860B"/>
          <w:sz w:val="24"/>
        </w:rPr>
        <w:t>A Pearl from Shalmei Nedarim</w:t>
      </w:r>
    </w:p>
    <w:p>
      <w:r>
        <w:rPr>
          <w:rFonts w:cs="David"/>
        </w:rPr>
        <w:t xml:space="preserve">The previous afternoon, at the third meal, a member of the congregation had shared a pearl from </w:t>
      </w:r>
      <w:r>
        <w:rPr>
          <w:rFonts w:cs="David"/>
          <w:i/>
        </w:rPr>
        <w:t>Shalmei Nedarim</w:t>
      </w:r>
      <w:r>
        <w:rPr>
          <w:rFonts w:cs="David"/>
        </w:rPr>
        <w:t xml:space="preserve"> (</w:t>
      </w:r>
      <w:r>
        <w:rPr>
          <w:rFonts w:cs="David" w:ascii="David" w:hAnsi="David"/>
          <w:color w:val="1E3A8A"/>
          <w:rtl/>
        </w:rPr>
        <w:t>שלמי נדרים</w:t>
      </w:r>
      <w:r>
        <w:rPr>
          <w:rFonts w:cs="David"/>
        </w:rPr>
        <w:t>)</w:t>
      </w:r>
      <w:r>
        <w:rPr>
          <w:rFonts w:cs="David"/>
        </w:rPr>
        <w:t xml:space="preserve">, a well-known work on </w:t>
      </w:r>
      <w:r>
        <w:rPr>
          <w:rFonts w:cs="David"/>
          <w:i/>
        </w:rPr>
        <w:t>Maseches Nedarim</w:t>
      </w:r>
      <w:r>
        <w:rPr>
          <w:rFonts w:cs="David"/>
        </w:rPr>
        <w:t xml:space="preserve"> (</w:t>
      </w:r>
      <w:r>
        <w:rPr>
          <w:rFonts w:cs="David" w:ascii="David" w:hAnsi="David"/>
          <w:color w:val="1E3A8A"/>
          <w:rtl/>
        </w:rPr>
        <w:t>מסכת נדרים</w:t>
      </w:r>
      <w:r>
        <w:rPr>
          <w:rFonts w:cs="David"/>
        </w:rPr>
        <w:t>)</w:t>
      </w:r>
      <w:r>
        <w:rPr>
          <w:rFonts w:cs="David"/>
        </w:rPr>
        <w:t>.</w:t>
      </w:r>
      <w:r>
        <w:rPr>
          <w:rFonts w:cs="David"/>
          <w:color w:val="B8860B"/>
          <w:vertAlign w:val="superscript"/>
        </w:rPr>
        <w:t>[8]</w:t>
      </w:r>
      <w:r>
        <w:rPr>
          <w:rFonts w:cs="David"/>
        </w:rPr>
        <w:t xml:space="preserve"> Its author served as rabbi of Kupishok, a city in northern Lithuania near Ponevezh, for forty years; the lecturer remarks that without the book he would be unknown. In the introduction the author writes that he had been gravely ill and had recovered, that he was himself the second </w:t>
      </w:r>
      <w:r>
        <w:rPr>
          <w:rFonts w:cs="David" w:ascii="David" w:hAnsi="David"/>
          <w:color w:val="1E3A8A"/>
          <w:rtl/>
        </w:rPr>
        <w:t>י</w:t>
      </w:r>
      <w:r>
        <w:rPr>
          <w:rFonts w:cs="David"/>
        </w:rPr>
        <w:t xml:space="preserve"> of </w:t>
      </w:r>
      <w:r>
        <w:rPr>
          <w:rFonts w:cs="David" w:ascii="David" w:hAnsi="David"/>
          <w:color w:val="1E3A8A"/>
          <w:rtl/>
        </w:rPr>
        <w:t>חיים</w:t>
      </w:r>
      <w:r>
        <w:rPr>
          <w:rFonts w:cs="David"/>
        </w:rPr>
        <w:t>, and that the book was his thanksgiving.</w:t>
      </w:r>
    </w:p>
    <w:p>
      <w:r>
        <w:rPr>
          <w:rFonts w:cs="David"/>
        </w:rPr>
        <w:t xml:space="preserve">There he asks why </w:t>
      </w:r>
      <w:r>
        <w:rPr>
          <w:rFonts w:cs="David"/>
          <w:i/>
        </w:rPr>
        <w:t>HaGomel</w:t>
      </w:r>
      <w:r>
        <w:rPr>
          <w:rFonts w:cs="David"/>
        </w:rPr>
        <w:t xml:space="preserve"> (</w:t>
      </w:r>
      <w:r>
        <w:rPr>
          <w:rFonts w:cs="David" w:ascii="David" w:hAnsi="David"/>
          <w:color w:val="1E3A8A"/>
          <w:rtl/>
        </w:rPr>
        <w:t>הגומל</w:t>
      </w:r>
      <w:r>
        <w:rPr>
          <w:rFonts w:cs="David"/>
        </w:rPr>
        <w:t>)</w:t>
      </w:r>
      <w:r>
        <w:rPr>
          <w:rFonts w:cs="David"/>
        </w:rPr>
        <w:t xml:space="preserve"> differs from every other blessing. Elsewhere the congregation answers </w:t>
      </w:r>
      <w:r>
        <w:rPr>
          <w:rFonts w:cs="David"/>
          <w:i/>
        </w:rPr>
        <w:t>Amen</w:t>
      </w:r>
      <w:r>
        <w:rPr>
          <w:rFonts w:cs="David"/>
        </w:rPr>
        <w:t xml:space="preserve"> (</w:t>
      </w:r>
      <w:r>
        <w:rPr>
          <w:rFonts w:cs="David" w:ascii="David" w:hAnsi="David"/>
          <w:color w:val="1E3A8A"/>
          <w:rtl/>
        </w:rPr>
        <w:t>אמן</w:t>
      </w:r>
      <w:r>
        <w:rPr>
          <w:rFonts w:cs="David"/>
        </w:rPr>
        <w:t>)</w:t>
      </w:r>
      <w:r>
        <w:rPr>
          <w:rFonts w:cs="David"/>
        </w:rPr>
        <w:t xml:space="preserve"> and the matter ends; here a whole sentence is added, </w:t>
      </w:r>
      <w:r>
        <w:rPr>
          <w:rFonts w:cs="David" w:ascii="David" w:hAnsi="David"/>
          <w:color w:val="1E3A8A"/>
          <w:rtl/>
        </w:rPr>
        <w:t>מי שגמלך כל טוב הוא יגמלך כל טוב סלה</w:t>
      </w:r>
      <w:r>
        <w:rPr>
          <w:rFonts w:cs="David"/>
        </w:rPr>
        <w:t>, for which there is no parallel. His answer: one who has been saved by a miracle fears that Heaven drew upon his account of merits to perform it, and that the account now stands lower. He is grateful and anxious together, and so the congregation reassures him: He who has given you good will continue to give you only good.</w:t>
      </w:r>
    </w:p>
    <w:p>
      <w:r>
        <w:rPr>
          <w:rFonts w:cs="David"/>
        </w:rPr>
        <w:t xml:space="preserve">A member of the congregation raised the parallel of the response after a circumcision, </w:t>
      </w:r>
      <w:r>
        <w:rPr>
          <w:rFonts w:cs="David" w:ascii="David" w:hAnsi="David"/>
          <w:color w:val="1E3A8A"/>
          <w:rtl/>
        </w:rPr>
        <w:t>כשם שנכנס לברית כן יכנס לתורה ולחופה ולמעשים טובים</w:t>
      </w:r>
      <w:r>
        <w:rPr>
          <w:rFonts w:cs="David"/>
        </w:rPr>
        <w:t>.</w:t>
      </w:r>
      <w:r>
        <w:rPr>
          <w:rFonts w:cs="David"/>
          <w:color w:val="B8860B"/>
          <w:vertAlign w:val="superscript"/>
        </w:rPr>
        <w:t>[9]</w:t>
      </w:r>
      <w:r>
        <w:rPr>
          <w:rFonts w:cs="David"/>
        </w:rPr>
        <w:t xml:space="preserve"> The lecturer accepted the point and distinguished the two: that response is a prayer of mercy for the parents, that the child be raised to Torah, marriage and good deeds, whereas the response to </w:t>
      </w:r>
      <w:r>
        <w:rPr>
          <w:rFonts w:cs="David"/>
          <w:i/>
        </w:rPr>
        <w:t>HaGomel</w:t>
      </w:r>
      <w:r>
        <w:rPr>
          <w:rFonts w:cs="David"/>
        </w:rPr>
        <w:t xml:space="preserve"> (</w:t>
      </w:r>
      <w:r>
        <w:rPr>
          <w:rFonts w:cs="David" w:ascii="David" w:hAnsi="David"/>
          <w:color w:val="1E3A8A"/>
          <w:rtl/>
        </w:rPr>
        <w:t>הגומל</w:t>
      </w:r>
      <w:r>
        <w:rPr>
          <w:rFonts w:cs="David"/>
        </w:rPr>
        <w:t>)</w:t>
      </w:r>
      <w:r>
        <w:rPr>
          <w:rFonts w:cs="David"/>
        </w:rPr>
        <w:t xml:space="preserve"> comforts the one who blessed.</w:t>
      </w:r>
    </w:p>
    <w:p>
      <w:pPr>
        <w:spacing w:before="160"/>
      </w:pPr>
      <w:r>
        <w:rPr>
          <w:rFonts w:cs="David"/>
          <w:i/>
          <w:color w:val="B8860B"/>
          <w:sz w:val="24"/>
        </w:rPr>
        <w:t>An Additional Reason: Reading as an Offering</w:t>
      </w:r>
    </w:p>
    <w:p>
      <w:r>
        <w:rPr>
          <w:rFonts w:cs="David"/>
        </w:rPr>
        <w:t xml:space="preserve">The </w:t>
      </w:r>
      <w:r>
        <w:rPr>
          <w:rFonts w:cs="David"/>
          <w:i/>
        </w:rPr>
        <w:t>Rosh</w:t>
      </w:r>
      <w:r>
        <w:rPr>
          <w:rFonts w:cs="David"/>
        </w:rPr>
        <w:t xml:space="preserve"> (</w:t>
      </w:r>
      <w:r>
        <w:rPr>
          <w:rFonts w:cs="David" w:ascii="David" w:hAnsi="David"/>
          <w:color w:val="1E3A8A"/>
          <w:rtl/>
        </w:rPr>
        <w:t>רא״ש</w:t>
      </w:r>
      <w:r>
        <w:rPr>
          <w:rFonts w:cs="David"/>
        </w:rPr>
        <w:t>)</w:t>
      </w:r>
      <w:r>
        <w:rPr>
          <w:rFonts w:cs="David"/>
          <w:color w:val="B8860B"/>
          <w:vertAlign w:val="superscript"/>
        </w:rPr>
        <w:t>[10]</w:t>
      </w:r>
      <w:r>
        <w:rPr>
          <w:rFonts w:cs="David"/>
        </w:rPr>
        <w:t xml:space="preserve"> is cited for a further reason: as prayer stands in place of the offerings, so the reading of the Torah stands in place of offerings, and one who cannot bring a </w:t>
      </w:r>
      <w:r>
        <w:rPr>
          <w:rFonts w:cs="David"/>
          <w:i/>
        </w:rPr>
        <w:t>korban todah</w:t>
      </w:r>
      <w:r>
        <w:rPr>
          <w:rFonts w:cs="David"/>
        </w:rPr>
        <w:t xml:space="preserve"> (</w:t>
      </w:r>
      <w:r>
        <w:rPr>
          <w:rFonts w:cs="David" w:ascii="David" w:hAnsi="David"/>
          <w:color w:val="1E3A8A"/>
          <w:rtl/>
        </w:rPr>
        <w:t>קרבן תודה</w:t>
      </w:r>
      <w:r>
        <w:rPr>
          <w:rFonts w:cs="David"/>
        </w:rPr>
        <w:t>)</w:t>
      </w:r>
      <w:r>
        <w:rPr>
          <w:rFonts w:cs="David"/>
        </w:rPr>
        <w:t xml:space="preserve"> discharges that wish through the reading itself.</w:t>
      </w:r>
    </w:p>
    <w:p>
      <w:pPr>
        <w:spacing w:before="160"/>
      </w:pPr>
      <w:r>
        <w:rPr>
          <w:rFonts w:cs="David"/>
          <w:i/>
          <w:color w:val="B8860B"/>
          <w:sz w:val="24"/>
        </w:rPr>
        <w:t>A Question on the Response (restored from the recording)</w:t>
      </w:r>
    </w:p>
    <w:p>
      <w:r>
        <w:rPr>
          <w:rFonts w:cs="David"/>
        </w:rPr>
        <w:t xml:space="preserve">The lecturer then recounted a question on this very point, found in the work </w:t>
      </w:r>
      <w:r>
        <w:rPr>
          <w:rFonts w:cs="David"/>
          <w:i/>
        </w:rPr>
        <w:t>Hisorerus Teshuvah</w:t>
      </w:r>
      <w:r>
        <w:rPr>
          <w:rFonts w:cs="David"/>
        </w:rPr>
        <w:t xml:space="preserve"> (</w:t>
      </w:r>
      <w:r>
        <w:rPr>
          <w:rFonts w:cs="David" w:ascii="David" w:hAnsi="David"/>
          <w:color w:val="1E3A8A"/>
          <w:rtl/>
        </w:rPr>
        <w:t>התעוררות תשובה</w:t>
      </w:r>
      <w:r>
        <w:rPr>
          <w:rFonts w:cs="David"/>
        </w:rPr>
        <w:t>)</w:t>
      </w:r>
      <w:r>
        <w:rPr>
          <w:rFonts w:cs="David"/>
        </w:rPr>
        <w:t xml:space="preserve">, a responsa collection by a grandson of the </w:t>
      </w:r>
      <w:r>
        <w:rPr>
          <w:rFonts w:cs="David"/>
          <w:i/>
        </w:rPr>
        <w:t>Chasam Sofer</w:t>
      </w:r>
      <w:r>
        <w:rPr>
          <w:rFonts w:cs="David"/>
        </w:rPr>
        <w:t xml:space="preserve"> (</w:t>
      </w:r>
      <w:r>
        <w:rPr>
          <w:rFonts w:cs="David" w:ascii="David" w:hAnsi="David"/>
          <w:color w:val="1E3A8A"/>
          <w:rtl/>
        </w:rPr>
        <w:t>חתם סופר</w:t>
      </w:r>
      <w:r>
        <w:rPr>
          <w:rFonts w:cs="David"/>
        </w:rPr>
        <w:t>)</w:t>
      </w:r>
      <w:r>
        <w:rPr>
          <w:rFonts w:cs="David"/>
        </w:rPr>
        <w:t>.</w:t>
      </w:r>
      <w:r>
        <w:rPr>
          <w:rFonts w:cs="David"/>
          <w:color w:val="B8860B"/>
          <w:vertAlign w:val="superscript"/>
        </w:rPr>
        <w:t>[11]</w:t>
      </w:r>
      <w:r>
        <w:rPr>
          <w:rFonts w:cs="David"/>
        </w:rPr>
        <w:t xml:space="preserve"> The </w:t>
      </w:r>
      <w:r>
        <w:rPr>
          <w:rFonts w:cs="David"/>
          <w:i/>
        </w:rPr>
        <w:t>Chasam Sofer</w:t>
      </w:r>
      <w:r>
        <w:rPr>
          <w:rFonts w:cs="David"/>
        </w:rPr>
        <w:t xml:space="preserve"> (</w:t>
      </w:r>
      <w:r>
        <w:rPr>
          <w:rFonts w:cs="David" w:ascii="David" w:hAnsi="David"/>
          <w:color w:val="1E3A8A"/>
          <w:rtl/>
        </w:rPr>
        <w:t>חתם סופר</w:t>
      </w:r>
      <w:r>
        <w:rPr>
          <w:rFonts w:cs="David"/>
        </w:rPr>
        <w:t>)</w:t>
      </w:r>
      <w:r>
        <w:rPr>
          <w:rFonts w:cs="David"/>
        </w:rPr>
        <w:t xml:space="preserve"> was succeeded in Pressburg by his eldest son, the </w:t>
      </w:r>
      <w:r>
        <w:rPr>
          <w:rFonts w:cs="David"/>
          <w:i/>
        </w:rPr>
        <w:t>Ksav Sofer</w:t>
      </w:r>
      <w:r>
        <w:rPr>
          <w:rFonts w:cs="David"/>
        </w:rPr>
        <w:t xml:space="preserve"> (</w:t>
      </w:r>
      <w:r>
        <w:rPr>
          <w:rFonts w:cs="David" w:ascii="David" w:hAnsi="David"/>
          <w:color w:val="1E3A8A"/>
          <w:rtl/>
        </w:rPr>
        <w:t>כתב סופר</w:t>
      </w:r>
      <w:r>
        <w:rPr>
          <w:rFonts w:cs="David"/>
        </w:rPr>
        <w:t>)</w:t>
      </w:r>
      <w:r>
        <w:rPr>
          <w:rFonts w:cs="David"/>
        </w:rPr>
        <w:t xml:space="preserve">, whose son, </w:t>
      </w:r>
      <w:r>
        <w:rPr>
          <w:rFonts w:cs="David"/>
          <w:i/>
        </w:rPr>
        <w:t>Rav Shimon Sofer</w:t>
      </w:r>
      <w:r>
        <w:rPr>
          <w:rFonts w:cs="David"/>
        </w:rPr>
        <w:t xml:space="preserve"> (</w:t>
      </w:r>
      <w:r>
        <w:rPr>
          <w:rFonts w:cs="David" w:ascii="David" w:hAnsi="David"/>
          <w:color w:val="1E3A8A"/>
          <w:rtl/>
        </w:rPr>
        <w:t>רב שמעון סופר</w:t>
      </w:r>
      <w:r>
        <w:rPr>
          <w:rFonts w:cs="David"/>
        </w:rPr>
        <w:t>)</w:t>
      </w:r>
      <w:r>
        <w:rPr>
          <w:rFonts w:cs="David"/>
        </w:rPr>
        <w:t xml:space="preserve">, was the rabbi of Erlau (Eger) in Hungary. The lecturer once met the grandson of that rabbi, a prominent collector of antique Judaica, who told him that his grandfather was ninety-five years old, after sixty years in the rabbinate, when he was taken to Auschwitz. The question in the book is whether one should answer </w:t>
      </w:r>
      <w:r>
        <w:rPr>
          <w:rFonts w:cs="David"/>
          <w:i/>
        </w:rPr>
        <w:t>Amen</w:t>
      </w:r>
      <w:r>
        <w:rPr>
          <w:rFonts w:cs="David"/>
        </w:rPr>
        <w:t xml:space="preserve"> (</w:t>
      </w:r>
      <w:r>
        <w:rPr>
          <w:rFonts w:cs="David" w:ascii="David" w:hAnsi="David"/>
          <w:color w:val="1E3A8A"/>
          <w:rtl/>
        </w:rPr>
        <w:t>אמן</w:t>
      </w:r>
      <w:r>
        <w:rPr>
          <w:rFonts w:cs="David"/>
        </w:rPr>
        <w:t>)</w:t>
      </w:r>
      <w:r>
        <w:rPr>
          <w:rFonts w:cs="David"/>
        </w:rPr>
        <w:t xml:space="preserve"> to </w:t>
      </w:r>
      <w:r>
        <w:rPr>
          <w:rFonts w:cs="David"/>
          <w:i/>
        </w:rPr>
        <w:t>HaGomel</w:t>
      </w:r>
      <w:r>
        <w:rPr>
          <w:rFonts w:cs="David"/>
        </w:rPr>
        <w:t xml:space="preserve"> (</w:t>
      </w:r>
      <w:r>
        <w:rPr>
          <w:rFonts w:cs="David" w:ascii="David" w:hAnsi="David"/>
          <w:color w:val="1E3A8A"/>
          <w:rtl/>
        </w:rPr>
        <w:t>הגומל</w:t>
      </w:r>
      <w:r>
        <w:rPr>
          <w:rFonts w:cs="David"/>
        </w:rPr>
        <w:t>)</w:t>
      </w:r>
      <w:r>
        <w:rPr>
          <w:rFonts w:cs="David"/>
        </w:rPr>
        <w:t xml:space="preserve"> at all, or say only </w:t>
      </w:r>
      <w:r>
        <w:rPr>
          <w:rFonts w:cs="David" w:ascii="David" w:hAnsi="David"/>
          <w:color w:val="1E3A8A"/>
          <w:rtl/>
        </w:rPr>
        <w:t>מי שגמלך כל טוב</w:t>
      </w:r>
      <w:r>
        <w:rPr>
          <w:rFonts w:cs="David"/>
        </w:rPr>
        <w:t>. The lecturer notes that the practice is to say both.</w:t>
      </w:r>
    </w:p>
    <w:p>
      <w:pPr>
        <w:spacing w:before="280"/>
      </w:pPr>
      <w:r>
        <w:rPr>
          <w:rFonts w:cs="David"/>
          <w:b/>
          <w:color w:val="1E3A8A"/>
          <w:sz w:val="26"/>
        </w:rPr>
        <w:t>IV. THE YEHI RATZONS OF MONDAY AND THURSDAY, AND THE CENSORSHIP OF THE SIDDUR</w:t>
      </w:r>
    </w:p>
    <w:p>
      <w:pPr>
        <w:spacing w:before="160"/>
      </w:pPr>
      <w:r>
        <w:rPr>
          <w:rFonts w:cs="David"/>
          <w:i/>
          <w:color w:val="B8860B"/>
          <w:sz w:val="24"/>
        </w:rPr>
        <w:t>When They Are Said</w:t>
      </w:r>
    </w:p>
    <w:p>
      <w:r>
        <w:rPr>
          <w:rFonts w:cs="David"/>
        </w:rPr>
        <w:t xml:space="preserve">After the reading on Monday and Thursday, during the rolling of the scroll, several </w:t>
      </w:r>
      <w:r>
        <w:rPr>
          <w:rFonts w:cs="David"/>
          <w:i/>
        </w:rPr>
        <w:t>Yehi Ratzons</w:t>
      </w:r>
      <w:r>
        <w:rPr>
          <w:rFonts w:cs="David"/>
        </w:rPr>
        <w:t xml:space="preserve"> (</w:t>
      </w:r>
      <w:r>
        <w:rPr>
          <w:rFonts w:cs="David" w:ascii="David" w:hAnsi="David"/>
          <w:color w:val="1E3A8A"/>
          <w:rtl/>
        </w:rPr>
        <w:t>יהי רצון</w:t>
      </w:r>
      <w:r>
        <w:rPr>
          <w:rFonts w:cs="David"/>
        </w:rPr>
        <w:t>)</w:t>
      </w:r>
      <w:r>
        <w:rPr>
          <w:rFonts w:cs="David"/>
        </w:rPr>
        <w:t xml:space="preserve"> are said. Their origin is unknown; they appear in early prayer books of the </w:t>
      </w:r>
      <w:r>
        <w:rPr>
          <w:rFonts w:cs="David"/>
          <w:i/>
        </w:rPr>
        <w:t>Geonim</w:t>
      </w:r>
      <w:r>
        <w:rPr>
          <w:rFonts w:cs="David"/>
        </w:rPr>
        <w:t xml:space="preserve"> (</w:t>
      </w:r>
      <w:r>
        <w:rPr>
          <w:rFonts w:cs="David" w:ascii="David" w:hAnsi="David"/>
          <w:color w:val="1E3A8A"/>
          <w:rtl/>
        </w:rPr>
        <w:t>גאונים</w:t>
      </w:r>
      <w:r>
        <w:rPr>
          <w:rFonts w:cs="David"/>
        </w:rPr>
        <w:t>)</w:t>
      </w:r>
      <w:r>
        <w:rPr>
          <w:rFonts w:cs="David"/>
        </w:rPr>
        <w:t xml:space="preserve">. Their timing is disputed. </w:t>
      </w:r>
      <w:r>
        <w:rPr>
          <w:rFonts w:cs="David"/>
          <w:i/>
        </w:rPr>
        <w:t>Ashkenazim</w:t>
      </w:r>
      <w:r>
        <w:rPr>
          <w:rFonts w:cs="David"/>
        </w:rPr>
        <w:t xml:space="preserve"> (</w:t>
      </w:r>
      <w:r>
        <w:rPr>
          <w:rFonts w:cs="David" w:ascii="David" w:hAnsi="David"/>
          <w:color w:val="1E3A8A"/>
          <w:rtl/>
        </w:rPr>
        <w:t>אשכנזים</w:t>
      </w:r>
      <w:r>
        <w:rPr>
          <w:rFonts w:cs="David"/>
        </w:rPr>
        <w:t>)</w:t>
      </w:r>
      <w:r>
        <w:rPr>
          <w:rFonts w:cs="David"/>
        </w:rPr>
        <w:t xml:space="preserve"> say them every Monday and Thursday; </w:t>
      </w:r>
      <w:r>
        <w:rPr>
          <w:rFonts w:cs="David"/>
          <w:i/>
        </w:rPr>
        <w:t>Sefardim</w:t>
      </w:r>
      <w:r>
        <w:rPr>
          <w:rFonts w:cs="David"/>
        </w:rPr>
        <w:t xml:space="preserve"> (</w:t>
      </w:r>
      <w:r>
        <w:rPr>
          <w:rFonts w:cs="David" w:ascii="David" w:hAnsi="David"/>
          <w:color w:val="1E3A8A"/>
          <w:rtl/>
        </w:rPr>
        <w:t>ספרדים</w:t>
      </w:r>
      <w:r>
        <w:rPr>
          <w:rFonts w:cs="David"/>
        </w:rPr>
        <w:t>)</w:t>
      </w:r>
      <w:r>
        <w:rPr>
          <w:rFonts w:cs="David"/>
        </w:rPr>
        <w:t xml:space="preserve"> say them only on </w:t>
      </w:r>
      <w:r>
        <w:rPr>
          <w:rFonts w:cs="David"/>
          <w:i/>
        </w:rPr>
        <w:t>Rosh Chodesh</w:t>
      </w:r>
      <w:r>
        <w:rPr>
          <w:rFonts w:cs="David"/>
        </w:rPr>
        <w:t xml:space="preserve"> (</w:t>
      </w:r>
      <w:r>
        <w:rPr>
          <w:rFonts w:cs="David" w:ascii="David" w:hAnsi="David"/>
          <w:color w:val="1E3A8A"/>
          <w:rtl/>
        </w:rPr>
        <w:t>ראש חודש</w:t>
      </w:r>
      <w:r>
        <w:rPr>
          <w:rFonts w:cs="David"/>
        </w:rPr>
        <w:t>)</w:t>
      </w:r>
      <w:r>
        <w:rPr>
          <w:rFonts w:cs="David"/>
        </w:rPr>
        <w:t xml:space="preserve">, when they bless the new month; and the </w:t>
      </w:r>
      <w:r>
        <w:rPr>
          <w:rFonts w:cs="David"/>
          <w:i/>
        </w:rPr>
        <w:t>Machzor Vitry</w:t>
      </w:r>
      <w:r>
        <w:rPr>
          <w:rFonts w:cs="David"/>
        </w:rPr>
        <w:t xml:space="preserve"> (</w:t>
      </w:r>
      <w:r>
        <w:rPr>
          <w:rFonts w:cs="David" w:ascii="David" w:hAnsi="David"/>
          <w:color w:val="1E3A8A"/>
          <w:rtl/>
        </w:rPr>
        <w:t>מחזור ויטרי</w:t>
      </w:r>
      <w:r>
        <w:rPr>
          <w:rFonts w:cs="David"/>
        </w:rPr>
        <w:t>)</w:t>
      </w:r>
      <w:r>
        <w:rPr>
          <w:rFonts w:cs="David"/>
          <w:color w:val="B8860B"/>
          <w:vertAlign w:val="superscript"/>
        </w:rPr>
        <w:t>[12]</w:t>
      </w:r>
      <w:r>
        <w:rPr>
          <w:rFonts w:cs="David"/>
        </w:rPr>
        <w:t xml:space="preserve"> writes that they are to be said only at </w:t>
      </w:r>
      <w:r>
        <w:rPr>
          <w:rFonts w:cs="David"/>
          <w:i/>
        </w:rPr>
        <w:t>Shabbos Minchah</w:t>
      </w:r>
      <w:r>
        <w:rPr>
          <w:rFonts w:cs="David"/>
        </w:rPr>
        <w:t xml:space="preserve"> (</w:t>
      </w:r>
      <w:r>
        <w:rPr>
          <w:rFonts w:cs="David" w:ascii="David" w:hAnsi="David"/>
          <w:color w:val="1E3A8A"/>
          <w:rtl/>
        </w:rPr>
        <w:t>שבת מנחה</w:t>
      </w:r>
      <w:r>
        <w:rPr>
          <w:rFonts w:cs="David"/>
        </w:rPr>
        <w:t>)</w:t>
      </w:r>
      <w:r>
        <w:rPr>
          <w:rFonts w:cs="David"/>
        </w:rPr>
        <w:t xml:space="preserve">, a practice, to the lecturer’s knowledge, that no one follows today. Why they are said from the </w:t>
      </w:r>
      <w:r>
        <w:rPr>
          <w:rFonts w:cs="David"/>
          <w:i/>
        </w:rPr>
        <w:t>bimah</w:t>
      </w:r>
      <w:r>
        <w:rPr>
          <w:rFonts w:cs="David"/>
        </w:rPr>
        <w:t xml:space="preserve"> (</w:t>
      </w:r>
      <w:r>
        <w:rPr>
          <w:rFonts w:cs="David" w:ascii="David" w:hAnsi="David"/>
          <w:color w:val="1E3A8A"/>
          <w:rtl/>
        </w:rPr>
        <w:t>בימה</w:t>
      </w:r>
      <w:r>
        <w:rPr>
          <w:rFonts w:cs="David"/>
        </w:rPr>
        <w:t>)</w:t>
      </w:r>
      <w:r>
        <w:rPr>
          <w:rFonts w:cs="David"/>
        </w:rPr>
        <w:t xml:space="preserve">, and why they follow the reading, the </w:t>
      </w:r>
      <w:r>
        <w:rPr>
          <w:rFonts w:cs="David"/>
          <w:i/>
        </w:rPr>
        <w:t>Rishonim</w:t>
      </w:r>
      <w:r>
        <w:rPr>
          <w:rFonts w:cs="David"/>
        </w:rPr>
        <w:t xml:space="preserve"> (</w:t>
      </w:r>
      <w:r>
        <w:rPr>
          <w:rFonts w:cs="David" w:ascii="David" w:hAnsi="David"/>
          <w:color w:val="1E3A8A"/>
          <w:rtl/>
        </w:rPr>
        <w:t>ראשונים</w:t>
      </w:r>
      <w:r>
        <w:rPr>
          <w:rFonts w:cs="David"/>
        </w:rPr>
        <w:t>)</w:t>
      </w:r>
      <w:r>
        <w:rPr>
          <w:rFonts w:cs="David"/>
        </w:rPr>
        <w:t xml:space="preserve"> do not say.</w:t>
      </w:r>
    </w:p>
    <w:p>
      <w:pPr>
        <w:spacing w:before="160"/>
      </w:pPr>
      <w:r>
        <w:rPr>
          <w:rFonts w:cs="David"/>
          <w:i/>
          <w:color w:val="B8860B"/>
          <w:sz w:val="24"/>
        </w:rPr>
        <w:t>The Yehi Ratzon That Was Removed</w:t>
      </w:r>
    </w:p>
    <w:p>
      <w:r>
        <w:rPr>
          <w:rFonts w:cs="David"/>
        </w:rPr>
        <w:t xml:space="preserve">One </w:t>
      </w:r>
      <w:r>
        <w:rPr>
          <w:rFonts w:cs="David"/>
          <w:i/>
        </w:rPr>
        <w:t>Yehi Ratzon</w:t>
      </w:r>
      <w:r>
        <w:rPr>
          <w:rFonts w:cs="David"/>
        </w:rPr>
        <w:t xml:space="preserve"> (</w:t>
      </w:r>
      <w:r>
        <w:rPr>
          <w:rFonts w:cs="David" w:ascii="David" w:hAnsi="David"/>
          <w:color w:val="1E3A8A"/>
          <w:rtl/>
        </w:rPr>
        <w:t>יהי רצון</w:t>
      </w:r>
      <w:r>
        <w:rPr>
          <w:rFonts w:cs="David"/>
        </w:rPr>
        <w:t>)</w:t>
      </w:r>
      <w:r>
        <w:rPr>
          <w:rFonts w:cs="David"/>
        </w:rPr>
        <w:t xml:space="preserve"> is missing from our prayer books. It began </w:t>
      </w:r>
      <w:r>
        <w:rPr>
          <w:rFonts w:cs="David" w:ascii="David" w:hAnsi="David"/>
          <w:color w:val="1E3A8A"/>
          <w:rtl/>
        </w:rPr>
        <w:t>יהי רצון מלפני אבינו שבשמים להשמיד את אויבינו</w:t>
      </w:r>
      <w:r>
        <w:rPr>
          <w:rFonts w:cs="David"/>
        </w:rPr>
        <w:t xml:space="preserve"> and continued at length, ending with </w:t>
      </w:r>
      <w:r>
        <w:rPr>
          <w:rFonts w:cs="David"/>
          <w:i/>
        </w:rPr>
        <w:t>amen</w:t>
      </w:r>
      <w:r>
        <w:rPr>
          <w:rFonts w:cs="David"/>
        </w:rPr>
        <w:t xml:space="preserve"> (</w:t>
      </w:r>
      <w:r>
        <w:rPr>
          <w:rFonts w:cs="David" w:ascii="David" w:hAnsi="David"/>
          <w:color w:val="1E3A8A"/>
          <w:rtl/>
        </w:rPr>
        <w:t>אמן</w:t>
      </w:r>
      <w:r>
        <w:rPr>
          <w:rFonts w:cs="David"/>
        </w:rPr>
        <w:t>)</w:t>
      </w:r>
      <w:r>
        <w:rPr>
          <w:rFonts w:cs="David"/>
        </w:rPr>
        <w:t>. The lecturer’s explanation is censorship: the hostile authorities of earlier centuries scrutinized every word of the prayer book, and did not welcome Jews praying twice weekly for the destruction of their enemies. When and by whom it was removed is not known; the lecturer says that this is what seems to have happened.</w:t>
      </w:r>
    </w:p>
    <w:p>
      <w:pPr>
        <w:spacing w:before="280"/>
      </w:pPr>
      <w:r>
        <w:rPr>
          <w:rFonts w:cs="David"/>
          <w:b/>
          <w:color w:val="1E3A8A"/>
          <w:sz w:val="26"/>
        </w:rPr>
        <w:t>V. ASHREI THREE TIMES A DAY</w:t>
      </w:r>
    </w:p>
    <w:p>
      <w:pPr>
        <w:spacing w:before="160"/>
      </w:pPr>
      <w:r>
        <w:rPr>
          <w:rFonts w:cs="David"/>
          <w:i/>
          <w:color w:val="B8860B"/>
          <w:sz w:val="24"/>
        </w:rPr>
        <w:t>The Gemara</w:t>
      </w:r>
    </w:p>
    <w:p>
      <w:r>
        <w:rPr>
          <w:rFonts w:cs="David"/>
        </w:rPr>
        <w:t xml:space="preserve">The main section of prayer is finished with </w:t>
      </w:r>
      <w:r>
        <w:rPr>
          <w:rFonts w:cs="David"/>
          <w:i/>
        </w:rPr>
        <w:t>Shemoneh Esrei</w:t>
      </w:r>
      <w:r>
        <w:rPr>
          <w:rFonts w:cs="David"/>
        </w:rPr>
        <w:t xml:space="preserve"> (</w:t>
      </w:r>
      <w:r>
        <w:rPr>
          <w:rFonts w:cs="David" w:ascii="David" w:hAnsi="David"/>
          <w:color w:val="1E3A8A"/>
          <w:rtl/>
        </w:rPr>
        <w:t>שמונה עשרה</w:t>
      </w:r>
      <w:r>
        <w:rPr>
          <w:rFonts w:cs="David"/>
        </w:rPr>
        <w:t>)</w:t>
      </w:r>
      <w:r>
        <w:rPr>
          <w:rFonts w:cs="David"/>
        </w:rPr>
        <w:t xml:space="preserve">, the repetition, </w:t>
      </w:r>
      <w:r>
        <w:rPr>
          <w:rFonts w:cs="David"/>
          <w:i/>
        </w:rPr>
        <w:t>Tachanun</w:t>
      </w:r>
      <w:r>
        <w:rPr>
          <w:rFonts w:cs="David"/>
        </w:rPr>
        <w:t xml:space="preserve"> (</w:t>
      </w:r>
      <w:r>
        <w:rPr>
          <w:rFonts w:cs="David" w:ascii="David" w:hAnsi="David"/>
          <w:color w:val="1E3A8A"/>
          <w:rtl/>
        </w:rPr>
        <w:t>תחנון</w:t>
      </w:r>
      <w:r>
        <w:rPr>
          <w:rFonts w:cs="David"/>
        </w:rPr>
        <w:t>)</w:t>
      </w:r>
      <w:r>
        <w:rPr>
          <w:rFonts w:cs="David"/>
        </w:rPr>
        <w:t xml:space="preserve">, and the reading, which is bound up with prayer without being strictly part of it. A new section now begins, </w:t>
      </w:r>
      <w:r>
        <w:rPr>
          <w:rFonts w:cs="David"/>
          <w:i/>
        </w:rPr>
        <w:t>Kedushah DeSidra</w:t>
      </w:r>
      <w:r>
        <w:rPr>
          <w:rFonts w:cs="David"/>
        </w:rPr>
        <w:t xml:space="preserve"> (</w:t>
      </w:r>
      <w:r>
        <w:rPr>
          <w:rFonts w:cs="David" w:ascii="David" w:hAnsi="David"/>
          <w:color w:val="1E3A8A"/>
          <w:rtl/>
        </w:rPr>
        <w:t>קדושה דסידרא</w:t>
      </w:r>
      <w:r>
        <w:rPr>
          <w:rFonts w:cs="David"/>
        </w:rPr>
        <w:t>)</w:t>
      </w:r>
      <w:r>
        <w:rPr>
          <w:rFonts w:cs="David"/>
        </w:rPr>
        <w:t xml:space="preserve">. It is so called because it contains </w:t>
      </w:r>
      <w:r>
        <w:rPr>
          <w:rFonts w:cs="David" w:ascii="David" w:hAnsi="David"/>
          <w:color w:val="1E3A8A"/>
          <w:rtl/>
        </w:rPr>
        <w:t>ואתה קדוש יושב תהלות ישראל</w:t>
      </w:r>
      <w:r>
        <w:rPr>
          <w:rFonts w:cs="David"/>
        </w:rPr>
        <w:t xml:space="preserve">. But before it comes </w:t>
      </w:r>
      <w:r>
        <w:rPr>
          <w:rFonts w:cs="David"/>
          <w:i/>
        </w:rPr>
        <w:t>Ashrei</w:t>
      </w:r>
      <w:r>
        <w:rPr>
          <w:rFonts w:cs="David"/>
        </w:rPr>
        <w:t xml:space="preserve"> (</w:t>
      </w:r>
      <w:r>
        <w:rPr>
          <w:rFonts w:cs="David" w:ascii="David" w:hAnsi="David"/>
          <w:color w:val="1E3A8A"/>
          <w:rtl/>
        </w:rPr>
        <w:t>אשרי</w:t>
      </w:r>
      <w:r>
        <w:rPr>
          <w:rFonts w:cs="David"/>
        </w:rPr>
        <w:t>)</w:t>
      </w:r>
      <w:r>
        <w:rPr>
          <w:rFonts w:cs="David"/>
        </w:rPr>
        <w:t xml:space="preserve">, which was already said in </w:t>
      </w:r>
      <w:r>
        <w:rPr>
          <w:rFonts w:cs="David"/>
          <w:i/>
        </w:rPr>
        <w:t>Pesukei DeZimrah</w:t>
      </w:r>
      <w:r>
        <w:rPr>
          <w:rFonts w:cs="David"/>
        </w:rPr>
        <w:t xml:space="preserve"> (</w:t>
      </w:r>
      <w:r>
        <w:rPr>
          <w:rFonts w:cs="David" w:ascii="David" w:hAnsi="David"/>
          <w:color w:val="1E3A8A"/>
          <w:rtl/>
        </w:rPr>
        <w:t>פסוקי דזמרה</w:t>
      </w:r>
      <w:r>
        <w:rPr>
          <w:rFonts w:cs="David"/>
        </w:rPr>
        <w:t>)</w:t>
      </w:r>
      <w:r>
        <w:rPr>
          <w:rFonts w:cs="David"/>
        </w:rPr>
        <w:t>. Why again, and why here?</w:t>
      </w:r>
    </w:p>
    <w:p>
      <w:r>
        <w:rPr>
          <w:rFonts w:cs="David"/>
        </w:rPr>
        <w:t xml:space="preserve">The </w:t>
      </w:r>
      <w:r>
        <w:rPr>
          <w:rFonts w:cs="David"/>
          <w:i/>
        </w:rPr>
        <w:t>Gemara</w:t>
      </w:r>
      <w:r>
        <w:rPr>
          <w:rFonts w:cs="David"/>
        </w:rPr>
        <w:t xml:space="preserve"> (</w:t>
      </w:r>
      <w:r>
        <w:rPr>
          <w:rFonts w:cs="David" w:ascii="David" w:hAnsi="David"/>
          <w:color w:val="1E3A8A"/>
          <w:rtl/>
        </w:rPr>
        <w:t>גמרא</w:t>
      </w:r>
      <w:r>
        <w:rPr>
          <w:rFonts w:cs="David"/>
        </w:rPr>
        <w:t>)</w:t>
      </w:r>
      <w:r>
        <w:rPr>
          <w:rFonts w:cs="David"/>
        </w:rPr>
        <w:t xml:space="preserve"> at the beginning of the </w:t>
      </w:r>
      <w:r>
        <w:rPr>
          <w:rFonts w:cs="David"/>
          <w:i/>
        </w:rPr>
        <w:t>Talmud Bavli</w:t>
      </w:r>
      <w:r>
        <w:rPr>
          <w:rFonts w:cs="David"/>
        </w:rPr>
        <w:t xml:space="preserve"> (</w:t>
      </w:r>
      <w:r>
        <w:rPr>
          <w:rFonts w:cs="David" w:ascii="David" w:hAnsi="David"/>
          <w:color w:val="1E3A8A"/>
          <w:rtl/>
        </w:rPr>
        <w:t>תלמוד בבלי</w:t>
      </w:r>
      <w:r>
        <w:rPr>
          <w:rFonts w:cs="David"/>
        </w:rPr>
        <w:t>)</w:t>
      </w:r>
      <w:r>
        <w:rPr>
          <w:rFonts w:cs="David"/>
          <w:color w:val="B8860B"/>
          <w:vertAlign w:val="superscript"/>
        </w:rPr>
        <w:t>[13]</w:t>
      </w:r>
      <w:r>
        <w:rPr>
          <w:rFonts w:cs="David"/>
        </w:rPr>
        <w:t xml:space="preserve"> states: </w:t>
      </w:r>
      <w:r>
        <w:rPr>
          <w:rFonts w:cs="David" w:ascii="David" w:hAnsi="David"/>
          <w:color w:val="1E3A8A"/>
          <w:rtl/>
        </w:rPr>
        <w:t>כל האומר תהלה לדוד בכל יום שלש פעמים מובטח לו שהוא בן עולם הבא</w:t>
      </w:r>
      <w:r>
        <w:rPr>
          <w:rFonts w:cs="David"/>
        </w:rPr>
        <w:t>. It is, as the lecturer puts it, an entry ticket to the World to Come.</w:t>
      </w:r>
    </w:p>
    <w:p>
      <w:pPr>
        <w:spacing w:before="160"/>
      </w:pPr>
      <w:r>
        <w:rPr>
          <w:rFonts w:cs="David"/>
          <w:i/>
          <w:color w:val="B8860B"/>
          <w:sz w:val="24"/>
        </w:rPr>
        <w:t>Two Reasons</w:t>
      </w:r>
    </w:p>
    <w:p>
      <w:r>
        <w:rPr>
          <w:rFonts w:cs="David"/>
        </w:rPr>
        <w:t xml:space="preserve">The </w:t>
      </w:r>
      <w:r>
        <w:rPr>
          <w:rFonts w:cs="David"/>
          <w:i/>
        </w:rPr>
        <w:t>Gemara</w:t>
      </w:r>
      <w:r>
        <w:rPr>
          <w:rFonts w:cs="David"/>
        </w:rPr>
        <w:t xml:space="preserve"> (</w:t>
      </w:r>
      <w:r>
        <w:rPr>
          <w:rFonts w:cs="David" w:ascii="David" w:hAnsi="David"/>
          <w:color w:val="1E3A8A"/>
          <w:rtl/>
        </w:rPr>
        <w:t>גמרא</w:t>
      </w:r>
      <w:r>
        <w:rPr>
          <w:rFonts w:cs="David"/>
        </w:rPr>
        <w:t>)</w:t>
      </w:r>
      <w:r>
        <w:rPr>
          <w:rFonts w:cs="David"/>
        </w:rPr>
        <w:t xml:space="preserve"> points to two features. The psalm is alphabetical, from </w:t>
      </w:r>
      <w:r>
        <w:rPr>
          <w:rFonts w:cs="David" w:ascii="David" w:hAnsi="David"/>
          <w:color w:val="1E3A8A"/>
          <w:rtl/>
        </w:rPr>
        <w:t>א</w:t>
      </w:r>
      <w:r>
        <w:rPr>
          <w:rFonts w:cs="David"/>
        </w:rPr>
        <w:t xml:space="preserve"> to </w:t>
      </w:r>
      <w:r>
        <w:rPr>
          <w:rFonts w:cs="David" w:ascii="David" w:hAnsi="David"/>
          <w:color w:val="1E3A8A"/>
          <w:rtl/>
        </w:rPr>
        <w:t>ת</w:t>
      </w:r>
      <w:r>
        <w:rPr>
          <w:rFonts w:cs="David"/>
        </w:rPr>
        <w:t xml:space="preserve">, expressing a world in order, without chaos; and it contains </w:t>
      </w:r>
      <w:r>
        <w:rPr>
          <w:rFonts w:cs="David" w:ascii="David" w:hAnsi="David"/>
          <w:color w:val="1E3A8A"/>
          <w:rtl/>
        </w:rPr>
        <w:t>פותח את ידך ומשביע לכל חי רצון</w:t>
      </w:r>
      <w:r>
        <w:rPr>
          <w:rFonts w:cs="David"/>
        </w:rPr>
        <w:t xml:space="preserve">, which declares that God provides each one with what he needs. Sephardim open their arms at </w:t>
      </w:r>
      <w:r>
        <w:rPr>
          <w:rFonts w:cs="David"/>
          <w:i/>
        </w:rPr>
        <w:t>Posei’ach es Yadecha</w:t>
      </w:r>
      <w:r>
        <w:rPr>
          <w:rFonts w:cs="David"/>
        </w:rPr>
        <w:t xml:space="preserve"> (</w:t>
      </w:r>
      <w:r>
        <w:rPr>
          <w:rFonts w:cs="David" w:ascii="David" w:hAnsi="David"/>
          <w:color w:val="1E3A8A"/>
          <w:rtl/>
        </w:rPr>
        <w:t>פותח את ידך</w:t>
      </w:r>
      <w:r>
        <w:rPr>
          <w:rFonts w:cs="David"/>
        </w:rPr>
        <w:t>)</w:t>
      </w:r>
      <w:r>
        <w:rPr>
          <w:rFonts w:cs="David"/>
        </w:rPr>
        <w:t>; Ashkenazim have adopted the gesture, opening the channels, ready to receive.</w:t>
      </w:r>
    </w:p>
    <w:p>
      <w:pPr>
        <w:spacing w:before="160"/>
      </w:pPr>
      <w:r>
        <w:rPr>
          <w:rFonts w:cs="David"/>
          <w:i/>
          <w:color w:val="B8860B"/>
          <w:sz w:val="24"/>
        </w:rPr>
        <w:t>The Requirement of Kavanah</w:t>
      </w:r>
    </w:p>
    <w:p>
      <w:r>
        <w:rPr>
          <w:rFonts w:cs="David"/>
        </w:rPr>
        <w:t xml:space="preserve">It is not a trick by which three recitations ensure a place in the World to Come. All the </w:t>
      </w:r>
      <w:r>
        <w:rPr>
          <w:rFonts w:cs="David"/>
          <w:i/>
        </w:rPr>
        <w:t>Rishonim</w:t>
      </w:r>
      <w:r>
        <w:rPr>
          <w:rFonts w:cs="David"/>
        </w:rPr>
        <w:t xml:space="preserve"> (</w:t>
      </w:r>
      <w:r>
        <w:rPr>
          <w:rFonts w:cs="David" w:ascii="David" w:hAnsi="David"/>
          <w:color w:val="1E3A8A"/>
          <w:rtl/>
        </w:rPr>
        <w:t>ראשונים</w:t>
      </w:r>
      <w:r>
        <w:rPr>
          <w:rFonts w:cs="David"/>
        </w:rPr>
        <w:t>)</w:t>
      </w:r>
      <w:r>
        <w:rPr>
          <w:rFonts w:cs="David"/>
        </w:rPr>
        <w:t xml:space="preserve"> write that it must be said with intention, especially the verse </w:t>
      </w:r>
      <w:r>
        <w:rPr>
          <w:rFonts w:cs="David" w:ascii="David" w:hAnsi="David"/>
          <w:color w:val="1E3A8A"/>
          <w:rtl/>
        </w:rPr>
        <w:t>פותח את ידך</w:t>
      </w:r>
      <w:r>
        <w:rPr>
          <w:rFonts w:cs="David"/>
        </w:rPr>
        <w:t>, and the law is that one who did not concentrate there returns and says it again.</w:t>
      </w:r>
      <w:r>
        <w:rPr>
          <w:rFonts w:cs="David"/>
          <w:color w:val="B8860B"/>
          <w:vertAlign w:val="superscript"/>
        </w:rPr>
        <w:t>[14]</w:t>
      </w:r>
    </w:p>
    <w:p>
      <w:pPr>
        <w:spacing w:before="160"/>
      </w:pPr>
      <w:r>
        <w:rPr>
          <w:rFonts w:cs="David"/>
          <w:i/>
          <w:color w:val="B8860B"/>
          <w:sz w:val="24"/>
        </w:rPr>
        <w:t>Why Twice at Shacharis</w:t>
      </w:r>
    </w:p>
    <w:p>
      <w:r>
        <w:rPr>
          <w:rFonts w:cs="David"/>
        </w:rPr>
        <w:t xml:space="preserve">Three times a day corresponds to three prayers. Yet Ashrei is said twice at </w:t>
      </w:r>
      <w:r>
        <w:rPr>
          <w:rFonts w:cs="David"/>
          <w:i/>
        </w:rPr>
        <w:t>Shacharis</w:t>
      </w:r>
      <w:r>
        <w:rPr>
          <w:rFonts w:cs="David"/>
        </w:rPr>
        <w:t xml:space="preserve"> (</w:t>
      </w:r>
      <w:r>
        <w:rPr>
          <w:rFonts w:cs="David" w:ascii="David" w:hAnsi="David"/>
          <w:color w:val="1E3A8A"/>
          <w:rtl/>
        </w:rPr>
        <w:t>שחרית</w:t>
      </w:r>
      <w:r>
        <w:rPr>
          <w:rFonts w:cs="David"/>
        </w:rPr>
        <w:t>)</w:t>
      </w:r>
      <w:r>
        <w:rPr>
          <w:rFonts w:cs="David"/>
        </w:rPr>
        <w:t xml:space="preserve">, once in </w:t>
      </w:r>
      <w:r>
        <w:rPr>
          <w:rFonts w:cs="David"/>
          <w:i/>
        </w:rPr>
        <w:t>Pesukei DeZimrah</w:t>
      </w:r>
      <w:r>
        <w:rPr>
          <w:rFonts w:cs="David"/>
        </w:rPr>
        <w:t xml:space="preserve"> (</w:t>
      </w:r>
      <w:r>
        <w:rPr>
          <w:rFonts w:cs="David" w:ascii="David" w:hAnsi="David"/>
          <w:color w:val="1E3A8A"/>
          <w:rtl/>
        </w:rPr>
        <w:t>פסוקי דזמרה</w:t>
      </w:r>
      <w:r>
        <w:rPr>
          <w:rFonts w:cs="David"/>
        </w:rPr>
        <w:t>)</w:t>
      </w:r>
      <w:r>
        <w:rPr>
          <w:rFonts w:cs="David"/>
        </w:rPr>
        <w:t xml:space="preserve"> and once before </w:t>
      </w:r>
      <w:r>
        <w:rPr>
          <w:rFonts w:cs="David"/>
          <w:i/>
        </w:rPr>
        <w:t>Uva LeTzion</w:t>
      </w:r>
      <w:r>
        <w:rPr>
          <w:rFonts w:cs="David"/>
        </w:rPr>
        <w:t xml:space="preserve"> (</w:t>
      </w:r>
      <w:r>
        <w:rPr>
          <w:rFonts w:cs="David" w:ascii="David" w:hAnsi="David"/>
          <w:color w:val="1E3A8A"/>
          <w:rtl/>
        </w:rPr>
        <w:t>ובא לציון</w:t>
      </w:r>
      <w:r>
        <w:rPr>
          <w:rFonts w:cs="David"/>
        </w:rPr>
        <w:t>)</w:t>
      </w:r>
      <w:r>
        <w:rPr>
          <w:rFonts w:cs="David"/>
        </w:rPr>
        <w:t xml:space="preserve">, once at </w:t>
      </w:r>
      <w:r>
        <w:rPr>
          <w:rFonts w:cs="David"/>
          <w:i/>
        </w:rPr>
        <w:t>Minchah</w:t>
      </w:r>
      <w:r>
        <w:rPr>
          <w:rFonts w:cs="David"/>
        </w:rPr>
        <w:t xml:space="preserve"> (</w:t>
      </w:r>
      <w:r>
        <w:rPr>
          <w:rFonts w:cs="David" w:ascii="David" w:hAnsi="David"/>
          <w:color w:val="1E3A8A"/>
          <w:rtl/>
        </w:rPr>
        <w:t>מנחה</w:t>
      </w:r>
      <w:r>
        <w:rPr>
          <w:rFonts w:cs="David"/>
        </w:rPr>
        <w:t>)</w:t>
      </w:r>
      <w:r>
        <w:rPr>
          <w:rFonts w:cs="David"/>
        </w:rPr>
        <w:t xml:space="preserve">, and not at </w:t>
      </w:r>
      <w:r>
        <w:rPr>
          <w:rFonts w:cs="David"/>
          <w:i/>
        </w:rPr>
        <w:t>Maariv</w:t>
      </w:r>
      <w:r>
        <w:rPr>
          <w:rFonts w:cs="David"/>
        </w:rPr>
        <w:t xml:space="preserve"> (</w:t>
      </w:r>
      <w:r>
        <w:rPr>
          <w:rFonts w:cs="David" w:ascii="David" w:hAnsi="David"/>
          <w:color w:val="1E3A8A"/>
          <w:rtl/>
        </w:rPr>
        <w:t>מעריב</w:t>
      </w:r>
      <w:r>
        <w:rPr>
          <w:rFonts w:cs="David"/>
        </w:rPr>
        <w:t>)</w:t>
      </w:r>
      <w:r>
        <w:rPr>
          <w:rFonts w:cs="David"/>
        </w:rPr>
        <w:t xml:space="preserve">. The </w:t>
      </w:r>
      <w:r>
        <w:rPr>
          <w:rFonts w:cs="David"/>
          <w:i/>
        </w:rPr>
        <w:t>Rishonim</w:t>
      </w:r>
      <w:r>
        <w:rPr>
          <w:rFonts w:cs="David"/>
        </w:rPr>
        <w:t xml:space="preserve"> (</w:t>
      </w:r>
      <w:r>
        <w:rPr>
          <w:rFonts w:cs="David" w:ascii="David" w:hAnsi="David"/>
          <w:color w:val="1E3A8A"/>
          <w:rtl/>
        </w:rPr>
        <w:t>ראשונים</w:t>
      </w:r>
      <w:r>
        <w:rPr>
          <w:rFonts w:cs="David"/>
        </w:rPr>
        <w:t>)</w:t>
      </w:r>
      <w:r>
        <w:rPr>
          <w:rFonts w:cs="David"/>
        </w:rPr>
        <w:t xml:space="preserve"> explain that </w:t>
      </w:r>
      <w:r>
        <w:rPr>
          <w:rFonts w:cs="David"/>
          <w:i/>
        </w:rPr>
        <w:t>Maariv</w:t>
      </w:r>
      <w:r>
        <w:rPr>
          <w:rFonts w:cs="David"/>
        </w:rPr>
        <w:t xml:space="preserve"> (</w:t>
      </w:r>
      <w:r>
        <w:rPr>
          <w:rFonts w:cs="David" w:ascii="David" w:hAnsi="David"/>
          <w:color w:val="1E3A8A"/>
          <w:rtl/>
        </w:rPr>
        <w:t>מעריב</w:t>
      </w:r>
      <w:r>
        <w:rPr>
          <w:rFonts w:cs="David"/>
        </w:rPr>
        <w:t>)</w:t>
      </w:r>
      <w:r>
        <w:rPr>
          <w:rFonts w:cs="David"/>
        </w:rPr>
        <w:t xml:space="preserve"> was originally optional (</w:t>
      </w:r>
      <w:r>
        <w:rPr>
          <w:rFonts w:cs="David"/>
          <w:i/>
        </w:rPr>
        <w:t>reshus</w:t>
      </w:r>
      <w:r>
        <w:rPr>
          <w:rFonts w:cs="David"/>
        </w:rPr>
        <w:t xml:space="preserve"> (</w:t>
      </w:r>
      <w:r>
        <w:rPr>
          <w:rFonts w:cs="David" w:ascii="David" w:hAnsi="David"/>
          <w:color w:val="1E3A8A"/>
          <w:rtl/>
        </w:rPr>
        <w:t>רשות</w:t>
      </w:r>
      <w:r>
        <w:rPr>
          <w:rFonts w:cs="David"/>
        </w:rPr>
        <w:t>)</w:t>
      </w:r>
      <w:r>
        <w:rPr>
          <w:rFonts w:cs="David"/>
        </w:rPr>
        <w:t xml:space="preserve">); one who for some reason did not pray it would have lost his third Ashrei, and so two were placed at </w:t>
      </w:r>
      <w:r>
        <w:rPr>
          <w:rFonts w:cs="David"/>
          <w:i/>
        </w:rPr>
        <w:t>Shacharis</w:t>
      </w:r>
      <w:r>
        <w:rPr>
          <w:rFonts w:cs="David"/>
        </w:rPr>
        <w:t xml:space="preserve"> (</w:t>
      </w:r>
      <w:r>
        <w:rPr>
          <w:rFonts w:cs="David" w:ascii="David" w:hAnsi="David"/>
          <w:color w:val="1E3A8A"/>
          <w:rtl/>
        </w:rPr>
        <w:t>שחרית</w:t>
      </w:r>
      <w:r>
        <w:rPr>
          <w:rFonts w:cs="David"/>
        </w:rPr>
        <w:t>)</w:t>
      </w:r>
      <w:r>
        <w:rPr>
          <w:rFonts w:cs="David"/>
        </w:rPr>
        <w:t>.</w:t>
      </w:r>
    </w:p>
    <w:p>
      <w:pPr>
        <w:spacing w:before="160"/>
      </w:pPr>
      <w:r>
        <w:rPr>
          <w:rFonts w:cs="David"/>
          <w:i/>
          <w:color w:val="B8860B"/>
          <w:sz w:val="24"/>
        </w:rPr>
        <w:t>Ashrei and Kedushah</w:t>
      </w:r>
    </w:p>
    <w:p>
      <w:r>
        <w:rPr>
          <w:rFonts w:cs="David"/>
        </w:rPr>
        <w:t xml:space="preserve">Why here? The </w:t>
      </w:r>
      <w:r>
        <w:rPr>
          <w:rFonts w:cs="David"/>
          <w:i/>
        </w:rPr>
        <w:t>Rishonim</w:t>
      </w:r>
      <w:r>
        <w:rPr>
          <w:rFonts w:cs="David"/>
        </w:rPr>
        <w:t xml:space="preserve"> (</w:t>
      </w:r>
      <w:r>
        <w:rPr>
          <w:rFonts w:cs="David" w:ascii="David" w:hAnsi="David"/>
          <w:color w:val="1E3A8A"/>
          <w:rtl/>
        </w:rPr>
        <w:t>ראשונים</w:t>
      </w:r>
      <w:r>
        <w:rPr>
          <w:rFonts w:cs="David"/>
        </w:rPr>
        <w:t>)</w:t>
      </w:r>
      <w:r>
        <w:rPr>
          <w:rFonts w:cs="David"/>
        </w:rPr>
        <w:t xml:space="preserve"> connect Ashrei with </w:t>
      </w:r>
      <w:r>
        <w:rPr>
          <w:rFonts w:cs="David"/>
          <w:i/>
        </w:rPr>
        <w:t>Kedushah</w:t>
      </w:r>
      <w:r>
        <w:rPr>
          <w:rFonts w:cs="David"/>
        </w:rPr>
        <w:t xml:space="preserve"> (</w:t>
      </w:r>
      <w:r>
        <w:rPr>
          <w:rFonts w:cs="David" w:ascii="David" w:hAnsi="David"/>
          <w:color w:val="1E3A8A"/>
          <w:rtl/>
        </w:rPr>
        <w:t>קדושה</w:t>
      </w:r>
      <w:r>
        <w:rPr>
          <w:rFonts w:cs="David"/>
        </w:rPr>
        <w:t>)</w:t>
      </w:r>
      <w:r>
        <w:rPr>
          <w:rFonts w:cs="David"/>
        </w:rPr>
        <w:t xml:space="preserve">: it is said before the </w:t>
      </w:r>
      <w:r>
        <w:rPr>
          <w:rFonts w:cs="David"/>
          <w:i/>
        </w:rPr>
        <w:t>Kedushah</w:t>
      </w:r>
      <w:r>
        <w:rPr>
          <w:rFonts w:cs="David"/>
        </w:rPr>
        <w:t xml:space="preserve"> (</w:t>
      </w:r>
      <w:r>
        <w:rPr>
          <w:rFonts w:cs="David" w:ascii="David" w:hAnsi="David"/>
          <w:color w:val="1E3A8A"/>
          <w:rtl/>
        </w:rPr>
        <w:t>קדושה</w:t>
      </w:r>
      <w:r>
        <w:rPr>
          <w:rFonts w:cs="David"/>
        </w:rPr>
        <w:t>)</w:t>
      </w:r>
      <w:r>
        <w:rPr>
          <w:rFonts w:cs="David"/>
        </w:rPr>
        <w:t xml:space="preserve"> of </w:t>
      </w:r>
      <w:r>
        <w:rPr>
          <w:rFonts w:cs="David"/>
          <w:i/>
        </w:rPr>
        <w:t>Yotzer Or</w:t>
      </w:r>
      <w:r>
        <w:rPr>
          <w:rFonts w:cs="David"/>
        </w:rPr>
        <w:t xml:space="preserve"> (</w:t>
      </w:r>
      <w:r>
        <w:rPr>
          <w:rFonts w:cs="David" w:ascii="David" w:hAnsi="David"/>
          <w:color w:val="1E3A8A"/>
          <w:rtl/>
        </w:rPr>
        <w:t>יוצר אור</w:t>
      </w:r>
      <w:r>
        <w:rPr>
          <w:rFonts w:cs="David"/>
        </w:rPr>
        <w:t>)</w:t>
      </w:r>
      <w:r>
        <w:rPr>
          <w:rFonts w:cs="David"/>
        </w:rPr>
        <w:t xml:space="preserve">, and before the </w:t>
      </w:r>
      <w:r>
        <w:rPr>
          <w:rFonts w:cs="David"/>
          <w:i/>
        </w:rPr>
        <w:t>Kedushah</w:t>
      </w:r>
      <w:r>
        <w:rPr>
          <w:rFonts w:cs="David"/>
        </w:rPr>
        <w:t xml:space="preserve"> (</w:t>
      </w:r>
      <w:r>
        <w:rPr>
          <w:rFonts w:cs="David" w:ascii="David" w:hAnsi="David"/>
          <w:color w:val="1E3A8A"/>
          <w:rtl/>
        </w:rPr>
        <w:t>קדושה</w:t>
      </w:r>
      <w:r>
        <w:rPr>
          <w:rFonts w:cs="David"/>
        </w:rPr>
        <w:t>)</w:t>
      </w:r>
      <w:r>
        <w:rPr>
          <w:rFonts w:cs="David"/>
        </w:rPr>
        <w:t xml:space="preserve"> of </w:t>
      </w:r>
      <w:r>
        <w:rPr>
          <w:rFonts w:cs="David"/>
          <w:i/>
        </w:rPr>
        <w:t>Uva LeTzion</w:t>
      </w:r>
      <w:r>
        <w:rPr>
          <w:rFonts w:cs="David"/>
        </w:rPr>
        <w:t xml:space="preserve"> (</w:t>
      </w:r>
      <w:r>
        <w:rPr>
          <w:rFonts w:cs="David" w:ascii="David" w:hAnsi="David"/>
          <w:color w:val="1E3A8A"/>
          <w:rtl/>
        </w:rPr>
        <w:t>ובא לציון</w:t>
      </w:r>
      <w:r>
        <w:rPr>
          <w:rFonts w:cs="David"/>
        </w:rPr>
        <w:t>)</w:t>
      </w:r>
      <w:r>
        <w:rPr>
          <w:rFonts w:cs="David"/>
        </w:rPr>
        <w:t xml:space="preserve">, and at </w:t>
      </w:r>
      <w:r>
        <w:rPr>
          <w:rFonts w:cs="David"/>
          <w:i/>
        </w:rPr>
        <w:t>Minchah</w:t>
      </w:r>
      <w:r>
        <w:rPr>
          <w:rFonts w:cs="David"/>
        </w:rPr>
        <w:t xml:space="preserve"> (</w:t>
      </w:r>
      <w:r>
        <w:rPr>
          <w:rFonts w:cs="David" w:ascii="David" w:hAnsi="David"/>
          <w:color w:val="1E3A8A"/>
          <w:rtl/>
        </w:rPr>
        <w:t>מנחה</w:t>
      </w:r>
      <w:r>
        <w:rPr>
          <w:rFonts w:cs="David"/>
        </w:rPr>
        <w:t>)</w:t>
      </w:r>
      <w:r>
        <w:rPr>
          <w:rFonts w:cs="David"/>
        </w:rPr>
        <w:t xml:space="preserve"> before the </w:t>
      </w:r>
      <w:r>
        <w:rPr>
          <w:rFonts w:cs="David"/>
          <w:i/>
        </w:rPr>
        <w:t>Kedushah</w:t>
      </w:r>
      <w:r>
        <w:rPr>
          <w:rFonts w:cs="David"/>
        </w:rPr>
        <w:t xml:space="preserve"> (</w:t>
      </w:r>
      <w:r>
        <w:rPr>
          <w:rFonts w:cs="David" w:ascii="David" w:hAnsi="David"/>
          <w:color w:val="1E3A8A"/>
          <w:rtl/>
        </w:rPr>
        <w:t>קדושה</w:t>
      </w:r>
      <w:r>
        <w:rPr>
          <w:rFonts w:cs="David"/>
        </w:rPr>
        <w:t>)</w:t>
      </w:r>
      <w:r>
        <w:rPr>
          <w:rFonts w:cs="David"/>
        </w:rPr>
        <w:t xml:space="preserve"> of the repetition. </w:t>
      </w:r>
      <w:r>
        <w:rPr>
          <w:rFonts w:cs="David"/>
          <w:i/>
        </w:rPr>
        <w:t>Maariv</w:t>
      </w:r>
      <w:r>
        <w:rPr>
          <w:rFonts w:cs="David"/>
        </w:rPr>
        <w:t xml:space="preserve"> (</w:t>
      </w:r>
      <w:r>
        <w:rPr>
          <w:rFonts w:cs="David" w:ascii="David" w:hAnsi="David"/>
          <w:color w:val="1E3A8A"/>
          <w:rtl/>
        </w:rPr>
        <w:t>מעריב</w:t>
      </w:r>
      <w:r>
        <w:rPr>
          <w:rFonts w:cs="David"/>
        </w:rPr>
        <w:t>)</w:t>
      </w:r>
      <w:r>
        <w:rPr>
          <w:rFonts w:cs="David"/>
        </w:rPr>
        <w:t xml:space="preserve"> has no </w:t>
      </w:r>
      <w:r>
        <w:rPr>
          <w:rFonts w:cs="David"/>
          <w:i/>
        </w:rPr>
        <w:t>Kedushah</w:t>
      </w:r>
      <w:r>
        <w:rPr>
          <w:rFonts w:cs="David"/>
        </w:rPr>
        <w:t xml:space="preserve"> (</w:t>
      </w:r>
      <w:r>
        <w:rPr>
          <w:rFonts w:cs="David" w:ascii="David" w:hAnsi="David"/>
          <w:color w:val="1E3A8A"/>
          <w:rtl/>
        </w:rPr>
        <w:t>קדושה</w:t>
      </w:r>
      <w:r>
        <w:rPr>
          <w:rFonts w:cs="David"/>
        </w:rPr>
        <w:t>)</w:t>
      </w:r>
      <w:r>
        <w:rPr>
          <w:rFonts w:cs="David"/>
        </w:rPr>
        <w:t xml:space="preserve"> and so no Ashrei. The lecturer says that the precise connection is beyond him, a matter of Kabbalah; his own reading is that </w:t>
      </w:r>
      <w:r>
        <w:rPr>
          <w:rFonts w:cs="David"/>
          <w:i/>
        </w:rPr>
        <w:t>kadosh</w:t>
      </w:r>
      <w:r>
        <w:rPr>
          <w:rFonts w:cs="David"/>
        </w:rPr>
        <w:t xml:space="preserve"> (</w:t>
      </w:r>
      <w:r>
        <w:rPr>
          <w:rFonts w:cs="David" w:ascii="David" w:hAnsi="David"/>
          <w:color w:val="1E3A8A"/>
          <w:rtl/>
        </w:rPr>
        <w:t>קדוש</w:t>
      </w:r>
      <w:r>
        <w:rPr>
          <w:rFonts w:cs="David"/>
        </w:rPr>
        <w:t>)</w:t>
      </w:r>
      <w:r>
        <w:rPr>
          <w:rFonts w:cs="David"/>
        </w:rPr>
        <w:t xml:space="preserve"> means separate, set apart and far above us, and Ashrei, with its </w:t>
      </w:r>
      <w:r>
        <w:rPr>
          <w:rFonts w:cs="David" w:ascii="David" w:hAnsi="David"/>
          <w:color w:val="1E3A8A"/>
          <w:rtl/>
        </w:rPr>
        <w:t>ארוממך אלוהי המלך</w:t>
      </w:r>
      <w:r>
        <w:rPr>
          <w:rFonts w:cs="David"/>
        </w:rPr>
        <w:t xml:space="preserve">, expresses that elevation and so fittingly precedes </w:t>
      </w:r>
      <w:r>
        <w:rPr>
          <w:rFonts w:cs="David"/>
          <w:i/>
        </w:rPr>
        <w:t>Kedushah</w:t>
      </w:r>
      <w:r>
        <w:rPr>
          <w:rFonts w:cs="David"/>
        </w:rPr>
        <w:t xml:space="preserve"> (</w:t>
      </w:r>
      <w:r>
        <w:rPr>
          <w:rFonts w:cs="David" w:ascii="David" w:hAnsi="David"/>
          <w:color w:val="1E3A8A"/>
          <w:rtl/>
        </w:rPr>
        <w:t>קדושה</w:t>
      </w:r>
      <w:r>
        <w:rPr>
          <w:rFonts w:cs="David"/>
        </w:rPr>
        <w:t>)</w:t>
      </w:r>
      <w:r>
        <w:rPr>
          <w:rFonts w:cs="David"/>
        </w:rPr>
        <w:t>.</w:t>
      </w:r>
    </w:p>
    <w:p>
      <w:pPr>
        <w:ind w:left="360"/>
      </w:pPr>
      <w:r>
        <w:rPr>
          <w:rFonts w:cs="David"/>
          <w:b/>
          <w:color w:val="2A2A2A"/>
          <w:sz w:val="22"/>
        </w:rPr>
        <w:t>A Note of Rabbi Akiva Eiger in the Gilyon HaShas.</w:t>
      </w:r>
      <w:r>
        <w:rPr>
          <w:rFonts w:cs="David"/>
          <w:color w:val="2A2A2A"/>
          <w:sz w:val="22"/>
        </w:rPr>
        <w:t xml:space="preserve">  The lecturer observes that in the margins of his own </w:t>
      </w:r>
      <w:r>
        <w:rPr>
          <w:rFonts w:cs="David"/>
          <w:i/>
          <w:color w:val="2A2A2A"/>
          <w:sz w:val="22"/>
        </w:rPr>
        <w:t>Gemara</w:t>
      </w:r>
      <w:r>
        <w:rPr>
          <w:rFonts w:cs="David"/>
          <w:color w:val="2A2A2A"/>
          <w:sz w:val="22"/>
        </w:rPr>
        <w:t xml:space="preserve"> (</w:t>
      </w:r>
      <w:r>
        <w:rPr>
          <w:rFonts w:cs="David" w:ascii="David" w:hAnsi="David"/>
          <w:color w:val="1E3A8A"/>
          <w:sz w:val="22"/>
          <w:rtl/>
        </w:rPr>
        <w:t>גמרא</w:t>
      </w:r>
      <w:r>
        <w:rPr>
          <w:rFonts w:cs="David"/>
          <w:color w:val="2A2A2A"/>
          <w:sz w:val="22"/>
        </w:rPr>
        <w:t>)</w:t>
      </w:r>
      <w:r>
        <w:rPr>
          <w:rFonts w:cs="David"/>
          <w:color w:val="2A2A2A"/>
          <w:sz w:val="22"/>
        </w:rPr>
        <w:t xml:space="preserve">, the </w:t>
      </w:r>
      <w:r>
        <w:rPr>
          <w:rFonts w:cs="David"/>
          <w:i/>
          <w:color w:val="2A2A2A"/>
          <w:sz w:val="22"/>
        </w:rPr>
        <w:t>Gilyon HaShas</w:t>
      </w:r>
      <w:r>
        <w:rPr>
          <w:rFonts w:cs="David"/>
          <w:color w:val="2A2A2A"/>
          <w:sz w:val="22"/>
        </w:rPr>
        <w:t xml:space="preserve"> (</w:t>
      </w:r>
      <w:r>
        <w:rPr>
          <w:rFonts w:cs="David" w:ascii="David" w:hAnsi="David"/>
          <w:color w:val="1E3A8A"/>
          <w:sz w:val="22"/>
          <w:rtl/>
        </w:rPr>
        <w:t>גליון הש״ס</w:t>
      </w:r>
      <w:r>
        <w:rPr>
          <w:rFonts w:cs="David"/>
          <w:color w:val="2A2A2A"/>
          <w:sz w:val="22"/>
        </w:rPr>
        <w:t>)</w:t>
      </w:r>
      <w:r>
        <w:rPr>
          <w:rFonts w:cs="David"/>
          <w:color w:val="2A2A2A"/>
          <w:sz w:val="22"/>
        </w:rPr>
        <w:t xml:space="preserve"> printed in the Vilna </w:t>
      </w:r>
      <w:r>
        <w:rPr>
          <w:rFonts w:cs="David"/>
          <w:i/>
          <w:color w:val="2A2A2A"/>
          <w:sz w:val="22"/>
        </w:rPr>
        <w:t>Shas</w:t>
      </w:r>
      <w:r>
        <w:rPr>
          <w:rFonts w:cs="David"/>
          <w:color w:val="2A2A2A"/>
          <w:sz w:val="22"/>
        </w:rPr>
        <w:t xml:space="preserve"> (</w:t>
      </w:r>
      <w:r>
        <w:rPr>
          <w:rFonts w:cs="David" w:ascii="David" w:hAnsi="David"/>
          <w:color w:val="1E3A8A"/>
          <w:sz w:val="22"/>
          <w:rtl/>
        </w:rPr>
        <w:t>ש״ס</w:t>
      </w:r>
      <w:r>
        <w:rPr>
          <w:rFonts w:cs="David"/>
          <w:color w:val="2A2A2A"/>
          <w:sz w:val="22"/>
        </w:rPr>
        <w:t>)</w:t>
      </w:r>
      <w:r>
        <w:rPr>
          <w:rFonts w:cs="David"/>
          <w:color w:val="2A2A2A"/>
          <w:sz w:val="22"/>
        </w:rPr>
        <w:t xml:space="preserve">, </w:t>
      </w:r>
      <w:r>
        <w:rPr>
          <w:rFonts w:cs="David"/>
          <w:i/>
          <w:color w:val="2A2A2A"/>
          <w:sz w:val="22"/>
        </w:rPr>
        <w:t>Rabbi Akiva Eiger</w:t>
      </w:r>
      <w:r>
        <w:rPr>
          <w:rFonts w:cs="David"/>
          <w:color w:val="2A2A2A"/>
          <w:sz w:val="22"/>
        </w:rPr>
        <w:t xml:space="preserve"> (</w:t>
      </w:r>
      <w:r>
        <w:rPr>
          <w:rFonts w:cs="David" w:ascii="David" w:hAnsi="David"/>
          <w:color w:val="1E3A8A"/>
          <w:sz w:val="22"/>
          <w:rtl/>
        </w:rPr>
        <w:t>רבי עקיבא איגר</w:t>
      </w:r>
      <w:r>
        <w:rPr>
          <w:rFonts w:cs="David"/>
          <w:color w:val="2A2A2A"/>
          <w:sz w:val="22"/>
        </w:rPr>
        <w:t>)</w:t>
      </w:r>
      <w:r>
        <w:rPr>
          <w:rFonts w:cs="David"/>
          <w:color w:val="2A2A2A"/>
          <w:sz w:val="22"/>
        </w:rPr>
        <w:t xml:space="preserve"> wrote notes, some of them questions and some references, and that this is among the first of them.</w:t>
      </w:r>
      <w:r>
        <w:rPr>
          <w:rFonts w:cs="David"/>
          <w:color w:val="B8860B"/>
          <w:vertAlign w:val="superscript"/>
        </w:rPr>
        <w:t>[15]</w:t>
      </w:r>
      <w:r>
        <w:rPr>
          <w:rFonts w:cs="David"/>
          <w:color w:val="2A2A2A"/>
          <w:sz w:val="22"/>
        </w:rPr>
        <w:t xml:space="preserve"> He points out that when the </w:t>
      </w:r>
      <w:r>
        <w:rPr>
          <w:rFonts w:cs="David"/>
          <w:i/>
          <w:color w:val="2A2A2A"/>
          <w:sz w:val="22"/>
        </w:rPr>
        <w:t>Rosh</w:t>
      </w:r>
      <w:r>
        <w:rPr>
          <w:rFonts w:cs="David"/>
          <w:color w:val="2A2A2A"/>
          <w:sz w:val="22"/>
        </w:rPr>
        <w:t xml:space="preserve"> (</w:t>
      </w:r>
      <w:r>
        <w:rPr>
          <w:rFonts w:cs="David" w:ascii="David" w:hAnsi="David"/>
          <w:color w:val="1E3A8A"/>
          <w:sz w:val="22"/>
          <w:rtl/>
        </w:rPr>
        <w:t>רא״ש</w:t>
      </w:r>
      <w:r>
        <w:rPr>
          <w:rFonts w:cs="David"/>
          <w:color w:val="2A2A2A"/>
          <w:sz w:val="22"/>
        </w:rPr>
        <w:t>)</w:t>
      </w:r>
      <w:r>
        <w:rPr>
          <w:rFonts w:cs="David"/>
          <w:color w:val="2A2A2A"/>
          <w:sz w:val="22"/>
        </w:rPr>
        <w:t xml:space="preserve"> quotes this </w:t>
      </w:r>
      <w:r>
        <w:rPr>
          <w:rFonts w:cs="David"/>
          <w:i/>
          <w:color w:val="2A2A2A"/>
          <w:sz w:val="22"/>
        </w:rPr>
        <w:t>Gemara</w:t>
      </w:r>
      <w:r>
        <w:rPr>
          <w:rFonts w:cs="David"/>
          <w:color w:val="2A2A2A"/>
          <w:sz w:val="22"/>
        </w:rPr>
        <w:t xml:space="preserve"> (</w:t>
      </w:r>
      <w:r>
        <w:rPr>
          <w:rFonts w:cs="David" w:ascii="David" w:hAnsi="David"/>
          <w:color w:val="1E3A8A"/>
          <w:sz w:val="22"/>
          <w:rtl/>
        </w:rPr>
        <w:t>גמרא</w:t>
      </w:r>
      <w:r>
        <w:rPr>
          <w:rFonts w:cs="David"/>
          <w:color w:val="2A2A2A"/>
          <w:sz w:val="22"/>
        </w:rPr>
        <w:t>)</w:t>
      </w:r>
      <w:r>
        <w:rPr>
          <w:rFonts w:cs="David"/>
          <w:color w:val="2A2A2A"/>
          <w:sz w:val="22"/>
        </w:rPr>
        <w:t xml:space="preserve">, his text does not read </w:t>
      </w:r>
      <w:r>
        <w:rPr>
          <w:rFonts w:cs="David" w:ascii="David" w:hAnsi="David"/>
          <w:color w:val="1E3A8A"/>
          <w:sz w:val="22"/>
          <w:rtl/>
        </w:rPr>
        <w:t>שלש פעמים בכל יום</w:t>
      </w:r>
      <w:r>
        <w:rPr>
          <w:rFonts w:cs="David"/>
          <w:color w:val="2A2A2A"/>
          <w:sz w:val="22"/>
        </w:rPr>
        <w:t>, and that once a day would suffice. The lecturer adds that we do not rely on this: we are stringent, we all want livelihood, and we say it three times.</w:t>
      </w:r>
    </w:p>
    <w:p>
      <w:pPr>
        <w:spacing w:before="280"/>
      </w:pPr>
      <w:r>
        <w:rPr>
          <w:rFonts w:cs="David"/>
          <w:b/>
          <w:color w:val="1E3A8A"/>
          <w:sz w:val="26"/>
        </w:rPr>
        <w:t>VI. THE ARUCH HASHULCHAN AND THE MISHNAH BERURAH</w:t>
      </w:r>
    </w:p>
    <w:p>
      <w:pPr>
        <w:spacing w:before="160"/>
      </w:pPr>
      <w:r>
        <w:rPr>
          <w:rFonts w:cs="David"/>
          <w:i/>
          <w:color w:val="B8860B"/>
          <w:sz w:val="24"/>
        </w:rPr>
        <w:t>Two Approaches to Practical Halachah</w:t>
      </w:r>
    </w:p>
    <w:p>
      <w:r>
        <w:rPr>
          <w:rFonts w:cs="David"/>
        </w:rPr>
        <w:t xml:space="preserve">The </w:t>
      </w:r>
      <w:r>
        <w:rPr>
          <w:rFonts w:cs="David"/>
          <w:i/>
        </w:rPr>
        <w:t>Aruch HaShulchan</w:t>
      </w:r>
      <w:r>
        <w:rPr>
          <w:rFonts w:cs="David"/>
        </w:rPr>
        <w:t xml:space="preserve"> (</w:t>
      </w:r>
      <w:r>
        <w:rPr>
          <w:rFonts w:cs="David" w:ascii="David" w:hAnsi="David"/>
          <w:color w:val="1E3A8A"/>
          <w:rtl/>
        </w:rPr>
        <w:t>ערוך השלחן</w:t>
      </w:r>
      <w:r>
        <w:rPr>
          <w:rFonts w:cs="David"/>
        </w:rPr>
        <w:t>)</w:t>
      </w:r>
      <w:r>
        <w:rPr>
          <w:rFonts w:cs="David"/>
          <w:color w:val="B8860B"/>
          <w:vertAlign w:val="superscript"/>
        </w:rPr>
        <w:t>[16]</w:t>
      </w:r>
      <w:r>
        <w:rPr>
          <w:rFonts w:cs="David"/>
        </w:rPr>
        <w:t xml:space="preserve"> of </w:t>
      </w:r>
      <w:r>
        <w:rPr>
          <w:rFonts w:cs="David"/>
          <w:i/>
        </w:rPr>
        <w:t>Rabbi Yechiel Michel Epstein</w:t>
      </w:r>
      <w:r>
        <w:rPr>
          <w:rFonts w:cs="David"/>
        </w:rPr>
        <w:t xml:space="preserve"> (</w:t>
      </w:r>
      <w:r>
        <w:rPr>
          <w:rFonts w:cs="David" w:ascii="David" w:hAnsi="David"/>
          <w:color w:val="1E3A8A"/>
          <w:rtl/>
        </w:rPr>
        <w:t>רבי יחיאל מיכל הלוי עפשטיין</w:t>
      </w:r>
      <w:r>
        <w:rPr>
          <w:rFonts w:cs="David"/>
        </w:rPr>
        <w:t>)</w:t>
      </w:r>
      <w:r>
        <w:rPr>
          <w:rFonts w:cs="David"/>
        </w:rPr>
        <w:t xml:space="preserve">, rabbi of Navahrudak (Novardok) in Lithuania, is quoted often and frequently disagrees with the </w:t>
      </w:r>
      <w:r>
        <w:rPr>
          <w:rFonts w:cs="David"/>
          <w:i/>
        </w:rPr>
        <w:t>Mishnah Berurah</w:t>
      </w:r>
      <w:r>
        <w:rPr>
          <w:rFonts w:cs="David"/>
        </w:rPr>
        <w:t xml:space="preserve"> (</w:t>
      </w:r>
      <w:r>
        <w:rPr>
          <w:rFonts w:cs="David" w:ascii="David" w:hAnsi="David"/>
          <w:color w:val="1E3A8A"/>
          <w:rtl/>
        </w:rPr>
        <w:t>משנה ברורה</w:t>
      </w:r>
      <w:r>
        <w:rPr>
          <w:rFonts w:cs="David"/>
        </w:rPr>
        <w:t>)</w:t>
      </w:r>
      <w:r>
        <w:rPr>
          <w:rFonts w:cs="David"/>
        </w:rPr>
        <w:t xml:space="preserve">. The lecturer reports that some leading authorities rely on the </w:t>
      </w:r>
      <w:r>
        <w:rPr>
          <w:rFonts w:cs="David"/>
          <w:i/>
        </w:rPr>
        <w:t>Aruch HaShulchan</w:t>
      </w:r>
      <w:r>
        <w:rPr>
          <w:rFonts w:cs="David"/>
        </w:rPr>
        <w:t xml:space="preserve"> (</w:t>
      </w:r>
      <w:r>
        <w:rPr>
          <w:rFonts w:cs="David" w:ascii="David" w:hAnsi="David"/>
          <w:color w:val="1E3A8A"/>
          <w:rtl/>
        </w:rPr>
        <w:t>ערוך השלחן</w:t>
      </w:r>
      <w:r>
        <w:rPr>
          <w:rFonts w:cs="David"/>
        </w:rPr>
        <w:t>)</w:t>
      </w:r>
      <w:r>
        <w:rPr>
          <w:rFonts w:cs="David"/>
        </w:rPr>
        <w:t xml:space="preserve"> more than on the </w:t>
      </w:r>
      <w:r>
        <w:rPr>
          <w:rFonts w:cs="David"/>
          <w:i/>
        </w:rPr>
        <w:t>Mishnah Berurah</w:t>
      </w:r>
      <w:r>
        <w:rPr>
          <w:rFonts w:cs="David"/>
        </w:rPr>
        <w:t xml:space="preserve"> (</w:t>
      </w:r>
      <w:r>
        <w:rPr>
          <w:rFonts w:cs="David" w:ascii="David" w:hAnsi="David"/>
          <w:color w:val="1E3A8A"/>
          <w:rtl/>
        </w:rPr>
        <w:t>משנה ברורה</w:t>
      </w:r>
      <w:r>
        <w:rPr>
          <w:rFonts w:cs="David"/>
        </w:rPr>
        <w:t>)</w:t>
      </w:r>
      <w:r>
        <w:rPr>
          <w:rFonts w:cs="David"/>
        </w:rPr>
        <w:t xml:space="preserve"> for practical rulings. The reason given: the </w:t>
      </w:r>
      <w:r>
        <w:rPr>
          <w:rFonts w:cs="David"/>
          <w:i/>
        </w:rPr>
        <w:t>Chofetz Chaim</w:t>
      </w:r>
      <w:r>
        <w:rPr>
          <w:rFonts w:cs="David"/>
        </w:rPr>
        <w:t xml:space="preserve"> (</w:t>
      </w:r>
      <w:r>
        <w:rPr>
          <w:rFonts w:cs="David" w:ascii="David" w:hAnsi="David"/>
          <w:color w:val="1E3A8A"/>
          <w:rtl/>
        </w:rPr>
        <w:t>חפץ חיים</w:t>
      </w:r>
      <w:r>
        <w:rPr>
          <w:rFonts w:cs="David"/>
        </w:rPr>
        <w:t>)</w:t>
      </w:r>
      <w:r>
        <w:rPr>
          <w:rFonts w:cs="David"/>
        </w:rPr>
        <w:t xml:space="preserve">, though the leader of his generation, never held the rabbinic office of a city, whereas the </w:t>
      </w:r>
      <w:r>
        <w:rPr>
          <w:rFonts w:cs="David"/>
          <w:i/>
        </w:rPr>
        <w:t>Aruch HaShulchan</w:t>
      </w:r>
      <w:r>
        <w:rPr>
          <w:rFonts w:cs="David"/>
        </w:rPr>
        <w:t xml:space="preserve"> (</w:t>
      </w:r>
      <w:r>
        <w:rPr>
          <w:rFonts w:cs="David" w:ascii="David" w:hAnsi="David"/>
          <w:color w:val="1E3A8A"/>
          <w:rtl/>
        </w:rPr>
        <w:t>ערוך השלחן</w:t>
      </w:r>
      <w:r>
        <w:rPr>
          <w:rFonts w:cs="David"/>
        </w:rPr>
        <w:t>)</w:t>
      </w:r>
      <w:r>
        <w:rPr>
          <w:rFonts w:cs="David"/>
        </w:rPr>
        <w:t xml:space="preserve"> had, by the lecturer’s figure, forty-five to fifty years as a communal rabbi, deciding practical questions. The </w:t>
      </w:r>
      <w:r>
        <w:rPr>
          <w:rFonts w:cs="David"/>
          <w:i/>
        </w:rPr>
        <w:t>Aruch HaShulchan</w:t>
      </w:r>
      <w:r>
        <w:rPr>
          <w:rFonts w:cs="David"/>
        </w:rPr>
        <w:t xml:space="preserve"> (</w:t>
      </w:r>
      <w:r>
        <w:rPr>
          <w:rFonts w:cs="David" w:ascii="David" w:hAnsi="David"/>
          <w:color w:val="1E3A8A"/>
          <w:rtl/>
        </w:rPr>
        <w:t>ערוך השלחן</w:t>
      </w:r>
      <w:r>
        <w:rPr>
          <w:rFonts w:cs="David"/>
        </w:rPr>
        <w:t>)</w:t>
      </w:r>
      <w:r>
        <w:rPr>
          <w:rFonts w:cs="David"/>
        </w:rPr>
        <w:t xml:space="preserve"> is often the more lenient, the </w:t>
      </w:r>
      <w:r>
        <w:rPr>
          <w:rFonts w:cs="David"/>
          <w:i/>
        </w:rPr>
        <w:t>Mishnah Berurah</w:t>
      </w:r>
      <w:r>
        <w:rPr>
          <w:rFonts w:cs="David"/>
        </w:rPr>
        <w:t xml:space="preserve"> (</w:t>
      </w:r>
      <w:r>
        <w:rPr>
          <w:rFonts w:cs="David" w:ascii="David" w:hAnsi="David"/>
          <w:color w:val="1E3A8A"/>
          <w:rtl/>
        </w:rPr>
        <w:t>משנה ברורה</w:t>
      </w:r>
      <w:r>
        <w:rPr>
          <w:rFonts w:cs="David"/>
        </w:rPr>
        <w:t>)</w:t>
      </w:r>
      <w:r>
        <w:rPr>
          <w:rFonts w:cs="David"/>
        </w:rPr>
        <w:t xml:space="preserve"> the more stringent, and which to follow remains debated.</w:t>
      </w:r>
    </w:p>
    <w:p>
      <w:r>
        <w:rPr>
          <w:rFonts w:cs="David"/>
        </w:rPr>
        <w:t xml:space="preserve">Of the family, the lecturer notes that the author’s son, </w:t>
      </w:r>
      <w:r>
        <w:rPr>
          <w:rFonts w:cs="David"/>
          <w:i/>
        </w:rPr>
        <w:t>Rav Baruch Epstein</w:t>
      </w:r>
      <w:r>
        <w:rPr>
          <w:rFonts w:cs="David"/>
        </w:rPr>
        <w:t xml:space="preserve"> (</w:t>
      </w:r>
      <w:r>
        <w:rPr>
          <w:rFonts w:cs="David" w:ascii="David" w:hAnsi="David"/>
          <w:color w:val="1E3A8A"/>
          <w:rtl/>
        </w:rPr>
        <w:t>רב ברוך הלוי עפשטיין</w:t>
      </w:r>
      <w:r>
        <w:rPr>
          <w:rFonts w:cs="David"/>
        </w:rPr>
        <w:t>)</w:t>
      </w:r>
      <w:r>
        <w:rPr>
          <w:rFonts w:cs="David"/>
        </w:rPr>
        <w:t xml:space="preserve">, the author of </w:t>
      </w:r>
      <w:r>
        <w:rPr>
          <w:rFonts w:cs="David"/>
          <w:i/>
        </w:rPr>
        <w:t>Torah Temimah</w:t>
      </w:r>
      <w:r>
        <w:rPr>
          <w:rFonts w:cs="David"/>
        </w:rPr>
        <w:t xml:space="preserve"> (</w:t>
      </w:r>
      <w:r>
        <w:rPr>
          <w:rFonts w:cs="David" w:ascii="David" w:hAnsi="David"/>
          <w:color w:val="1E3A8A"/>
          <w:rtl/>
        </w:rPr>
        <w:t>תורה תמימה</w:t>
      </w:r>
      <w:r>
        <w:rPr>
          <w:rFonts w:cs="David"/>
        </w:rPr>
        <w:t>)</w:t>
      </w:r>
      <w:r>
        <w:rPr>
          <w:rFonts w:cs="David"/>
        </w:rPr>
        <w:t xml:space="preserve">, writes in his book </w:t>
      </w:r>
      <w:r>
        <w:rPr>
          <w:rFonts w:cs="David"/>
          <w:i/>
        </w:rPr>
        <w:t>Baruch SheAmar</w:t>
      </w:r>
      <w:r>
        <w:rPr>
          <w:rFonts w:cs="David"/>
        </w:rPr>
        <w:t xml:space="preserve"> (</w:t>
      </w:r>
      <w:r>
        <w:rPr>
          <w:rFonts w:cs="David" w:ascii="David" w:hAnsi="David"/>
          <w:color w:val="1E3A8A"/>
          <w:rtl/>
        </w:rPr>
        <w:t>ברוך שאמר</w:t>
      </w:r>
      <w:r>
        <w:rPr>
          <w:rFonts w:cs="David"/>
        </w:rPr>
        <w:t>)</w:t>
      </w:r>
      <w:r>
        <w:rPr>
          <w:rFonts w:cs="David"/>
        </w:rPr>
        <w:t xml:space="preserve"> that the family traces itself to </w:t>
      </w:r>
      <w:r>
        <w:rPr>
          <w:rFonts w:cs="David"/>
          <w:i/>
        </w:rPr>
        <w:t>Ben Abishi</w:t>
      </w:r>
      <w:r>
        <w:rPr>
          <w:rFonts w:cs="David"/>
        </w:rPr>
        <w:t xml:space="preserve"> (</w:t>
      </w:r>
      <w:r>
        <w:rPr>
          <w:rFonts w:cs="David" w:ascii="David" w:hAnsi="David"/>
          <w:color w:val="1E3A8A"/>
          <w:rtl/>
        </w:rPr>
        <w:t>בני אבישי</w:t>
      </w:r>
      <w:r>
        <w:rPr>
          <w:rFonts w:cs="David"/>
        </w:rPr>
        <w:t>)</w:t>
      </w:r>
      <w:r>
        <w:rPr>
          <w:rFonts w:cs="David"/>
        </w:rPr>
        <w:t>, with Sephardic origins. By way of aside he observes that many who consider themselves pure Lithuanian, Hungarian or Polish stock in fact descend from Spain: his own family, by tradition ten generations in Ashkenaz, goes back eleven generations to a Sephardic family from Portugal or Spain, as his older brother’s research found. He adds that the family name was Weiss for some four hundred years until his grandfather changed it to Ephrati.</w:t>
      </w:r>
    </w:p>
    <w:p>
      <w:pPr>
        <w:spacing w:before="160"/>
      </w:pPr>
      <w:r>
        <w:rPr>
          <w:rFonts w:cs="David"/>
          <w:i/>
          <w:color w:val="B8860B"/>
          <w:sz w:val="24"/>
        </w:rPr>
        <w:t>The Aruch HaShulchan on the Closing Ashrei</w:t>
      </w:r>
    </w:p>
    <w:p>
      <w:r>
        <w:rPr>
          <w:rFonts w:cs="David"/>
        </w:rPr>
        <w:t xml:space="preserve">The lecturer then gives the </w:t>
      </w:r>
      <w:r>
        <w:rPr>
          <w:rFonts w:cs="David"/>
          <w:i/>
        </w:rPr>
        <w:t>Aruch HaShulchan</w:t>
      </w:r>
      <w:r>
        <w:rPr>
          <w:rFonts w:cs="David"/>
        </w:rPr>
        <w:t xml:space="preserve"> (</w:t>
      </w:r>
      <w:r>
        <w:rPr>
          <w:rFonts w:cs="David" w:ascii="David" w:hAnsi="David"/>
          <w:color w:val="1E3A8A"/>
          <w:rtl/>
        </w:rPr>
        <w:t>ערוך השלחן</w:t>
      </w:r>
      <w:r>
        <w:rPr>
          <w:rFonts w:cs="David"/>
        </w:rPr>
        <w:t>)</w:t>
      </w:r>
      <w:r>
        <w:rPr>
          <w:rFonts w:cs="David"/>
        </w:rPr>
        <w:t xml:space="preserve">’s approach to the Ashrei that closes the davening. Some run through </w:t>
      </w:r>
      <w:r>
        <w:rPr>
          <w:rFonts w:cs="David"/>
          <w:i/>
        </w:rPr>
        <w:t>Uva LeTzion</w:t>
      </w:r>
      <w:r>
        <w:rPr>
          <w:rFonts w:cs="David"/>
        </w:rPr>
        <w:t xml:space="preserve"> (</w:t>
      </w:r>
      <w:r>
        <w:rPr>
          <w:rFonts w:cs="David" w:ascii="David" w:hAnsi="David"/>
          <w:color w:val="1E3A8A"/>
          <w:rtl/>
        </w:rPr>
        <w:t>ובא לציון</w:t>
      </w:r>
      <w:r>
        <w:rPr>
          <w:rFonts w:cs="David"/>
        </w:rPr>
        <w:t>)</w:t>
      </w:r>
      <w:r>
        <w:rPr>
          <w:rFonts w:cs="David"/>
        </w:rPr>
        <w:t xml:space="preserve">, already removing their </w:t>
      </w:r>
      <w:r>
        <w:rPr>
          <w:rFonts w:cs="David"/>
          <w:i/>
        </w:rPr>
        <w:t>tefillin</w:t>
      </w:r>
      <w:r>
        <w:rPr>
          <w:rFonts w:cs="David"/>
        </w:rPr>
        <w:t xml:space="preserve"> (</w:t>
      </w:r>
      <w:r>
        <w:rPr>
          <w:rFonts w:cs="David" w:ascii="David" w:hAnsi="David"/>
          <w:color w:val="1E3A8A"/>
          <w:rtl/>
        </w:rPr>
        <w:t>תפילין</w:t>
      </w:r>
      <w:r>
        <w:rPr>
          <w:rFonts w:cs="David"/>
        </w:rPr>
        <w:t>)</w:t>
      </w:r>
      <w:r>
        <w:rPr>
          <w:rFonts w:cs="David"/>
        </w:rPr>
        <w:t xml:space="preserve">. A friend, he relates, once visited a </w:t>
      </w:r>
      <w:r>
        <w:rPr>
          <w:rFonts w:cs="David"/>
          <w:i/>
        </w:rPr>
        <w:t>minyan</w:t>
      </w:r>
      <w:r>
        <w:rPr>
          <w:rFonts w:cs="David"/>
        </w:rPr>
        <w:t xml:space="preserve"> (</w:t>
      </w:r>
      <w:r>
        <w:rPr>
          <w:rFonts w:cs="David" w:ascii="David" w:hAnsi="David"/>
          <w:color w:val="1E3A8A"/>
          <w:rtl/>
        </w:rPr>
        <w:t>מנין</w:t>
      </w:r>
      <w:r>
        <w:rPr>
          <w:rFonts w:cs="David"/>
        </w:rPr>
        <w:t>)</w:t>
      </w:r>
      <w:r>
        <w:rPr>
          <w:rFonts w:cs="David"/>
        </w:rPr>
        <w:t xml:space="preserve"> at the federal prison in Otisville and saw the inmates removing their </w:t>
      </w:r>
      <w:r>
        <w:rPr>
          <w:rFonts w:cs="David"/>
          <w:i/>
        </w:rPr>
        <w:t>tefillin</w:t>
      </w:r>
      <w:r>
        <w:rPr>
          <w:rFonts w:cs="David"/>
        </w:rPr>
        <w:t xml:space="preserve"> (</w:t>
      </w:r>
      <w:r>
        <w:rPr>
          <w:rFonts w:cs="David" w:ascii="David" w:hAnsi="David"/>
          <w:color w:val="1E3A8A"/>
          <w:rtl/>
        </w:rPr>
        <w:t>תפילין</w:t>
      </w:r>
      <w:r>
        <w:rPr>
          <w:rFonts w:cs="David"/>
        </w:rPr>
        <w:t>)</w:t>
      </w:r>
      <w:r>
        <w:rPr>
          <w:rFonts w:cs="David"/>
        </w:rPr>
        <w:t xml:space="preserve"> at </w:t>
      </w:r>
      <w:r>
        <w:rPr>
          <w:rFonts w:cs="David"/>
          <w:i/>
        </w:rPr>
        <w:t>Uva LeTzion</w:t>
      </w:r>
      <w:r>
        <w:rPr>
          <w:rFonts w:cs="David"/>
        </w:rPr>
        <w:t xml:space="preserve"> (</w:t>
      </w:r>
      <w:r>
        <w:rPr>
          <w:rFonts w:cs="David" w:ascii="David" w:hAnsi="David"/>
          <w:color w:val="1E3A8A"/>
          <w:rtl/>
        </w:rPr>
        <w:t>ובא לציון</w:t>
      </w:r>
      <w:r>
        <w:rPr>
          <w:rFonts w:cs="David"/>
        </w:rPr>
        <w:t>)</w:t>
      </w:r>
      <w:r>
        <w:rPr>
          <w:rFonts w:cs="David"/>
        </w:rPr>
        <w:t xml:space="preserve"> as if hurrying somewhere. The </w:t>
      </w:r>
      <w:r>
        <w:rPr>
          <w:rFonts w:cs="David"/>
          <w:i/>
        </w:rPr>
        <w:t>Aruch HaShulchan</w:t>
      </w:r>
      <w:r>
        <w:rPr>
          <w:rFonts w:cs="David"/>
        </w:rPr>
        <w:t xml:space="preserve"> (</w:t>
      </w:r>
      <w:r>
        <w:rPr>
          <w:rFonts w:cs="David" w:ascii="David" w:hAnsi="David"/>
          <w:color w:val="1E3A8A"/>
          <w:rtl/>
        </w:rPr>
        <w:t>ערוך השלחן</w:t>
      </w:r>
      <w:r>
        <w:rPr>
          <w:rFonts w:cs="David"/>
        </w:rPr>
        <w:t>)</w:t>
      </w:r>
      <w:r>
        <w:rPr>
          <w:rFonts w:cs="David"/>
        </w:rPr>
        <w:t xml:space="preserve"> says that Ashrei is placed at the end precisely as people are about to leave: during the davening we fed the soul; now we go out to feed the body, to earn a living for the sake of Heaven, to support the family, to pay tuition, to buy </w:t>
      </w:r>
      <w:r>
        <w:rPr>
          <w:rFonts w:cs="David"/>
          <w:i/>
        </w:rPr>
        <w:t>mitzvos</w:t>
      </w:r>
      <w:r>
        <w:rPr>
          <w:rFonts w:cs="David"/>
        </w:rPr>
        <w:t xml:space="preserve"> (</w:t>
      </w:r>
      <w:r>
        <w:rPr>
          <w:rFonts w:cs="David" w:ascii="David" w:hAnsi="David"/>
          <w:color w:val="1E3A8A"/>
          <w:rtl/>
        </w:rPr>
        <w:t>מצוות</w:t>
      </w:r>
      <w:r>
        <w:rPr>
          <w:rFonts w:cs="David"/>
        </w:rPr>
        <w:t>)</w:t>
      </w:r>
      <w:r>
        <w:rPr>
          <w:rFonts w:cs="David"/>
        </w:rPr>
        <w:t xml:space="preserve">. Here Ashrei is no longer pure praise but a real request, </w:t>
      </w:r>
      <w:r>
        <w:rPr>
          <w:rFonts w:cs="David" w:ascii="David" w:hAnsi="David"/>
          <w:color w:val="1E3A8A"/>
          <w:rtl/>
        </w:rPr>
        <w:t>פותח את ידך</w:t>
      </w:r>
      <w:r>
        <w:rPr>
          <w:rFonts w:cs="David"/>
        </w:rPr>
        <w:t xml:space="preserve">. The </w:t>
      </w:r>
      <w:r>
        <w:rPr>
          <w:rFonts w:cs="David"/>
          <w:i/>
        </w:rPr>
        <w:t>Yesod VeShoresh HaAvodah</w:t>
      </w:r>
      <w:r>
        <w:rPr>
          <w:rFonts w:cs="David"/>
        </w:rPr>
        <w:t xml:space="preserve"> (</w:t>
      </w:r>
      <w:r>
        <w:rPr>
          <w:rFonts w:cs="David" w:ascii="David" w:hAnsi="David"/>
          <w:color w:val="1E3A8A"/>
          <w:rtl/>
        </w:rPr>
        <w:t>יסוד ושורש העבודה</w:t>
      </w:r>
      <w:r>
        <w:rPr>
          <w:rFonts w:cs="David"/>
        </w:rPr>
        <w:t>)</w:t>
      </w:r>
      <w:r>
        <w:rPr>
          <w:rFonts w:cs="David"/>
          <w:color w:val="B8860B"/>
          <w:vertAlign w:val="superscript"/>
        </w:rPr>
        <w:t>[17]</w:t>
      </w:r>
      <w:r>
        <w:rPr>
          <w:rFonts w:cs="David"/>
        </w:rPr>
        <w:t xml:space="preserve"> writes that this Ashrei is to be said with more intention than the Ashrei of </w:t>
      </w:r>
      <w:r>
        <w:rPr>
          <w:rFonts w:cs="David"/>
          <w:i/>
        </w:rPr>
        <w:t>Pesukei DeZimrah</w:t>
      </w:r>
      <w:r>
        <w:rPr>
          <w:rFonts w:cs="David"/>
        </w:rPr>
        <w:t xml:space="preserve"> (</w:t>
      </w:r>
      <w:r>
        <w:rPr>
          <w:rFonts w:cs="David" w:ascii="David" w:hAnsi="David"/>
          <w:color w:val="1E3A8A"/>
          <w:rtl/>
        </w:rPr>
        <w:t>פסוקי דזמרה</w:t>
      </w:r>
      <w:r>
        <w:rPr>
          <w:rFonts w:cs="David"/>
        </w:rPr>
        <w:t>)</w:t>
      </w:r>
      <w:r>
        <w:rPr>
          <w:rFonts w:cs="David"/>
        </w:rPr>
        <w:t>.</w:t>
      </w:r>
    </w:p>
    <w:p>
      <w:pPr>
        <w:spacing w:before="280"/>
      </w:pPr>
      <w:r>
        <w:rPr>
          <w:rFonts w:cs="David"/>
          <w:b/>
          <w:color w:val="1E3A8A"/>
          <w:sz w:val="26"/>
        </w:rPr>
        <w:t>VII. LAMNATZEACH: FROM SURA TO LUCENA</w:t>
      </w:r>
    </w:p>
    <w:p>
      <w:pPr>
        <w:spacing w:before="160"/>
      </w:pPr>
      <w:r>
        <w:rPr>
          <w:rFonts w:cs="David"/>
          <w:i/>
          <w:color w:val="B8860B"/>
          <w:sz w:val="24"/>
        </w:rPr>
        <w:t>The Academies of Babylonia</w:t>
      </w:r>
    </w:p>
    <w:p>
      <w:r>
        <w:rPr>
          <w:rFonts w:cs="David"/>
        </w:rPr>
        <w:t xml:space="preserve">Why is </w:t>
      </w:r>
      <w:r>
        <w:rPr>
          <w:rFonts w:cs="David"/>
          <w:i/>
        </w:rPr>
        <w:t>Lamnatzeach</w:t>
      </w:r>
      <w:r>
        <w:rPr>
          <w:rFonts w:cs="David"/>
        </w:rPr>
        <w:t xml:space="preserve"> (</w:t>
      </w:r>
      <w:r>
        <w:rPr>
          <w:rFonts w:cs="David" w:ascii="David" w:hAnsi="David"/>
          <w:color w:val="1E3A8A"/>
          <w:rtl/>
        </w:rPr>
        <w:t>למנצח</w:t>
      </w:r>
      <w:r>
        <w:rPr>
          <w:rFonts w:cs="David"/>
        </w:rPr>
        <w:t>)</w:t>
      </w:r>
      <w:r>
        <w:rPr>
          <w:rFonts w:cs="David"/>
        </w:rPr>
        <w:t xml:space="preserve">, the twentieth chapter of </w:t>
      </w:r>
      <w:r>
        <w:rPr>
          <w:rFonts w:cs="David"/>
          <w:i/>
        </w:rPr>
        <w:t>Tehillim</w:t>
      </w:r>
      <w:r>
        <w:rPr>
          <w:rFonts w:cs="David"/>
        </w:rPr>
        <w:t xml:space="preserve"> (</w:t>
      </w:r>
      <w:r>
        <w:rPr>
          <w:rFonts w:cs="David" w:ascii="David" w:hAnsi="David"/>
          <w:color w:val="1E3A8A"/>
          <w:rtl/>
        </w:rPr>
        <w:t>תהלים</w:t>
      </w:r>
      <w:r>
        <w:rPr>
          <w:rFonts w:cs="David"/>
        </w:rPr>
        <w:t>)</w:t>
      </w:r>
      <w:r>
        <w:rPr>
          <w:rFonts w:cs="David"/>
        </w:rPr>
        <w:t xml:space="preserve">, said here? The earliest source in the old prayer books is a responsum of </w:t>
      </w:r>
      <w:r>
        <w:rPr>
          <w:rFonts w:cs="David"/>
          <w:i/>
        </w:rPr>
        <w:t>Rav Natronai Gaon</w:t>
      </w:r>
      <w:r>
        <w:rPr>
          <w:rFonts w:cs="David"/>
        </w:rPr>
        <w:t xml:space="preserve"> (</w:t>
      </w:r>
      <w:r>
        <w:rPr>
          <w:rFonts w:cs="David" w:ascii="David" w:hAnsi="David"/>
          <w:color w:val="1E3A8A"/>
          <w:rtl/>
        </w:rPr>
        <w:t>רב נטרונאי גאון</w:t>
      </w:r>
      <w:r>
        <w:rPr>
          <w:rFonts w:cs="David"/>
        </w:rPr>
        <w:t>)</w:t>
      </w:r>
      <w:r>
        <w:rPr>
          <w:rFonts w:cs="David"/>
        </w:rPr>
        <w:t xml:space="preserve">, head of the academy at </w:t>
      </w:r>
      <w:r>
        <w:rPr>
          <w:rFonts w:cs="David"/>
          <w:i/>
        </w:rPr>
        <w:t>Sura</w:t>
      </w:r>
      <w:r>
        <w:rPr>
          <w:rFonts w:cs="David"/>
        </w:rPr>
        <w:t xml:space="preserve"> (</w:t>
      </w:r>
      <w:r>
        <w:rPr>
          <w:rFonts w:cs="David" w:ascii="David" w:hAnsi="David"/>
          <w:color w:val="1E3A8A"/>
          <w:rtl/>
        </w:rPr>
        <w:t>סורא</w:t>
      </w:r>
      <w:r>
        <w:rPr>
          <w:rFonts w:cs="David"/>
        </w:rPr>
        <w:t>)</w:t>
      </w:r>
      <w:r>
        <w:rPr>
          <w:rFonts w:cs="David"/>
        </w:rPr>
        <w:t xml:space="preserve">. Sura, with </w:t>
      </w:r>
      <w:r>
        <w:rPr>
          <w:rFonts w:cs="David"/>
          <w:i/>
        </w:rPr>
        <w:t>Pumbedisa</w:t>
      </w:r>
      <w:r>
        <w:rPr>
          <w:rFonts w:cs="David"/>
        </w:rPr>
        <w:t xml:space="preserve"> (</w:t>
      </w:r>
      <w:r>
        <w:rPr>
          <w:rFonts w:cs="David" w:ascii="David" w:hAnsi="David"/>
          <w:color w:val="1E3A8A"/>
          <w:rtl/>
        </w:rPr>
        <w:t>פומבדיתא</w:t>
      </w:r>
      <w:r>
        <w:rPr>
          <w:rFonts w:cs="David"/>
        </w:rPr>
        <w:t>)</w:t>
      </w:r>
      <w:r>
        <w:rPr>
          <w:rFonts w:cs="David"/>
        </w:rPr>
        <w:t xml:space="preserve"> and </w:t>
      </w:r>
      <w:r>
        <w:rPr>
          <w:rFonts w:cs="David"/>
          <w:i/>
        </w:rPr>
        <w:t>Nehardea</w:t>
      </w:r>
      <w:r>
        <w:rPr>
          <w:rFonts w:cs="David"/>
        </w:rPr>
        <w:t xml:space="preserve"> (</w:t>
      </w:r>
      <w:r>
        <w:rPr>
          <w:rFonts w:cs="David" w:ascii="David" w:hAnsi="David"/>
          <w:color w:val="1E3A8A"/>
          <w:rtl/>
        </w:rPr>
        <w:t>נהרדעא</w:t>
      </w:r>
      <w:r>
        <w:rPr>
          <w:rFonts w:cs="David"/>
        </w:rPr>
        <w:t>)</w:t>
      </w:r>
      <w:r>
        <w:rPr>
          <w:rFonts w:cs="David"/>
        </w:rPr>
        <w:t xml:space="preserve">, was one of the three great centers of Torah in Babylonia, where </w:t>
      </w:r>
      <w:r>
        <w:rPr>
          <w:rFonts w:cs="David"/>
          <w:i/>
        </w:rPr>
        <w:t>ki miTziyon teitzei Torah</w:t>
      </w:r>
      <w:r>
        <w:rPr>
          <w:rFonts w:cs="David"/>
        </w:rPr>
        <w:t xml:space="preserve"> (</w:t>
      </w:r>
      <w:r>
        <w:rPr>
          <w:rFonts w:cs="David" w:ascii="David" w:hAnsi="David"/>
          <w:color w:val="1E3A8A"/>
          <w:rtl/>
        </w:rPr>
        <w:t>כי מציון תצא תורה</w:t>
      </w:r>
      <w:r>
        <w:rPr>
          <w:rFonts w:cs="David"/>
        </w:rPr>
        <w:t>)</w:t>
      </w:r>
      <w:r>
        <w:rPr>
          <w:rFonts w:cs="David"/>
        </w:rPr>
        <w:t xml:space="preserve"> became, for many centuries, </w:t>
      </w:r>
      <w:r>
        <w:rPr>
          <w:rFonts w:cs="David"/>
          <w:i/>
        </w:rPr>
        <w:t>ki miBavel teitzei Torah</w:t>
      </w:r>
      <w:r>
        <w:rPr>
          <w:rFonts w:cs="David"/>
        </w:rPr>
        <w:t xml:space="preserve"> (</w:t>
      </w:r>
      <w:r>
        <w:rPr>
          <w:rFonts w:cs="David" w:ascii="David" w:hAnsi="David"/>
          <w:color w:val="1E3A8A"/>
          <w:rtl/>
        </w:rPr>
        <w:t>כי מבבל תצא תורה</w:t>
      </w:r>
      <w:r>
        <w:rPr>
          <w:rFonts w:cs="David"/>
        </w:rPr>
        <w:t>)</w:t>
      </w:r>
      <w:r>
        <w:rPr>
          <w:rFonts w:cs="David"/>
        </w:rPr>
        <w:t xml:space="preserve">. The lecturer places Sura in what is now southern Iraq, near the Saudi border, and recounts that </w:t>
      </w:r>
      <w:r>
        <w:rPr>
          <w:rFonts w:cs="David"/>
          <w:i/>
        </w:rPr>
        <w:t>Rav</w:t>
      </w:r>
      <w:r>
        <w:rPr>
          <w:rFonts w:cs="David"/>
        </w:rPr>
        <w:t xml:space="preserve"> (</w:t>
      </w:r>
      <w:r>
        <w:rPr>
          <w:rFonts w:cs="David" w:ascii="David" w:hAnsi="David"/>
          <w:color w:val="1E3A8A"/>
          <w:rtl/>
        </w:rPr>
        <w:t>רב</w:t>
      </w:r>
      <w:r>
        <w:rPr>
          <w:rFonts w:cs="David"/>
        </w:rPr>
        <w:t>)</w:t>
      </w:r>
      <w:r>
        <w:rPr>
          <w:rFonts w:cs="David"/>
        </w:rPr>
        <w:t xml:space="preserve"> moved his academy there from Nehardea to renew the community.</w:t>
      </w:r>
      <w:r>
        <w:rPr>
          <w:rFonts w:cs="David"/>
          <w:color w:val="B8860B"/>
          <w:vertAlign w:val="superscript"/>
        </w:rPr>
        <w:t>[18]</w:t>
      </w:r>
      <w:r>
        <w:rPr>
          <w:rFonts w:cs="David"/>
        </w:rPr>
        <w:t xml:space="preserve"> There followed the </w:t>
      </w:r>
      <w:r>
        <w:rPr>
          <w:rFonts w:cs="David"/>
          <w:i/>
        </w:rPr>
        <w:t>Amoraim</w:t>
      </w:r>
      <w:r>
        <w:rPr>
          <w:rFonts w:cs="David"/>
        </w:rPr>
        <w:t xml:space="preserve"> (</w:t>
      </w:r>
      <w:r>
        <w:rPr>
          <w:rFonts w:cs="David" w:ascii="David" w:hAnsi="David"/>
          <w:color w:val="1E3A8A"/>
          <w:rtl/>
        </w:rPr>
        <w:t>אמוראים</w:t>
      </w:r>
      <w:r>
        <w:rPr>
          <w:rFonts w:cs="David"/>
        </w:rPr>
        <w:t>)</w:t>
      </w:r>
      <w:r>
        <w:rPr>
          <w:rFonts w:cs="David"/>
        </w:rPr>
        <w:t xml:space="preserve">, through </w:t>
      </w:r>
      <w:r>
        <w:rPr>
          <w:rFonts w:cs="David"/>
          <w:i/>
        </w:rPr>
        <w:t>Ravina</w:t>
      </w:r>
      <w:r>
        <w:rPr>
          <w:rFonts w:cs="David"/>
        </w:rPr>
        <w:t xml:space="preserve"> (</w:t>
      </w:r>
      <w:r>
        <w:rPr>
          <w:rFonts w:cs="David" w:ascii="David" w:hAnsi="David"/>
          <w:color w:val="1E3A8A"/>
          <w:rtl/>
        </w:rPr>
        <w:t>רבינא</w:t>
      </w:r>
      <w:r>
        <w:rPr>
          <w:rFonts w:cs="David"/>
        </w:rPr>
        <w:t>)</w:t>
      </w:r>
      <w:r>
        <w:rPr>
          <w:rFonts w:cs="David"/>
        </w:rPr>
        <w:t xml:space="preserve"> and </w:t>
      </w:r>
      <w:r>
        <w:rPr>
          <w:rFonts w:cs="David"/>
          <w:i/>
        </w:rPr>
        <w:t>Rav Ashi</w:t>
      </w:r>
      <w:r>
        <w:rPr>
          <w:rFonts w:cs="David"/>
        </w:rPr>
        <w:t xml:space="preserve"> (</w:t>
      </w:r>
      <w:r>
        <w:rPr>
          <w:rFonts w:cs="David" w:ascii="David" w:hAnsi="David"/>
          <w:color w:val="1E3A8A"/>
          <w:rtl/>
        </w:rPr>
        <w:t>רב אשי</w:t>
      </w:r>
      <w:r>
        <w:rPr>
          <w:rFonts w:cs="David"/>
        </w:rPr>
        <w:t>)</w:t>
      </w:r>
      <w:r>
        <w:rPr>
          <w:rFonts w:cs="David"/>
        </w:rPr>
        <w:t xml:space="preserve">, and then the </w:t>
      </w:r>
      <w:r>
        <w:rPr>
          <w:rFonts w:cs="David"/>
          <w:i/>
        </w:rPr>
        <w:t>Geonim</w:t>
      </w:r>
      <w:r>
        <w:rPr>
          <w:rFonts w:cs="David"/>
        </w:rPr>
        <w:t xml:space="preserve"> (</w:t>
      </w:r>
      <w:r>
        <w:rPr>
          <w:rFonts w:cs="David" w:ascii="David" w:hAnsi="David"/>
          <w:color w:val="1E3A8A"/>
          <w:rtl/>
        </w:rPr>
        <w:t>גאונים</w:t>
      </w:r>
      <w:r>
        <w:rPr>
          <w:rFonts w:cs="David"/>
        </w:rPr>
        <w:t>)</w:t>
      </w:r>
      <w:r>
        <w:rPr>
          <w:rFonts w:cs="David"/>
        </w:rPr>
        <w:t>.</w:t>
      </w:r>
    </w:p>
    <w:p>
      <w:pPr>
        <w:spacing w:before="160"/>
      </w:pPr>
      <w:r>
        <w:rPr>
          <w:rFonts w:cs="David"/>
          <w:i/>
          <w:color w:val="B8860B"/>
          <w:sz w:val="24"/>
        </w:rPr>
        <w:t>Rav Natronai Gaon</w:t>
      </w:r>
    </w:p>
    <w:p>
      <w:r>
        <w:rPr>
          <w:rFonts w:cs="David"/>
          <w:i/>
        </w:rPr>
        <w:t>Rav Natronai</w:t>
      </w:r>
      <w:r>
        <w:rPr>
          <w:rFonts w:cs="David"/>
        </w:rPr>
        <w:t xml:space="preserve"> (</w:t>
      </w:r>
      <w:r>
        <w:rPr>
          <w:rFonts w:cs="David" w:ascii="David" w:hAnsi="David"/>
          <w:color w:val="1E3A8A"/>
          <w:rtl/>
        </w:rPr>
        <w:t>רב נטרונאי</w:t>
      </w:r>
      <w:r>
        <w:rPr>
          <w:rFonts w:cs="David"/>
        </w:rPr>
        <w:t>)</w:t>
      </w:r>
      <w:r>
        <w:rPr>
          <w:rFonts w:cs="David"/>
        </w:rPr>
        <w:t xml:space="preserve"> headed Sura in the middle of the ninth century and wrote more responsa than any other </w:t>
      </w:r>
      <w:r>
        <w:rPr>
          <w:rFonts w:cs="David"/>
          <w:i/>
        </w:rPr>
        <w:t>Gaon</w:t>
      </w:r>
      <w:r>
        <w:rPr>
          <w:rFonts w:cs="David"/>
        </w:rPr>
        <w:t xml:space="preserve"> (</w:t>
      </w:r>
      <w:r>
        <w:rPr>
          <w:rFonts w:cs="David" w:ascii="David" w:hAnsi="David"/>
          <w:color w:val="1E3A8A"/>
          <w:rtl/>
        </w:rPr>
        <w:t>גאון</w:t>
      </w:r>
      <w:r>
        <w:rPr>
          <w:rFonts w:cs="David"/>
        </w:rPr>
        <w:t>)</w:t>
      </w:r>
      <w:r>
        <w:rPr>
          <w:rFonts w:cs="David"/>
        </w:rPr>
        <w:t xml:space="preserve">, although </w:t>
      </w:r>
      <w:r>
        <w:rPr>
          <w:rFonts w:cs="David"/>
          <w:i/>
        </w:rPr>
        <w:t>Rav Hai</w:t>
      </w:r>
      <w:r>
        <w:rPr>
          <w:rFonts w:cs="David"/>
        </w:rPr>
        <w:t xml:space="preserve"> (</w:t>
      </w:r>
      <w:r>
        <w:rPr>
          <w:rFonts w:cs="David" w:ascii="David" w:hAnsi="David"/>
          <w:color w:val="1E3A8A"/>
          <w:rtl/>
        </w:rPr>
        <w:t>רב האי</w:t>
      </w:r>
      <w:r>
        <w:rPr>
          <w:rFonts w:cs="David"/>
        </w:rPr>
        <w:t>)</w:t>
      </w:r>
      <w:r>
        <w:rPr>
          <w:rFonts w:cs="David"/>
        </w:rPr>
        <w:t xml:space="preserve">, </w:t>
      </w:r>
      <w:r>
        <w:rPr>
          <w:rFonts w:cs="David"/>
          <w:i/>
        </w:rPr>
        <w:t>Rav Sherira</w:t>
      </w:r>
      <w:r>
        <w:rPr>
          <w:rFonts w:cs="David"/>
        </w:rPr>
        <w:t xml:space="preserve"> (</w:t>
      </w:r>
      <w:r>
        <w:rPr>
          <w:rFonts w:cs="David" w:ascii="David" w:hAnsi="David"/>
          <w:color w:val="1E3A8A"/>
          <w:rtl/>
        </w:rPr>
        <w:t>רב שרירא</w:t>
      </w:r>
      <w:r>
        <w:rPr>
          <w:rFonts w:cs="David"/>
        </w:rPr>
        <w:t>)</w:t>
      </w:r>
      <w:r>
        <w:rPr>
          <w:rFonts w:cs="David"/>
        </w:rPr>
        <w:t xml:space="preserve"> and </w:t>
      </w:r>
      <w:r>
        <w:rPr>
          <w:rFonts w:cs="David"/>
          <w:i/>
        </w:rPr>
        <w:t>Rav Amram</w:t>
      </w:r>
      <w:r>
        <w:rPr>
          <w:rFonts w:cs="David"/>
        </w:rPr>
        <w:t xml:space="preserve"> (</w:t>
      </w:r>
      <w:r>
        <w:rPr>
          <w:rFonts w:cs="David" w:ascii="David" w:hAnsi="David"/>
          <w:color w:val="1E3A8A"/>
          <w:rtl/>
        </w:rPr>
        <w:t>רב עמרם</w:t>
      </w:r>
      <w:r>
        <w:rPr>
          <w:rFonts w:cs="David"/>
        </w:rPr>
        <w:t>)</w:t>
      </w:r>
      <w:r>
        <w:rPr>
          <w:rFonts w:cs="David"/>
        </w:rPr>
        <w:t xml:space="preserve"> are better known.</w:t>
      </w:r>
      <w:r>
        <w:rPr>
          <w:rFonts w:cs="David"/>
          <w:color w:val="B8860B"/>
          <w:vertAlign w:val="superscript"/>
        </w:rPr>
        <w:t>[19]</w:t>
      </w:r>
      <w:r>
        <w:rPr>
          <w:rFonts w:cs="David"/>
        </w:rPr>
        <w:t xml:space="preserve"> The lecturer adds, in a digression, that before the discovery of the Cairo Genizah, a single room containing some 150,000 pages unseen for a thousand years, little of the Geonic literature was known, and that a project to digitize the whole is under way.</w:t>
      </w:r>
    </w:p>
    <w:p>
      <w:pPr>
        <w:spacing w:before="160"/>
      </w:pPr>
      <w:r>
        <w:rPr>
          <w:rFonts w:cs="David"/>
          <w:i/>
          <w:color w:val="B8860B"/>
          <w:sz w:val="24"/>
        </w:rPr>
        <w:t>Lucena</w:t>
      </w:r>
    </w:p>
    <w:p>
      <w:r>
        <w:rPr>
          <w:rFonts w:cs="David"/>
        </w:rPr>
        <w:t xml:space="preserve">His correspondents included the communities of Spain, then at the beginning of its history; the golden age of the </w:t>
      </w:r>
      <w:r>
        <w:rPr>
          <w:rFonts w:cs="David"/>
          <w:i/>
        </w:rPr>
        <w:t>Rambam</w:t>
      </w:r>
      <w:r>
        <w:rPr>
          <w:rFonts w:cs="David"/>
        </w:rPr>
        <w:t xml:space="preserve"> (</w:t>
      </w:r>
      <w:r>
        <w:rPr>
          <w:rFonts w:cs="David" w:ascii="David" w:hAnsi="David"/>
          <w:color w:val="1E3A8A"/>
          <w:rtl/>
        </w:rPr>
        <w:t>רמב״ם</w:t>
      </w:r>
      <w:r>
        <w:rPr>
          <w:rFonts w:cs="David"/>
        </w:rPr>
        <w:t>)</w:t>
      </w:r>
      <w:r>
        <w:rPr>
          <w:rFonts w:cs="David"/>
        </w:rPr>
        <w:t xml:space="preserve">, </w:t>
      </w:r>
      <w:r>
        <w:rPr>
          <w:rFonts w:cs="David"/>
          <w:i/>
        </w:rPr>
        <w:t>Ramban</w:t>
      </w:r>
      <w:r>
        <w:rPr>
          <w:rFonts w:cs="David"/>
        </w:rPr>
        <w:t xml:space="preserve"> (</w:t>
      </w:r>
      <w:r>
        <w:rPr>
          <w:rFonts w:cs="David" w:ascii="David" w:hAnsi="David"/>
          <w:color w:val="1E3A8A"/>
          <w:rtl/>
        </w:rPr>
        <w:t>רמב״ן</w:t>
      </w:r>
      <w:r>
        <w:rPr>
          <w:rFonts w:cs="David"/>
        </w:rPr>
        <w:t>)</w:t>
      </w:r>
      <w:r>
        <w:rPr>
          <w:rFonts w:cs="David"/>
        </w:rPr>
        <w:t xml:space="preserve">, </w:t>
      </w:r>
      <w:r>
        <w:rPr>
          <w:rFonts w:cs="David"/>
          <w:i/>
        </w:rPr>
        <w:t>Rashba</w:t>
      </w:r>
      <w:r>
        <w:rPr>
          <w:rFonts w:cs="David"/>
        </w:rPr>
        <w:t xml:space="preserve"> (</w:t>
      </w:r>
      <w:r>
        <w:rPr>
          <w:rFonts w:cs="David" w:ascii="David" w:hAnsi="David"/>
          <w:color w:val="1E3A8A"/>
          <w:rtl/>
        </w:rPr>
        <w:t>רשב״א</w:t>
      </w:r>
      <w:r>
        <w:rPr>
          <w:rFonts w:cs="David"/>
        </w:rPr>
        <w:t>)</w:t>
      </w:r>
      <w:r>
        <w:rPr>
          <w:rFonts w:cs="David"/>
        </w:rPr>
        <w:t xml:space="preserve"> and </w:t>
      </w:r>
      <w:r>
        <w:rPr>
          <w:rFonts w:cs="David"/>
          <w:i/>
        </w:rPr>
        <w:t>Rosh</w:t>
      </w:r>
      <w:r>
        <w:rPr>
          <w:rFonts w:cs="David"/>
        </w:rPr>
        <w:t xml:space="preserve"> (</w:t>
      </w:r>
      <w:r>
        <w:rPr>
          <w:rFonts w:cs="David" w:ascii="David" w:hAnsi="David"/>
          <w:color w:val="1E3A8A"/>
          <w:rtl/>
        </w:rPr>
        <w:t>רא״ש</w:t>
      </w:r>
      <w:r>
        <w:rPr>
          <w:rFonts w:cs="David"/>
        </w:rPr>
        <w:t>)</w:t>
      </w:r>
      <w:r>
        <w:rPr>
          <w:rFonts w:cs="David"/>
        </w:rPr>
        <w:t xml:space="preserve"> came later. The lecturer says the Spanish Jews of that time were somewhat ignorant of the order of prayer. </w:t>
      </w:r>
      <w:r>
        <w:rPr>
          <w:rFonts w:cs="David"/>
          <w:i/>
        </w:rPr>
        <w:t>Rav Natronai</w:t>
      </w:r>
      <w:r>
        <w:rPr>
          <w:rFonts w:cs="David"/>
        </w:rPr>
        <w:t xml:space="preserve"> (</w:t>
      </w:r>
      <w:r>
        <w:rPr>
          <w:rFonts w:cs="David" w:ascii="David" w:hAnsi="David"/>
          <w:color w:val="1E3A8A"/>
          <w:rtl/>
        </w:rPr>
        <w:t>רב נטרונאי</w:t>
      </w:r>
      <w:r>
        <w:rPr>
          <w:rFonts w:cs="David"/>
        </w:rPr>
        <w:t>)</w:t>
      </w:r>
      <w:r>
        <w:rPr>
          <w:rFonts w:cs="David"/>
        </w:rPr>
        <w:t xml:space="preserve"> gave guidance to the community of Lucena, in the region of Córdoba, a city that Jews had settled since the destruction of the Second Temple and in which, for many centuries, they were the majority. The </w:t>
      </w:r>
      <w:r>
        <w:rPr>
          <w:rFonts w:cs="David"/>
          <w:i/>
        </w:rPr>
        <w:t>Rishonim</w:t>
      </w:r>
      <w:r>
        <w:rPr>
          <w:rFonts w:cs="David"/>
        </w:rPr>
        <w:t xml:space="preserve"> (</w:t>
      </w:r>
      <w:r>
        <w:rPr>
          <w:rFonts w:cs="David" w:ascii="David" w:hAnsi="David"/>
          <w:color w:val="1E3A8A"/>
          <w:rtl/>
        </w:rPr>
        <w:t>ראשונים</w:t>
      </w:r>
      <w:r>
        <w:rPr>
          <w:rFonts w:cs="David"/>
        </w:rPr>
        <w:t>)</w:t>
      </w:r>
      <w:r>
        <w:rPr>
          <w:rFonts w:cs="David"/>
        </w:rPr>
        <w:t xml:space="preserve"> call it </w:t>
      </w:r>
      <w:r>
        <w:rPr>
          <w:rFonts w:cs="David" w:ascii="David" w:hAnsi="David"/>
          <w:color w:val="1E3A8A"/>
          <w:rtl/>
        </w:rPr>
        <w:t>אליסנה</w:t>
      </w:r>
      <w:r>
        <w:rPr>
          <w:rFonts w:cs="David"/>
        </w:rPr>
        <w:t xml:space="preserve">, which, the lecturer explained, is the Spanish way of saying </w:t>
      </w:r>
      <w:r>
        <w:rPr>
          <w:rFonts w:cs="David" w:ascii="David" w:hAnsi="David"/>
          <w:color w:val="1E3A8A"/>
          <w:rtl/>
        </w:rPr>
        <w:t>קהלי הושענא</w:t>
      </w:r>
      <w:r>
        <w:rPr>
          <w:rFonts w:cs="David"/>
        </w:rPr>
        <w:t xml:space="preserve">, </w:t>
      </w:r>
      <w:r>
        <w:rPr>
          <w:rFonts w:cs="David" w:ascii="David" w:hAnsi="David"/>
          <w:color w:val="1E3A8A"/>
          <w:rtl/>
        </w:rPr>
        <w:t>אלי הושענא</w:t>
      </w:r>
      <w:r>
        <w:rPr>
          <w:rFonts w:cs="David"/>
        </w:rPr>
        <w:t>. The community asked: tell us how to pray. He sent them many letters, one of which, known already in the nineteenth century, before the Genizah was found, describes a custom that is the key to what follows.</w:t>
      </w:r>
    </w:p>
    <w:p>
      <w:pPr>
        <w:spacing w:before="280"/>
      </w:pPr>
      <w:r>
        <w:rPr>
          <w:rFonts w:cs="David"/>
          <w:b/>
          <w:color w:val="1E3A8A"/>
          <w:sz w:val="26"/>
        </w:rPr>
        <w:t>VIII. BEIS RABBEINU SHEBEBAVEL</w:t>
      </w:r>
    </w:p>
    <w:p>
      <w:pPr>
        <w:spacing w:before="160"/>
      </w:pPr>
      <w:r>
        <w:rPr>
          <w:rFonts w:cs="David"/>
          <w:i/>
          <w:color w:val="B8860B"/>
          <w:sz w:val="24"/>
        </w:rPr>
        <w:t>The Little Sanctuary</w:t>
      </w:r>
    </w:p>
    <w:p>
      <w:r>
        <w:rPr>
          <w:rFonts w:cs="David"/>
        </w:rPr>
        <w:t xml:space="preserve">The </w:t>
      </w:r>
      <w:r>
        <w:rPr>
          <w:rFonts w:cs="David"/>
          <w:i/>
        </w:rPr>
        <w:t>Gemara</w:t>
      </w:r>
      <w:r>
        <w:rPr>
          <w:rFonts w:cs="David"/>
        </w:rPr>
        <w:t xml:space="preserve"> (</w:t>
      </w:r>
      <w:r>
        <w:rPr>
          <w:rFonts w:cs="David" w:ascii="David" w:hAnsi="David"/>
          <w:color w:val="1E3A8A"/>
          <w:rtl/>
        </w:rPr>
        <w:t>גמרא</w:t>
      </w:r>
      <w:r>
        <w:rPr>
          <w:rFonts w:cs="David"/>
        </w:rPr>
        <w:t>)</w:t>
      </w:r>
      <w:r>
        <w:rPr>
          <w:rFonts w:cs="David"/>
        </w:rPr>
        <w:t xml:space="preserve"> in </w:t>
      </w:r>
      <w:r>
        <w:rPr>
          <w:rFonts w:cs="David"/>
          <w:i/>
        </w:rPr>
        <w:t>Megillah</w:t>
      </w:r>
      <w:r>
        <w:rPr>
          <w:rFonts w:cs="David"/>
        </w:rPr>
        <w:t xml:space="preserve"> (</w:t>
      </w:r>
      <w:r>
        <w:rPr>
          <w:rFonts w:cs="David" w:ascii="David" w:hAnsi="David"/>
          <w:color w:val="1E3A8A"/>
          <w:rtl/>
        </w:rPr>
        <w:t>מגילה</w:t>
      </w:r>
      <w:r>
        <w:rPr>
          <w:rFonts w:cs="David"/>
        </w:rPr>
        <w:t>)</w:t>
      </w:r>
      <w:r>
        <w:rPr>
          <w:rFonts w:cs="David"/>
        </w:rPr>
        <w:t xml:space="preserve"> 29a</w:t>
      </w:r>
      <w:r>
        <w:rPr>
          <w:rFonts w:cs="David"/>
          <w:color w:val="B8860B"/>
          <w:vertAlign w:val="superscript"/>
        </w:rPr>
        <w:t>[20]</w:t>
      </w:r>
      <w:r>
        <w:rPr>
          <w:rFonts w:cs="David"/>
        </w:rPr>
        <w:t xml:space="preserve"> explains the verse </w:t>
      </w:r>
      <w:r>
        <w:rPr>
          <w:rFonts w:cs="David" w:ascii="David" w:hAnsi="David"/>
          <w:color w:val="1E3A8A"/>
          <w:rtl/>
        </w:rPr>
        <w:t>ואהי להם למקדש מעט</w:t>
      </w:r>
      <w:r>
        <w:rPr>
          <w:rFonts w:cs="David"/>
        </w:rPr>
        <w:t xml:space="preserve"> as referring to the synagogues and study halls of Babylonia, and according to another view to </w:t>
      </w:r>
      <w:r>
        <w:rPr>
          <w:rFonts w:cs="David"/>
          <w:i/>
        </w:rPr>
        <w:t>Beis Rabbeinu SheBeBavel</w:t>
      </w:r>
      <w:r>
        <w:rPr>
          <w:rFonts w:cs="David"/>
        </w:rPr>
        <w:t xml:space="preserve"> (</w:t>
      </w:r>
      <w:r>
        <w:rPr>
          <w:rFonts w:cs="David" w:ascii="David" w:hAnsi="David"/>
          <w:color w:val="1E3A8A"/>
          <w:rtl/>
        </w:rPr>
        <w:t>בית רבינו שבבבל</w:t>
      </w:r>
      <w:r>
        <w:rPr>
          <w:rFonts w:cs="David"/>
        </w:rPr>
        <w:t>)</w:t>
      </w:r>
      <w:r>
        <w:rPr>
          <w:rFonts w:cs="David"/>
        </w:rPr>
        <w:t xml:space="preserve">, which the lecturer, who notes the phrase is familiar to Chabad </w:t>
      </w:r>
      <w:r>
        <w:rPr>
          <w:rFonts w:cs="David"/>
          <w:i/>
        </w:rPr>
        <w:t>chassidim</w:t>
      </w:r>
      <w:r>
        <w:rPr>
          <w:rFonts w:cs="David"/>
        </w:rPr>
        <w:t xml:space="preserve"> (</w:t>
      </w:r>
      <w:r>
        <w:rPr>
          <w:rFonts w:cs="David" w:ascii="David" w:hAnsi="David"/>
          <w:color w:val="1E3A8A"/>
          <w:rtl/>
        </w:rPr>
        <w:t>חסידים</w:t>
      </w:r>
      <w:r>
        <w:rPr>
          <w:rFonts w:cs="David"/>
        </w:rPr>
        <w:t>)</w:t>
      </w:r>
      <w:r>
        <w:rPr>
          <w:rFonts w:cs="David"/>
        </w:rPr>
        <w:t xml:space="preserve"> from 770, identifies with the house of </w:t>
      </w:r>
      <w:r>
        <w:rPr>
          <w:rFonts w:cs="David"/>
          <w:i/>
        </w:rPr>
        <w:t>Rav</w:t>
      </w:r>
      <w:r>
        <w:rPr>
          <w:rFonts w:cs="David"/>
        </w:rPr>
        <w:t xml:space="preserve"> (</w:t>
      </w:r>
      <w:r>
        <w:rPr>
          <w:rFonts w:cs="David" w:ascii="David" w:hAnsi="David"/>
          <w:color w:val="1E3A8A"/>
          <w:rtl/>
        </w:rPr>
        <w:t>רב</w:t>
      </w:r>
      <w:r>
        <w:rPr>
          <w:rFonts w:cs="David"/>
        </w:rPr>
        <w:t>)</w:t>
      </w:r>
      <w:r>
        <w:rPr>
          <w:rFonts w:cs="David"/>
        </w:rPr>
        <w:t xml:space="preserve"> in Sura. From that original synagogue, he says, our synagogues and prayers derive their character.</w:t>
      </w:r>
    </w:p>
    <w:p>
      <w:pPr>
        <w:spacing w:before="160"/>
      </w:pPr>
      <w:r>
        <w:rPr>
          <w:rFonts w:cs="David"/>
          <w:i/>
          <w:color w:val="B8860B"/>
          <w:sz w:val="24"/>
        </w:rPr>
        <w:t>The Order of Prayer in Rav’s Synagogue</w:t>
      </w:r>
    </w:p>
    <w:p>
      <w:r>
        <w:rPr>
          <w:rFonts w:cs="David"/>
        </w:rPr>
        <w:t xml:space="preserve">The </w:t>
      </w:r>
      <w:r>
        <w:rPr>
          <w:rFonts w:cs="David"/>
          <w:i/>
        </w:rPr>
        <w:t>Mishnah</w:t>
      </w:r>
      <w:r>
        <w:rPr>
          <w:rFonts w:cs="David"/>
        </w:rPr>
        <w:t xml:space="preserve"> (</w:t>
      </w:r>
      <w:r>
        <w:rPr>
          <w:rFonts w:cs="David" w:ascii="David" w:hAnsi="David"/>
          <w:color w:val="1E3A8A"/>
          <w:rtl/>
        </w:rPr>
        <w:t>משנה</w:t>
      </w:r>
      <w:r>
        <w:rPr>
          <w:rFonts w:cs="David"/>
        </w:rPr>
        <w:t>)</w:t>
      </w:r>
      <w:r>
        <w:rPr>
          <w:rFonts w:cs="David"/>
        </w:rPr>
        <w:t xml:space="preserve"> in </w:t>
      </w:r>
      <w:r>
        <w:rPr>
          <w:rFonts w:cs="David"/>
          <w:i/>
        </w:rPr>
        <w:t>Berachos</w:t>
      </w:r>
      <w:r>
        <w:rPr>
          <w:rFonts w:cs="David"/>
        </w:rPr>
        <w:t xml:space="preserve"> (</w:t>
      </w:r>
      <w:r>
        <w:rPr>
          <w:rFonts w:cs="David" w:ascii="David" w:hAnsi="David"/>
          <w:color w:val="1E3A8A"/>
          <w:rtl/>
        </w:rPr>
        <w:t>ברכות</w:t>
      </w:r>
      <w:r>
        <w:rPr>
          <w:rFonts w:cs="David"/>
        </w:rPr>
        <w:t>)</w:t>
      </w:r>
      <w:r>
        <w:rPr>
          <w:rFonts w:cs="David"/>
          <w:color w:val="B8860B"/>
          <w:vertAlign w:val="superscript"/>
        </w:rPr>
        <w:t>[21]</w:t>
      </w:r>
      <w:r>
        <w:rPr>
          <w:rFonts w:cs="David"/>
        </w:rPr>
        <w:t xml:space="preserve"> records that the early pious (</w:t>
      </w:r>
      <w:r>
        <w:rPr>
          <w:rFonts w:cs="David"/>
          <w:i/>
        </w:rPr>
        <w:t>chassidim harishonim</w:t>
      </w:r>
      <w:r>
        <w:rPr>
          <w:rFonts w:cs="David"/>
        </w:rPr>
        <w:t xml:space="preserve"> (</w:t>
      </w:r>
      <w:r>
        <w:rPr>
          <w:rFonts w:cs="David" w:ascii="David" w:hAnsi="David"/>
          <w:color w:val="1E3A8A"/>
          <w:rtl/>
        </w:rPr>
        <w:t>חסידים הראשונים</w:t>
      </w:r>
      <w:r>
        <w:rPr>
          <w:rFonts w:cs="David"/>
        </w:rPr>
        <w:t>)</w:t>
      </w:r>
      <w:r>
        <w:rPr>
          <w:rFonts w:cs="David"/>
        </w:rPr>
        <w:t xml:space="preserve">) would wait an hour before praying, and they also stayed an hour after prayer; so the </w:t>
      </w:r>
      <w:r>
        <w:rPr>
          <w:rFonts w:cs="David"/>
          <w:i/>
        </w:rPr>
        <w:t>Rambam</w:t>
      </w:r>
      <w:r>
        <w:rPr>
          <w:rFonts w:cs="David"/>
        </w:rPr>
        <w:t xml:space="preserve"> (</w:t>
      </w:r>
      <w:r>
        <w:rPr>
          <w:rFonts w:cs="David" w:ascii="David" w:hAnsi="David"/>
          <w:color w:val="1E3A8A"/>
          <w:rtl/>
        </w:rPr>
        <w:t>רמב״ם</w:t>
      </w:r>
      <w:r>
        <w:rPr>
          <w:rFonts w:cs="David"/>
        </w:rPr>
        <w:t>)</w:t>
      </w:r>
      <w:r>
        <w:rPr>
          <w:rFonts w:cs="David"/>
        </w:rPr>
        <w:t xml:space="preserve"> codifies.</w:t>
      </w:r>
      <w:r>
        <w:rPr>
          <w:rFonts w:cs="David"/>
          <w:color w:val="B8860B"/>
          <w:vertAlign w:val="superscript"/>
        </w:rPr>
        <w:t>[22]</w:t>
      </w:r>
      <w:r>
        <w:rPr>
          <w:rFonts w:cs="David"/>
        </w:rPr>
        <w:t xml:space="preserve"> The lecturer notes that we do not do this today: we must hurry to the train. But in </w:t>
      </w:r>
      <w:r>
        <w:rPr>
          <w:rFonts w:cs="David"/>
          <w:i/>
        </w:rPr>
        <w:t>Rav</w:t>
      </w:r>
      <w:r>
        <w:rPr>
          <w:rFonts w:cs="David"/>
        </w:rPr>
        <w:t xml:space="preserve"> (</w:t>
      </w:r>
      <w:r>
        <w:rPr>
          <w:rFonts w:cs="David" w:ascii="David" w:hAnsi="David"/>
          <w:color w:val="1E3A8A"/>
          <w:rtl/>
        </w:rPr>
        <w:t>רב</w:t>
      </w:r>
      <w:r>
        <w:rPr>
          <w:rFonts w:cs="David"/>
        </w:rPr>
        <w:t>)</w:t>
      </w:r>
      <w:r>
        <w:rPr>
          <w:rFonts w:cs="David"/>
        </w:rPr>
        <w:t xml:space="preserve">’s academy the students remained in the synagogue, still in </w:t>
      </w:r>
      <w:r>
        <w:rPr>
          <w:rFonts w:cs="David"/>
          <w:i/>
        </w:rPr>
        <w:t>tallis</w:t>
      </w:r>
      <w:r>
        <w:rPr>
          <w:rFonts w:cs="David"/>
        </w:rPr>
        <w:t xml:space="preserve"> (</w:t>
      </w:r>
      <w:r>
        <w:rPr>
          <w:rFonts w:cs="David" w:ascii="David" w:hAnsi="David"/>
          <w:color w:val="1E3A8A"/>
          <w:rtl/>
        </w:rPr>
        <w:t>טלית</w:t>
      </w:r>
      <w:r>
        <w:rPr>
          <w:rFonts w:cs="David"/>
        </w:rPr>
        <w:t>)</w:t>
      </w:r>
      <w:r>
        <w:rPr>
          <w:rFonts w:cs="David"/>
        </w:rPr>
        <w:t xml:space="preserve"> and </w:t>
      </w:r>
      <w:r>
        <w:rPr>
          <w:rFonts w:cs="David"/>
          <w:i/>
        </w:rPr>
        <w:t>tefillin</w:t>
      </w:r>
      <w:r>
        <w:rPr>
          <w:rFonts w:cs="David"/>
        </w:rPr>
        <w:t xml:space="preserve"> (</w:t>
      </w:r>
      <w:r>
        <w:rPr>
          <w:rFonts w:cs="David" w:ascii="David" w:hAnsi="David"/>
          <w:color w:val="1E3A8A"/>
          <w:rtl/>
        </w:rPr>
        <w:t>תפילין</w:t>
      </w:r>
      <w:r>
        <w:rPr>
          <w:rFonts w:cs="David"/>
        </w:rPr>
        <w:t>)</w:t>
      </w:r>
      <w:r>
        <w:rPr>
          <w:rFonts w:cs="David"/>
        </w:rPr>
        <w:t xml:space="preserve">, opened </w:t>
      </w:r>
      <w:r>
        <w:rPr>
          <w:rFonts w:cs="David"/>
          <w:i/>
        </w:rPr>
        <w:t>Gemaras</w:t>
      </w:r>
      <w:r>
        <w:rPr>
          <w:rFonts w:cs="David"/>
        </w:rPr>
        <w:t xml:space="preserve"> (</w:t>
      </w:r>
      <w:r>
        <w:rPr>
          <w:rFonts w:cs="David" w:ascii="David" w:hAnsi="David"/>
          <w:color w:val="1E3A8A"/>
          <w:rtl/>
        </w:rPr>
        <w:t>גמרות</w:t>
      </w:r>
      <w:r>
        <w:rPr>
          <w:rFonts w:cs="David"/>
        </w:rPr>
        <w:t>)</w:t>
      </w:r>
      <w:r>
        <w:rPr>
          <w:rFonts w:cs="David"/>
        </w:rPr>
        <w:t xml:space="preserve"> and </w:t>
      </w:r>
      <w:r>
        <w:rPr>
          <w:rFonts w:cs="David"/>
          <w:i/>
        </w:rPr>
        <w:t>Mishnayos</w:t>
      </w:r>
      <w:r>
        <w:rPr>
          <w:rFonts w:cs="David"/>
        </w:rPr>
        <w:t xml:space="preserve"> (</w:t>
      </w:r>
      <w:r>
        <w:rPr>
          <w:rFonts w:cs="David" w:ascii="David" w:hAnsi="David"/>
          <w:color w:val="1E3A8A"/>
          <w:rtl/>
        </w:rPr>
        <w:t>משניות</w:t>
      </w:r>
      <w:r>
        <w:rPr>
          <w:rFonts w:cs="David"/>
        </w:rPr>
        <w:t>)</w:t>
      </w:r>
      <w:r>
        <w:rPr>
          <w:rFonts w:cs="David"/>
        </w:rPr>
        <w:t xml:space="preserve">, and learned for hours. Only when ready to leave did they rise and say </w:t>
      </w:r>
      <w:r>
        <w:rPr>
          <w:rFonts w:cs="David"/>
          <w:i/>
        </w:rPr>
        <w:t>Ashrei</w:t>
      </w:r>
      <w:r>
        <w:rPr>
          <w:rFonts w:cs="David"/>
        </w:rPr>
        <w:t xml:space="preserve"> (</w:t>
      </w:r>
      <w:r>
        <w:rPr>
          <w:rFonts w:cs="David" w:ascii="David" w:hAnsi="David"/>
          <w:color w:val="1E3A8A"/>
          <w:rtl/>
        </w:rPr>
        <w:t>אשרי</w:t>
      </w:r>
      <w:r>
        <w:rPr>
          <w:rFonts w:cs="David"/>
        </w:rPr>
        <w:t>)</w:t>
      </w:r>
      <w:r>
        <w:rPr>
          <w:rFonts w:cs="David"/>
        </w:rPr>
        <w:t xml:space="preserve">, </w:t>
      </w:r>
      <w:r>
        <w:rPr>
          <w:rFonts w:cs="David"/>
          <w:i/>
        </w:rPr>
        <w:t>Lamnatzeach</w:t>
      </w:r>
      <w:r>
        <w:rPr>
          <w:rFonts w:cs="David"/>
        </w:rPr>
        <w:t xml:space="preserve"> (</w:t>
      </w:r>
      <w:r>
        <w:rPr>
          <w:rFonts w:cs="David" w:ascii="David" w:hAnsi="David"/>
          <w:color w:val="1E3A8A"/>
          <w:rtl/>
        </w:rPr>
        <w:t>למנצח</w:t>
      </w:r>
      <w:r>
        <w:rPr>
          <w:rFonts w:cs="David"/>
        </w:rPr>
        <w:t>)</w:t>
      </w:r>
      <w:r>
        <w:rPr>
          <w:rFonts w:cs="David"/>
        </w:rPr>
        <w:t xml:space="preserve">, </w:t>
      </w:r>
      <w:r>
        <w:rPr>
          <w:rFonts w:cs="David"/>
          <w:i/>
        </w:rPr>
        <w:t>Uva LeTzion</w:t>
      </w:r>
      <w:r>
        <w:rPr>
          <w:rFonts w:cs="David"/>
        </w:rPr>
        <w:t xml:space="preserve"> (</w:t>
      </w:r>
      <w:r>
        <w:rPr>
          <w:rFonts w:cs="David" w:ascii="David" w:hAnsi="David"/>
          <w:color w:val="1E3A8A"/>
          <w:rtl/>
        </w:rPr>
        <w:t>ובא לציון</w:t>
      </w:r>
      <w:r>
        <w:rPr>
          <w:rFonts w:cs="David"/>
        </w:rPr>
        <w:t>)</w:t>
      </w:r>
      <w:r>
        <w:rPr>
          <w:rFonts w:cs="David"/>
        </w:rPr>
        <w:t xml:space="preserve"> and </w:t>
      </w:r>
      <w:r>
        <w:rPr>
          <w:rFonts w:cs="David"/>
          <w:i/>
        </w:rPr>
        <w:t>Kaddish</w:t>
      </w:r>
      <w:r>
        <w:rPr>
          <w:rFonts w:cs="David"/>
        </w:rPr>
        <w:t xml:space="preserve"> (</w:t>
      </w:r>
      <w:r>
        <w:rPr>
          <w:rFonts w:cs="David" w:ascii="David" w:hAnsi="David"/>
          <w:color w:val="1E3A8A"/>
          <w:rtl/>
        </w:rPr>
        <w:t>קדיש</w:t>
      </w:r>
      <w:r>
        <w:rPr>
          <w:rFonts w:cs="David"/>
        </w:rPr>
        <w:t>)</w:t>
      </w:r>
      <w:r>
        <w:rPr>
          <w:rFonts w:cs="David"/>
        </w:rPr>
        <w:t>, and depart.</w:t>
      </w:r>
    </w:p>
    <w:p>
      <w:pPr>
        <w:spacing w:before="160"/>
      </w:pPr>
      <w:r>
        <w:rPr>
          <w:rFonts w:cs="David"/>
          <w:i/>
          <w:color w:val="B8860B"/>
          <w:sz w:val="24"/>
        </w:rPr>
        <w:t>The First Mention of Lamnatzeach</w:t>
      </w:r>
    </w:p>
    <w:p>
      <w:r>
        <w:rPr>
          <w:rFonts w:cs="David"/>
        </w:rPr>
        <w:t xml:space="preserve">This, says the lecturer, is the first appearance of </w:t>
      </w:r>
      <w:r>
        <w:rPr>
          <w:rFonts w:cs="David"/>
          <w:i/>
        </w:rPr>
        <w:t>Lamnatzeach</w:t>
      </w:r>
      <w:r>
        <w:rPr>
          <w:rFonts w:cs="David"/>
        </w:rPr>
        <w:t xml:space="preserve"> (</w:t>
      </w:r>
      <w:r>
        <w:rPr>
          <w:rFonts w:cs="David" w:ascii="David" w:hAnsi="David"/>
          <w:color w:val="1E3A8A"/>
          <w:rtl/>
        </w:rPr>
        <w:t>למנצח</w:t>
      </w:r>
      <w:r>
        <w:rPr>
          <w:rFonts w:cs="David"/>
        </w:rPr>
        <w:t>)</w:t>
      </w:r>
      <w:r>
        <w:rPr>
          <w:rFonts w:cs="David"/>
        </w:rPr>
        <w:t xml:space="preserve">, and it was not connected to the prayer proper at all. There was a long break, perhaps even </w:t>
      </w:r>
      <w:r>
        <w:rPr>
          <w:rFonts w:cs="David"/>
          <w:i/>
        </w:rPr>
        <w:t>Kiddush</w:t>
      </w:r>
      <w:r>
        <w:rPr>
          <w:rFonts w:cs="David"/>
        </w:rPr>
        <w:t xml:space="preserve"> (</w:t>
      </w:r>
      <w:r>
        <w:rPr>
          <w:rFonts w:cs="David" w:ascii="David" w:hAnsi="David"/>
          <w:color w:val="1E3A8A"/>
          <w:rtl/>
        </w:rPr>
        <w:t>קידוש</w:t>
      </w:r>
      <w:r>
        <w:rPr>
          <w:rFonts w:cs="David"/>
        </w:rPr>
        <w:t>)</w:t>
      </w:r>
      <w:r>
        <w:rPr>
          <w:rFonts w:cs="David"/>
        </w:rPr>
        <w:t xml:space="preserve"> and something to eat, and then, as they removed </w:t>
      </w:r>
      <w:r>
        <w:rPr>
          <w:rFonts w:cs="David"/>
          <w:i/>
        </w:rPr>
        <w:t>tallis</w:t>
      </w:r>
      <w:r>
        <w:rPr>
          <w:rFonts w:cs="David"/>
        </w:rPr>
        <w:t xml:space="preserve"> (</w:t>
      </w:r>
      <w:r>
        <w:rPr>
          <w:rFonts w:cs="David" w:ascii="David" w:hAnsi="David"/>
          <w:color w:val="1E3A8A"/>
          <w:rtl/>
        </w:rPr>
        <w:t>טלית</w:t>
      </w:r>
      <w:r>
        <w:rPr>
          <w:rFonts w:cs="David"/>
        </w:rPr>
        <w:t>)</w:t>
      </w:r>
      <w:r>
        <w:rPr>
          <w:rFonts w:cs="David"/>
        </w:rPr>
        <w:t xml:space="preserve"> and </w:t>
      </w:r>
      <w:r>
        <w:rPr>
          <w:rFonts w:cs="David"/>
          <w:i/>
        </w:rPr>
        <w:t>tefillin</w:t>
      </w:r>
      <w:r>
        <w:rPr>
          <w:rFonts w:cs="David"/>
        </w:rPr>
        <w:t xml:space="preserve"> (</w:t>
      </w:r>
      <w:r>
        <w:rPr>
          <w:rFonts w:cs="David" w:ascii="David" w:hAnsi="David"/>
          <w:color w:val="1E3A8A"/>
          <w:rtl/>
        </w:rPr>
        <w:t>תפילין</w:t>
      </w:r>
      <w:r>
        <w:rPr>
          <w:rFonts w:cs="David"/>
        </w:rPr>
        <w:t>)</w:t>
      </w:r>
      <w:r>
        <w:rPr>
          <w:rFonts w:cs="David"/>
        </w:rPr>
        <w:t xml:space="preserve"> on their way out, they said </w:t>
      </w:r>
      <w:r>
        <w:rPr>
          <w:rFonts w:cs="David"/>
          <w:i/>
        </w:rPr>
        <w:t>Ashrei</w:t>
      </w:r>
      <w:r>
        <w:rPr>
          <w:rFonts w:cs="David"/>
        </w:rPr>
        <w:t xml:space="preserve"> (</w:t>
      </w:r>
      <w:r>
        <w:rPr>
          <w:rFonts w:cs="David" w:ascii="David" w:hAnsi="David"/>
          <w:color w:val="1E3A8A"/>
          <w:rtl/>
        </w:rPr>
        <w:t>אשרי</w:t>
      </w:r>
      <w:r>
        <w:rPr>
          <w:rFonts w:cs="David"/>
        </w:rPr>
        <w:t>)</w:t>
      </w:r>
      <w:r>
        <w:rPr>
          <w:rFonts w:cs="David"/>
        </w:rPr>
        <w:t xml:space="preserve">, </w:t>
      </w:r>
      <w:r>
        <w:rPr>
          <w:rFonts w:cs="David"/>
          <w:i/>
        </w:rPr>
        <w:t>Lamnatzeach</w:t>
      </w:r>
      <w:r>
        <w:rPr>
          <w:rFonts w:cs="David"/>
        </w:rPr>
        <w:t xml:space="preserve"> (</w:t>
      </w:r>
      <w:r>
        <w:rPr>
          <w:rFonts w:cs="David" w:ascii="David" w:hAnsi="David"/>
          <w:color w:val="1E3A8A"/>
          <w:rtl/>
        </w:rPr>
        <w:t>למנצח</w:t>
      </w:r>
      <w:r>
        <w:rPr>
          <w:rFonts w:cs="David"/>
        </w:rPr>
        <w:t>)</w:t>
      </w:r>
      <w:r>
        <w:rPr>
          <w:rFonts w:cs="David"/>
        </w:rPr>
        <w:t xml:space="preserve"> and </w:t>
      </w:r>
      <w:r>
        <w:rPr>
          <w:rFonts w:cs="David"/>
          <w:i/>
        </w:rPr>
        <w:t>Uva LeTzion</w:t>
      </w:r>
      <w:r>
        <w:rPr>
          <w:rFonts w:cs="David"/>
        </w:rPr>
        <w:t xml:space="preserve"> (</w:t>
      </w:r>
      <w:r>
        <w:rPr>
          <w:rFonts w:cs="David" w:ascii="David" w:hAnsi="David"/>
          <w:color w:val="1E3A8A"/>
          <w:rtl/>
        </w:rPr>
        <w:t>ובא לציון</w:t>
      </w:r>
      <w:r>
        <w:rPr>
          <w:rFonts w:cs="David"/>
        </w:rPr>
        <w:t>)</w:t>
      </w:r>
      <w:r>
        <w:rPr>
          <w:rFonts w:cs="David"/>
        </w:rPr>
        <w:t xml:space="preserve">. That is what </w:t>
      </w:r>
      <w:r>
        <w:rPr>
          <w:rFonts w:cs="David"/>
          <w:i/>
        </w:rPr>
        <w:t>Rav Natronai</w:t>
      </w:r>
      <w:r>
        <w:rPr>
          <w:rFonts w:cs="David"/>
        </w:rPr>
        <w:t xml:space="preserve"> (</w:t>
      </w:r>
      <w:r>
        <w:rPr>
          <w:rFonts w:cs="David" w:ascii="David" w:hAnsi="David"/>
          <w:color w:val="1E3A8A"/>
          <w:rtl/>
        </w:rPr>
        <w:t>רב נטרונאי</w:t>
      </w:r>
      <w:r>
        <w:rPr>
          <w:rFonts w:cs="David"/>
        </w:rPr>
        <w:t>)</w:t>
      </w:r>
      <w:r>
        <w:rPr>
          <w:rFonts w:cs="David"/>
        </w:rPr>
        <w:t xml:space="preserve"> wrote to Lucena: do the same.</w:t>
      </w:r>
    </w:p>
    <w:p>
      <w:pPr>
        <w:ind w:left="360"/>
      </w:pPr>
      <w:r>
        <w:rPr>
          <w:rFonts w:cs="David"/>
          <w:b/>
          <w:color w:val="2A2A2A"/>
          <w:sz w:val="22"/>
        </w:rPr>
        <w:t>A Legend of the Gaonic Era.</w:t>
      </w:r>
      <w:r>
        <w:rPr>
          <w:rFonts w:cs="David"/>
          <w:color w:val="2A2A2A"/>
          <w:sz w:val="22"/>
        </w:rPr>
        <w:t xml:space="preserve">  The lecturer observes that stories of the great did not begin with the </w:t>
      </w:r>
      <w:r>
        <w:rPr>
          <w:rFonts w:cs="David"/>
          <w:i/>
          <w:color w:val="2A2A2A"/>
          <w:sz w:val="22"/>
        </w:rPr>
        <w:t>Baal Shem Tov</w:t>
      </w:r>
      <w:r>
        <w:rPr>
          <w:rFonts w:cs="David"/>
          <w:color w:val="2A2A2A"/>
          <w:sz w:val="22"/>
        </w:rPr>
        <w:t xml:space="preserve"> (</w:t>
      </w:r>
      <w:r>
        <w:rPr>
          <w:rFonts w:cs="David" w:ascii="David" w:hAnsi="David"/>
          <w:color w:val="1E3A8A"/>
          <w:sz w:val="22"/>
          <w:rtl/>
        </w:rPr>
        <w:t>בעל שם טוב</w:t>
      </w:r>
      <w:r>
        <w:rPr>
          <w:rFonts w:cs="David"/>
          <w:color w:val="2A2A2A"/>
          <w:sz w:val="22"/>
        </w:rPr>
        <w:t>)</w:t>
      </w:r>
      <w:r>
        <w:rPr>
          <w:rFonts w:cs="David"/>
          <w:color w:val="2A2A2A"/>
          <w:sz w:val="22"/>
        </w:rPr>
        <w:t xml:space="preserve">; even the </w:t>
      </w:r>
      <w:r>
        <w:rPr>
          <w:rFonts w:cs="David"/>
          <w:i/>
          <w:color w:val="2A2A2A"/>
          <w:sz w:val="22"/>
        </w:rPr>
        <w:t>Geonim</w:t>
      </w:r>
      <w:r>
        <w:rPr>
          <w:rFonts w:cs="David"/>
          <w:color w:val="2A2A2A"/>
          <w:sz w:val="22"/>
        </w:rPr>
        <w:t xml:space="preserve"> (</w:t>
      </w:r>
      <w:r>
        <w:rPr>
          <w:rFonts w:cs="David" w:ascii="David" w:hAnsi="David"/>
          <w:color w:val="1E3A8A"/>
          <w:sz w:val="22"/>
          <w:rtl/>
        </w:rPr>
        <w:t>גאונים</w:t>
      </w:r>
      <w:r>
        <w:rPr>
          <w:rFonts w:cs="David"/>
          <w:color w:val="2A2A2A"/>
          <w:sz w:val="22"/>
        </w:rPr>
        <w:t>)</w:t>
      </w:r>
      <w:r>
        <w:rPr>
          <w:rFonts w:cs="David"/>
          <w:color w:val="2A2A2A"/>
          <w:sz w:val="22"/>
        </w:rPr>
        <w:t xml:space="preserve"> have legends. </w:t>
      </w:r>
      <w:r>
        <w:rPr>
          <w:rFonts w:cs="David"/>
          <w:i/>
          <w:color w:val="2A2A2A"/>
          <w:sz w:val="22"/>
        </w:rPr>
        <w:t>Rav Natronai</w:t>
      </w:r>
      <w:r>
        <w:rPr>
          <w:rFonts w:cs="David"/>
          <w:color w:val="2A2A2A"/>
          <w:sz w:val="22"/>
        </w:rPr>
        <w:t xml:space="preserve"> (</w:t>
      </w:r>
      <w:r>
        <w:rPr>
          <w:rFonts w:cs="David" w:ascii="David" w:hAnsi="David"/>
          <w:color w:val="1E3A8A"/>
          <w:sz w:val="22"/>
          <w:rtl/>
        </w:rPr>
        <w:t>רב נטרונאי</w:t>
      </w:r>
      <w:r>
        <w:rPr>
          <w:rFonts w:cs="David"/>
          <w:color w:val="2A2A2A"/>
          <w:sz w:val="22"/>
        </w:rPr>
        <w:t>)</w:t>
      </w:r>
      <w:r>
        <w:rPr>
          <w:rFonts w:cs="David"/>
          <w:color w:val="2A2A2A"/>
          <w:sz w:val="22"/>
        </w:rPr>
        <w:t xml:space="preserve"> was so close to the communities of Spain that after his death a story spread that he had once appeared among them suddenly, by </w:t>
      </w:r>
      <w:r>
        <w:rPr>
          <w:rFonts w:cs="David"/>
          <w:i/>
          <w:color w:val="2A2A2A"/>
          <w:sz w:val="22"/>
        </w:rPr>
        <w:t>kefitzas haderech</w:t>
      </w:r>
      <w:r>
        <w:rPr>
          <w:rFonts w:cs="David"/>
          <w:color w:val="2A2A2A"/>
          <w:sz w:val="22"/>
        </w:rPr>
        <w:t xml:space="preserve"> (</w:t>
      </w:r>
      <w:r>
        <w:rPr>
          <w:rFonts w:cs="David" w:ascii="David" w:hAnsi="David"/>
          <w:color w:val="1E3A8A"/>
          <w:sz w:val="22"/>
          <w:rtl/>
        </w:rPr>
        <w:t>קפיצת הדרך</w:t>
      </w:r>
      <w:r>
        <w:rPr>
          <w:rFonts w:cs="David"/>
          <w:color w:val="2A2A2A"/>
          <w:sz w:val="22"/>
        </w:rPr>
        <w:t>)</w:t>
      </w:r>
      <w:r>
        <w:rPr>
          <w:rFonts w:cs="David"/>
          <w:color w:val="2A2A2A"/>
          <w:sz w:val="22"/>
        </w:rPr>
        <w:t xml:space="preserve">, from Babylonia, taught Torah, and returned. A century later </w:t>
      </w:r>
      <w:r>
        <w:rPr>
          <w:rFonts w:cs="David"/>
          <w:i/>
          <w:color w:val="2A2A2A"/>
          <w:sz w:val="22"/>
        </w:rPr>
        <w:t>Rav Hai Gaon</w:t>
      </w:r>
      <w:r>
        <w:rPr>
          <w:rFonts w:cs="David"/>
          <w:color w:val="2A2A2A"/>
          <w:sz w:val="22"/>
        </w:rPr>
        <w:t xml:space="preserve"> (</w:t>
      </w:r>
      <w:r>
        <w:rPr>
          <w:rFonts w:cs="David" w:ascii="David" w:hAnsi="David"/>
          <w:color w:val="1E3A8A"/>
          <w:sz w:val="22"/>
          <w:rtl/>
        </w:rPr>
        <w:t>רב האי גאון</w:t>
      </w:r>
      <w:r>
        <w:rPr>
          <w:rFonts w:cs="David"/>
          <w:color w:val="2A2A2A"/>
          <w:sz w:val="22"/>
        </w:rPr>
        <w:t>)</w:t>
      </w:r>
      <w:r>
        <w:rPr>
          <w:rFonts w:cs="David"/>
          <w:color w:val="2A2A2A"/>
          <w:sz w:val="22"/>
        </w:rPr>
        <w:t xml:space="preserve"> received a letter from Spain asking whether it was true, and replied that it never happened: he did not know who had fooled them; there are wonders, and Jacob our father had </w:t>
      </w:r>
      <w:r>
        <w:rPr>
          <w:rFonts w:cs="David"/>
          <w:i/>
          <w:color w:val="2A2A2A"/>
          <w:sz w:val="22"/>
        </w:rPr>
        <w:t>kefitzas haderech</w:t>
      </w:r>
      <w:r>
        <w:rPr>
          <w:rFonts w:cs="David"/>
          <w:color w:val="2A2A2A"/>
          <w:sz w:val="22"/>
        </w:rPr>
        <w:t xml:space="preserve"> (</w:t>
      </w:r>
      <w:r>
        <w:rPr>
          <w:rFonts w:cs="David" w:ascii="David" w:hAnsi="David"/>
          <w:color w:val="1E3A8A"/>
          <w:sz w:val="22"/>
          <w:rtl/>
        </w:rPr>
        <w:t>קפיצת הדרך</w:t>
      </w:r>
      <w:r>
        <w:rPr>
          <w:rFonts w:cs="David"/>
          <w:color w:val="2A2A2A"/>
          <w:sz w:val="22"/>
        </w:rPr>
        <w:t>)</w:t>
      </w:r>
      <w:r>
        <w:rPr>
          <w:rFonts w:cs="David"/>
          <w:color w:val="2A2A2A"/>
          <w:sz w:val="22"/>
        </w:rPr>
        <w:t xml:space="preserve">, but not this. Someone had appeared in Spain claiming to be </w:t>
      </w:r>
      <w:r>
        <w:rPr>
          <w:rFonts w:cs="David"/>
          <w:i/>
          <w:color w:val="2A2A2A"/>
          <w:sz w:val="22"/>
        </w:rPr>
        <w:t>Rav Natronai</w:t>
      </w:r>
      <w:r>
        <w:rPr>
          <w:rFonts w:cs="David"/>
          <w:color w:val="2A2A2A"/>
          <w:sz w:val="22"/>
        </w:rPr>
        <w:t xml:space="preserve"> (</w:t>
      </w:r>
      <w:r>
        <w:rPr>
          <w:rFonts w:cs="David" w:ascii="David" w:hAnsi="David"/>
          <w:color w:val="1E3A8A"/>
          <w:sz w:val="22"/>
          <w:rtl/>
        </w:rPr>
        <w:t>רב נטרונאי</w:t>
      </w:r>
      <w:r>
        <w:rPr>
          <w:rFonts w:cs="David"/>
          <w:color w:val="2A2A2A"/>
          <w:sz w:val="22"/>
        </w:rPr>
        <w:t>)</w:t>
      </w:r>
      <w:r>
        <w:rPr>
          <w:rFonts w:cs="David"/>
          <w:color w:val="2A2A2A"/>
          <w:sz w:val="22"/>
        </w:rPr>
        <w:t xml:space="preserve"> and invented the tale.</w:t>
      </w:r>
      <w:r>
        <w:rPr>
          <w:rFonts w:cs="David"/>
          <w:color w:val="B8860B"/>
          <w:vertAlign w:val="superscript"/>
        </w:rPr>
        <w:t>[23]</w:t>
      </w:r>
    </w:p>
    <w:p>
      <w:pPr>
        <w:spacing w:before="160"/>
      </w:pPr>
      <w:r>
        <w:rPr>
          <w:rFonts w:cs="David"/>
          <w:i/>
          <w:color w:val="B8860B"/>
          <w:sz w:val="24"/>
        </w:rPr>
        <w:t>The End of Lucena</w:t>
      </w:r>
    </w:p>
    <w:p>
      <w:r>
        <w:rPr>
          <w:rFonts w:cs="David"/>
        </w:rPr>
        <w:t xml:space="preserve">Lucena was so significant that the </w:t>
      </w:r>
      <w:r>
        <w:rPr>
          <w:rFonts w:cs="David"/>
          <w:i/>
        </w:rPr>
        <w:t>Rif</w:t>
      </w:r>
      <w:r>
        <w:rPr>
          <w:rFonts w:cs="David"/>
        </w:rPr>
        <w:t xml:space="preserve"> (</w:t>
      </w:r>
      <w:r>
        <w:rPr>
          <w:rFonts w:cs="David" w:ascii="David" w:hAnsi="David"/>
          <w:color w:val="1E3A8A"/>
          <w:rtl/>
        </w:rPr>
        <w:t>רי״ף</w:t>
      </w:r>
      <w:r>
        <w:rPr>
          <w:rFonts w:cs="David"/>
        </w:rPr>
        <w:t>)</w:t>
      </w:r>
      <w:r>
        <w:rPr>
          <w:rFonts w:cs="David"/>
        </w:rPr>
        <w:t xml:space="preserve">, </w:t>
      </w:r>
      <w:r>
        <w:rPr>
          <w:rFonts w:cs="David"/>
          <w:i/>
        </w:rPr>
        <w:t>Rabbeinu Yitzchak Alfasi</w:t>
      </w:r>
      <w:r>
        <w:rPr>
          <w:rFonts w:cs="David"/>
        </w:rPr>
        <w:t xml:space="preserve"> (</w:t>
      </w:r>
      <w:r>
        <w:rPr>
          <w:rFonts w:cs="David" w:ascii="David" w:hAnsi="David"/>
          <w:color w:val="1E3A8A"/>
          <w:rtl/>
        </w:rPr>
        <w:t>רבינו יצחק אלפסי</w:t>
      </w:r>
      <w:r>
        <w:rPr>
          <w:rFonts w:cs="David"/>
        </w:rPr>
        <w:t>)</w:t>
      </w:r>
      <w:r>
        <w:rPr>
          <w:rFonts w:cs="David"/>
        </w:rPr>
        <w:t xml:space="preserve">, whose work stands at the back of every </w:t>
      </w:r>
      <w:r>
        <w:rPr>
          <w:rFonts w:cs="David"/>
          <w:i/>
        </w:rPr>
        <w:t>Gemara</w:t>
      </w:r>
      <w:r>
        <w:rPr>
          <w:rFonts w:cs="David"/>
        </w:rPr>
        <w:t xml:space="preserve"> (</w:t>
      </w:r>
      <w:r>
        <w:rPr>
          <w:rFonts w:cs="David" w:ascii="David" w:hAnsi="David"/>
          <w:color w:val="1E3A8A"/>
          <w:rtl/>
        </w:rPr>
        <w:t>גמרא</w:t>
      </w:r>
      <w:r>
        <w:rPr>
          <w:rFonts w:cs="David"/>
        </w:rPr>
        <w:t>)</w:t>
      </w:r>
      <w:r>
        <w:rPr>
          <w:rFonts w:cs="David"/>
        </w:rPr>
        <w:t xml:space="preserve">, was its rabbi; so were </w:t>
      </w:r>
      <w:r>
        <w:rPr>
          <w:rFonts w:cs="David"/>
          <w:i/>
        </w:rPr>
        <w:t>Rabbi Yitzchak ibn Ghayyat</w:t>
      </w:r>
      <w:r>
        <w:rPr>
          <w:rFonts w:cs="David"/>
        </w:rPr>
        <w:t xml:space="preserve"> (</w:t>
      </w:r>
      <w:r>
        <w:rPr>
          <w:rFonts w:cs="David" w:ascii="David" w:hAnsi="David"/>
          <w:color w:val="1E3A8A"/>
          <w:rtl/>
        </w:rPr>
        <w:t>ר״י גאת</w:t>
      </w:r>
      <w:r>
        <w:rPr>
          <w:rFonts w:cs="David"/>
        </w:rPr>
        <w:t>)</w:t>
      </w:r>
      <w:r>
        <w:rPr>
          <w:rFonts w:cs="David"/>
        </w:rPr>
        <w:t xml:space="preserve"> and </w:t>
      </w:r>
      <w:r>
        <w:rPr>
          <w:rFonts w:cs="David"/>
          <w:i/>
        </w:rPr>
        <w:t>Rabbi Yosef ibn Migash</w:t>
      </w:r>
      <w:r>
        <w:rPr>
          <w:rFonts w:cs="David"/>
        </w:rPr>
        <w:t xml:space="preserve"> (</w:t>
      </w:r>
      <w:r>
        <w:rPr>
          <w:rFonts w:cs="David" w:ascii="David" w:hAnsi="David"/>
          <w:color w:val="1E3A8A"/>
          <w:rtl/>
        </w:rPr>
        <w:t>רי מיגאש</w:t>
      </w:r>
      <w:r>
        <w:rPr>
          <w:rFonts w:cs="David"/>
        </w:rPr>
        <w:t>)</w:t>
      </w:r>
      <w:r>
        <w:rPr>
          <w:rFonts w:cs="David"/>
        </w:rPr>
        <w:t>. Today there are no Jews in Lucena. About twenty years earlier, the lecturer reports, Spanish newspapers in Córdoba told that road works at Lucena had uncovered an ancient cemetery with more than three hundred graves, proving at last the size of the community. Only two of the three hundred gravestones remained intact and legible. The reason, he explains, is that Spanish law for many years allowed gravestones of a Jewish cemetery to be taken for building; who knows how many Spanish homes were built from the stones of our forefathers.</w:t>
      </w:r>
    </w:p>
    <w:p>
      <w:r>
        <w:rPr>
          <w:rFonts w:cs="David"/>
        </w:rPr>
        <w:t>The lecturer recalls a similar sight in Nikolsburg, in Czechoslovakia, where a fence in the city, not far from the cemetery, is built entirely of gravestones, a sight he found heartrending. Such is the story of Israel in exile; but the Torah remains. The gravestones are gone, and we are alive and learning the same Torah the Rif learned.</w:t>
      </w:r>
    </w:p>
    <w:p>
      <w:pPr>
        <w:spacing w:before="280"/>
      </w:pPr>
      <w:r>
        <w:rPr>
          <w:rFonts w:cs="David"/>
          <w:b/>
          <w:color w:val="1E3A8A"/>
          <w:sz w:val="26"/>
        </w:rPr>
        <w:t>IX. WHY LAMNATZEACH HERE, AND WHAT IT MEANS</w:t>
      </w:r>
    </w:p>
    <w:p>
      <w:pPr>
        <w:spacing w:before="160"/>
      </w:pPr>
      <w:r>
        <w:rPr>
          <w:rFonts w:cs="David"/>
          <w:i/>
          <w:color w:val="B8860B"/>
          <w:sz w:val="24"/>
        </w:rPr>
        <w:t>The Eighteen Chapters</w:t>
      </w:r>
    </w:p>
    <w:p>
      <w:r>
        <w:rPr>
          <w:rFonts w:cs="David"/>
        </w:rPr>
        <w:t xml:space="preserve">In the structure of </w:t>
      </w:r>
      <w:r>
        <w:rPr>
          <w:rFonts w:cs="David"/>
          <w:i/>
        </w:rPr>
        <w:t>Tehillim</w:t>
      </w:r>
      <w:r>
        <w:rPr>
          <w:rFonts w:cs="David"/>
        </w:rPr>
        <w:t xml:space="preserve"> (</w:t>
      </w:r>
      <w:r>
        <w:rPr>
          <w:rFonts w:cs="David" w:ascii="David" w:hAnsi="David"/>
          <w:color w:val="1E3A8A"/>
          <w:rtl/>
        </w:rPr>
        <w:t>תהלים</w:t>
      </w:r>
      <w:r>
        <w:rPr>
          <w:rFonts w:cs="David"/>
        </w:rPr>
        <w:t>)</w:t>
      </w:r>
      <w:r>
        <w:rPr>
          <w:rFonts w:cs="David"/>
        </w:rPr>
        <w:t xml:space="preserve">, the </w:t>
      </w:r>
      <w:r>
        <w:rPr>
          <w:rFonts w:cs="David"/>
          <w:i/>
        </w:rPr>
        <w:t>Gemara</w:t>
      </w:r>
      <w:r>
        <w:rPr>
          <w:rFonts w:cs="David"/>
        </w:rPr>
        <w:t xml:space="preserve"> (</w:t>
      </w:r>
      <w:r>
        <w:rPr>
          <w:rFonts w:cs="David" w:ascii="David" w:hAnsi="David"/>
          <w:color w:val="1E3A8A"/>
          <w:rtl/>
        </w:rPr>
        <w:t>גמרא</w:t>
      </w:r>
      <w:r>
        <w:rPr>
          <w:rFonts w:cs="David"/>
        </w:rPr>
        <w:t>)</w:t>
      </w:r>
      <w:r>
        <w:rPr>
          <w:rFonts w:cs="David"/>
          <w:color w:val="B8860B"/>
          <w:vertAlign w:val="superscript"/>
        </w:rPr>
        <w:t>[24]</w:t>
      </w:r>
      <w:r>
        <w:rPr>
          <w:rFonts w:cs="David"/>
        </w:rPr>
        <w:t xml:space="preserve"> states several times that chapters one and two were originally a single chapter. Our twentieth chapter is therefore, in the older count, the nineteenth. And the </w:t>
      </w:r>
      <w:r>
        <w:rPr>
          <w:rFonts w:cs="David"/>
          <w:i/>
        </w:rPr>
        <w:t>Gemara</w:t>
      </w:r>
      <w:r>
        <w:rPr>
          <w:rFonts w:cs="David"/>
        </w:rPr>
        <w:t xml:space="preserve"> (</w:t>
      </w:r>
      <w:r>
        <w:rPr>
          <w:rFonts w:cs="David" w:ascii="David" w:hAnsi="David"/>
          <w:color w:val="1E3A8A"/>
          <w:rtl/>
        </w:rPr>
        <w:t>גמרא</w:t>
      </w:r>
      <w:r>
        <w:rPr>
          <w:rFonts w:cs="David"/>
        </w:rPr>
        <w:t>)</w:t>
      </w:r>
      <w:r>
        <w:rPr>
          <w:rFonts w:cs="David"/>
        </w:rPr>
        <w:t xml:space="preserve"> counts the eighteen blessings of </w:t>
      </w:r>
      <w:r>
        <w:rPr>
          <w:rFonts w:cs="David"/>
          <w:i/>
        </w:rPr>
        <w:t>Shemoneh Esrei</w:t>
      </w:r>
      <w:r>
        <w:rPr>
          <w:rFonts w:cs="David"/>
        </w:rPr>
        <w:t xml:space="preserve"> (</w:t>
      </w:r>
      <w:r>
        <w:rPr>
          <w:rFonts w:cs="David" w:ascii="David" w:hAnsi="David"/>
          <w:color w:val="1E3A8A"/>
          <w:rtl/>
        </w:rPr>
        <w:t>שמונה עשרה</w:t>
      </w:r>
      <w:r>
        <w:rPr>
          <w:rFonts w:cs="David"/>
        </w:rPr>
        <w:t>)</w:t>
      </w:r>
      <w:r>
        <w:rPr>
          <w:rFonts w:cs="David"/>
        </w:rPr>
        <w:t xml:space="preserve"> against the first eighteen chapters. After the eighteen comes, in that count, </w:t>
      </w:r>
      <w:r>
        <w:rPr>
          <w:rFonts w:cs="David"/>
          <w:i/>
        </w:rPr>
        <w:t>Lamnatzeach Mizmor LeDavid</w:t>
      </w:r>
      <w:r>
        <w:rPr>
          <w:rFonts w:cs="David"/>
        </w:rPr>
        <w:t xml:space="preserve"> (</w:t>
      </w:r>
      <w:r>
        <w:rPr>
          <w:rFonts w:cs="David" w:ascii="David" w:hAnsi="David"/>
          <w:color w:val="1E3A8A"/>
          <w:rtl/>
        </w:rPr>
        <w:t>למנצח מזמור לדוד</w:t>
      </w:r>
      <w:r>
        <w:rPr>
          <w:rFonts w:cs="David"/>
        </w:rPr>
        <w:t>)</w:t>
      </w:r>
      <w:r>
        <w:rPr>
          <w:rFonts w:cs="David"/>
        </w:rPr>
        <w:t xml:space="preserve">. After our eighteen blessings, the lecturer concludes, we say </w:t>
      </w:r>
      <w:r>
        <w:rPr>
          <w:rFonts w:cs="David"/>
          <w:i/>
        </w:rPr>
        <w:t>Lamnatzeach</w:t>
      </w:r>
      <w:r>
        <w:rPr>
          <w:rFonts w:cs="David"/>
        </w:rPr>
        <w:t xml:space="preserve"> (</w:t>
      </w:r>
      <w:r>
        <w:rPr>
          <w:rFonts w:cs="David" w:ascii="David" w:hAnsi="David"/>
          <w:color w:val="1E3A8A"/>
          <w:rtl/>
        </w:rPr>
        <w:t>למנצח</w:t>
      </w:r>
      <w:r>
        <w:rPr>
          <w:rFonts w:cs="David"/>
        </w:rPr>
        <w:t>)</w:t>
      </w:r>
      <w:r>
        <w:rPr>
          <w:rFonts w:cs="David"/>
        </w:rPr>
        <w:t>.</w:t>
      </w:r>
    </w:p>
    <w:p>
      <w:pPr>
        <w:spacing w:before="160"/>
      </w:pPr>
      <w:r>
        <w:rPr>
          <w:rFonts w:cs="David"/>
          <w:i/>
          <w:color w:val="B8860B"/>
          <w:sz w:val="24"/>
        </w:rPr>
        <w:t>What the Chapter Says</w:t>
      </w:r>
    </w:p>
    <w:p>
      <w:r>
        <w:rPr>
          <w:rFonts w:cs="David" w:ascii="David" w:hAnsi="David"/>
          <w:color w:val="1E3A8A"/>
          <w:rtl/>
        </w:rPr>
        <w:t>יענך ה׳ ביום צרה</w:t>
      </w:r>
      <w:r>
        <w:rPr>
          <w:rFonts w:cs="David"/>
          <w:color w:val="B8860B"/>
          <w:vertAlign w:val="superscript"/>
        </w:rPr>
        <w:t>[25]</w:t>
      </w:r>
      <w:r>
        <w:rPr>
          <w:rFonts w:cs="David"/>
        </w:rPr>
        <w:t>: Master of the universe, answer the prayers we have just begged for.</w:t>
      </w:r>
    </w:p>
    <w:p>
      <w:pPr>
        <w:spacing w:before="160"/>
      </w:pPr>
      <w:r>
        <w:rPr>
          <w:rFonts w:cs="David"/>
          <w:i/>
          <w:color w:val="B8860B"/>
          <w:sz w:val="24"/>
        </w:rPr>
        <w:t>A Blessing Rooted in the Yerushalmi</w:t>
      </w:r>
    </w:p>
    <w:p>
      <w:r>
        <w:rPr>
          <w:rFonts w:cs="David"/>
        </w:rPr>
        <w:t xml:space="preserve">The lecturer reports something he had come across the night before. The custom today, especially among </w:t>
      </w:r>
      <w:r>
        <w:rPr>
          <w:rFonts w:cs="David"/>
          <w:i/>
        </w:rPr>
        <w:t>chassidim</w:t>
      </w:r>
      <w:r>
        <w:rPr>
          <w:rFonts w:cs="David"/>
        </w:rPr>
        <w:t xml:space="preserve"> (</w:t>
      </w:r>
      <w:r>
        <w:rPr>
          <w:rFonts w:cs="David" w:ascii="David" w:hAnsi="David"/>
          <w:color w:val="1E3A8A"/>
          <w:rtl/>
        </w:rPr>
        <w:t>חסידים</w:t>
      </w:r>
      <w:r>
        <w:rPr>
          <w:rFonts w:cs="David"/>
        </w:rPr>
        <w:t>)</w:t>
      </w:r>
      <w:r>
        <w:rPr>
          <w:rFonts w:cs="David"/>
        </w:rPr>
        <w:t xml:space="preserve">, at the graves of the righteous or after the prayers of the </w:t>
      </w:r>
      <w:r>
        <w:rPr>
          <w:rFonts w:cs="David"/>
          <w:i/>
        </w:rPr>
        <w:t>Yamim Noraim</w:t>
      </w:r>
      <w:r>
        <w:rPr>
          <w:rFonts w:cs="David"/>
        </w:rPr>
        <w:t xml:space="preserve"> (</w:t>
      </w:r>
      <w:r>
        <w:rPr>
          <w:rFonts w:cs="David" w:ascii="David" w:hAnsi="David"/>
          <w:color w:val="1E3A8A"/>
          <w:rtl/>
        </w:rPr>
        <w:t>ימים נוראים</w:t>
      </w:r>
      <w:r>
        <w:rPr>
          <w:rFonts w:cs="David"/>
        </w:rPr>
        <w:t>)</w:t>
      </w:r>
      <w:r>
        <w:rPr>
          <w:rFonts w:cs="David"/>
        </w:rPr>
        <w:t xml:space="preserve">, is that one says to another </w:t>
      </w:r>
      <w:r>
        <w:rPr>
          <w:rFonts w:cs="David" w:ascii="David" w:hAnsi="David"/>
          <w:color w:val="1E3A8A"/>
          <w:rtl/>
        </w:rPr>
        <w:t>מ׳האט געפועלט אלעס גוט</w:t>
      </w:r>
      <w:r>
        <w:rPr>
          <w:rFonts w:cs="David"/>
        </w:rPr>
        <w:t xml:space="preserve">, in Yiddish, that all one prayed for should come true; it has even been set to a song. The </w:t>
      </w:r>
      <w:r>
        <w:rPr>
          <w:rFonts w:cs="David"/>
          <w:i/>
        </w:rPr>
        <w:t>Yerushalmi</w:t>
      </w:r>
      <w:r>
        <w:rPr>
          <w:rFonts w:cs="David"/>
        </w:rPr>
        <w:t xml:space="preserve"> (</w:t>
      </w:r>
      <w:r>
        <w:rPr>
          <w:rFonts w:cs="David" w:ascii="David" w:hAnsi="David"/>
          <w:color w:val="1E3A8A"/>
          <w:rtl/>
        </w:rPr>
        <w:t>ירושלמי</w:t>
      </w:r>
      <w:r>
        <w:rPr>
          <w:rFonts w:cs="David"/>
        </w:rPr>
        <w:t>)</w:t>
      </w:r>
      <w:r>
        <w:rPr>
          <w:rFonts w:cs="David"/>
        </w:rPr>
        <w:t xml:space="preserve"> in </w:t>
      </w:r>
      <w:r>
        <w:rPr>
          <w:rFonts w:cs="David"/>
          <w:i/>
        </w:rPr>
        <w:t>Berachos</w:t>
      </w:r>
      <w:r>
        <w:rPr>
          <w:rFonts w:cs="David"/>
        </w:rPr>
        <w:t xml:space="preserve"> (</w:t>
      </w:r>
      <w:r>
        <w:rPr>
          <w:rFonts w:cs="David" w:ascii="David" w:hAnsi="David"/>
          <w:color w:val="1E3A8A"/>
          <w:rtl/>
        </w:rPr>
        <w:t>ברכות</w:t>
      </w:r>
      <w:r>
        <w:rPr>
          <w:rFonts w:cs="David"/>
        </w:rPr>
        <w:t>)</w:t>
      </w:r>
      <w:r>
        <w:rPr>
          <w:rFonts w:cs="David"/>
        </w:rPr>
        <w:t>, he says, is the source.</w:t>
      </w:r>
      <w:r>
        <w:rPr>
          <w:rFonts w:cs="David"/>
          <w:color w:val="B8860B"/>
          <w:vertAlign w:val="superscript"/>
        </w:rPr>
        <w:t>[26]</w:t>
      </w:r>
      <w:r>
        <w:rPr>
          <w:rFonts w:cs="David"/>
        </w:rPr>
        <w:t xml:space="preserve"> On the verse </w:t>
      </w:r>
      <w:r>
        <w:rPr>
          <w:rFonts w:cs="David" w:ascii="David" w:hAnsi="David"/>
          <w:color w:val="1E3A8A"/>
          <w:rtl/>
        </w:rPr>
        <w:t>יענך ה׳ ביום צרה</w:t>
      </w:r>
      <w:r>
        <w:rPr>
          <w:rFonts w:cs="David"/>
        </w:rPr>
        <w:t xml:space="preserve"> it teaches that when one sees a person praying, crying and asking, then after he finishes it is fitting to go to him and say that the Holy One should accept his prayer, and that this should be done every day.</w:t>
      </w:r>
    </w:p>
    <w:p>
      <w:pPr>
        <w:spacing w:before="160"/>
      </w:pPr>
      <w:r>
        <w:rPr>
          <w:rFonts w:cs="David"/>
          <w:i/>
          <w:color w:val="B8860B"/>
          <w:sz w:val="24"/>
        </w:rPr>
        <w:t>The Communal Dimension</w:t>
      </w:r>
    </w:p>
    <w:p>
      <w:r>
        <w:rPr>
          <w:rFonts w:cs="David"/>
        </w:rPr>
        <w:t xml:space="preserve">We do this every day. The </w:t>
      </w:r>
      <w:r>
        <w:rPr>
          <w:rFonts w:cs="David"/>
          <w:i/>
        </w:rPr>
        <w:t>Rishonim</w:t>
      </w:r>
      <w:r>
        <w:rPr>
          <w:rFonts w:cs="David"/>
        </w:rPr>
        <w:t xml:space="preserve"> (</w:t>
      </w:r>
      <w:r>
        <w:rPr>
          <w:rFonts w:cs="David" w:ascii="David" w:hAnsi="David"/>
          <w:color w:val="1E3A8A"/>
          <w:rtl/>
        </w:rPr>
        <w:t>ראשונים</w:t>
      </w:r>
      <w:r>
        <w:rPr>
          <w:rFonts w:cs="David"/>
        </w:rPr>
        <w:t>)</w:t>
      </w:r>
      <w:r>
        <w:rPr>
          <w:rFonts w:cs="David"/>
        </w:rPr>
        <w:t xml:space="preserve">, on the basis of the </w:t>
      </w:r>
      <w:r>
        <w:rPr>
          <w:rFonts w:cs="David"/>
          <w:i/>
        </w:rPr>
        <w:t>Yerushalmi</w:t>
      </w:r>
      <w:r>
        <w:rPr>
          <w:rFonts w:cs="David"/>
        </w:rPr>
        <w:t xml:space="preserve"> (</w:t>
      </w:r>
      <w:r>
        <w:rPr>
          <w:rFonts w:cs="David" w:ascii="David" w:hAnsi="David"/>
          <w:color w:val="1E3A8A"/>
          <w:rtl/>
        </w:rPr>
        <w:t>ירושלמי</w:t>
      </w:r>
      <w:r>
        <w:rPr>
          <w:rFonts w:cs="David"/>
        </w:rPr>
        <w:t>)</w:t>
      </w:r>
      <w:r>
        <w:rPr>
          <w:rFonts w:cs="David"/>
        </w:rPr>
        <w:t xml:space="preserve">, give this as the simple sense of reciting </w:t>
      </w:r>
      <w:r>
        <w:rPr>
          <w:rFonts w:cs="David"/>
          <w:i/>
        </w:rPr>
        <w:t>Lamnatzeach</w:t>
      </w:r>
      <w:r>
        <w:rPr>
          <w:rFonts w:cs="David"/>
        </w:rPr>
        <w:t xml:space="preserve"> (</w:t>
      </w:r>
      <w:r>
        <w:rPr>
          <w:rFonts w:cs="David" w:ascii="David" w:hAnsi="David"/>
          <w:color w:val="1E3A8A"/>
          <w:rtl/>
        </w:rPr>
        <w:t>למנצח</w:t>
      </w:r>
      <w:r>
        <w:rPr>
          <w:rFonts w:cs="David"/>
        </w:rPr>
        <w:t>)</w:t>
      </w:r>
      <w:r>
        <w:rPr>
          <w:rFonts w:cs="David"/>
        </w:rPr>
        <w:t xml:space="preserve"> at the close of davening: one is not speaking to oneself but to the congregation. Saying </w:t>
      </w:r>
      <w:r>
        <w:rPr>
          <w:rFonts w:cs="David" w:ascii="David" w:hAnsi="David"/>
          <w:color w:val="1E3A8A"/>
          <w:rtl/>
        </w:rPr>
        <w:t>יענך ה׳ ביום צרה</w:t>
      </w:r>
      <w:r>
        <w:rPr>
          <w:rFonts w:cs="David"/>
        </w:rPr>
        <w:t xml:space="preserve">, one blesses the person on one’s right and the person on one’s left, that God should answer all their prayers. It is not a selfish request. The lecturer calls it a beautiful intention for </w:t>
      </w:r>
      <w:r>
        <w:rPr>
          <w:rFonts w:cs="David"/>
          <w:i/>
        </w:rPr>
        <w:t>Lamnatzeach</w:t>
      </w:r>
      <w:r>
        <w:rPr>
          <w:rFonts w:cs="David"/>
        </w:rPr>
        <w:t xml:space="preserve"> (</w:t>
      </w:r>
      <w:r>
        <w:rPr>
          <w:rFonts w:cs="David" w:ascii="David" w:hAnsi="David"/>
          <w:color w:val="1E3A8A"/>
          <w:rtl/>
        </w:rPr>
        <w:t>למנצח</w:t>
      </w:r>
      <w:r>
        <w:rPr>
          <w:rFonts w:cs="David"/>
        </w:rPr>
        <w:t>)</w:t>
      </w:r>
      <w:r>
        <w:rPr>
          <w:rFonts w:cs="David"/>
        </w:rPr>
        <w:t>.</w:t>
      </w:r>
    </w:p>
    <w:p>
      <w:pPr>
        <w:spacing w:before="280"/>
      </w:pPr>
      <w:r>
        <w:rPr>
          <w:rFonts w:cs="David"/>
          <w:b/>
          <w:color w:val="1E3A8A"/>
          <w:sz w:val="26"/>
        </w:rPr>
        <w:t>X. CLOSING</w:t>
      </w:r>
    </w:p>
    <w:p>
      <w:r>
        <w:rPr>
          <w:rFonts w:cs="David"/>
        </w:rPr>
        <w:t xml:space="preserve">There is much more to say on </w:t>
      </w:r>
      <w:r>
        <w:rPr>
          <w:rFonts w:cs="David"/>
          <w:i/>
        </w:rPr>
        <w:t>Lamnatzeach</w:t>
      </w:r>
      <w:r>
        <w:rPr>
          <w:rFonts w:cs="David"/>
        </w:rPr>
        <w:t xml:space="preserve"> (</w:t>
      </w:r>
      <w:r>
        <w:rPr>
          <w:rFonts w:cs="David" w:ascii="David" w:hAnsi="David"/>
          <w:color w:val="1E3A8A"/>
          <w:rtl/>
        </w:rPr>
        <w:t>למנצח</w:t>
      </w:r>
      <w:r>
        <w:rPr>
          <w:rFonts w:cs="David"/>
        </w:rPr>
        <w:t>)</w:t>
      </w:r>
      <w:r>
        <w:rPr>
          <w:rFonts w:cs="David"/>
        </w:rPr>
        <w:t xml:space="preserve">, which is full of historical depth, and the lecturer promised to continue the following week. The discourse closed with the </w:t>
      </w:r>
      <w:r>
        <w:rPr>
          <w:rFonts w:cs="David"/>
          <w:i/>
        </w:rPr>
        <w:t>Mishnah</w:t>
      </w:r>
      <w:r>
        <w:rPr>
          <w:rFonts w:cs="David"/>
        </w:rPr>
        <w:t xml:space="preserve"> (</w:t>
      </w:r>
      <w:r>
        <w:rPr>
          <w:rFonts w:cs="David" w:ascii="David" w:hAnsi="David"/>
          <w:color w:val="1E3A8A"/>
          <w:rtl/>
        </w:rPr>
        <w:t>משנה</w:t>
      </w:r>
      <w:r>
        <w:rPr>
          <w:rFonts w:cs="David"/>
        </w:rPr>
        <w:t>)</w:t>
      </w:r>
      <w:r>
        <w:rPr>
          <w:rFonts w:cs="David"/>
        </w:rPr>
        <w:t xml:space="preserve">: </w:t>
      </w:r>
      <w:r>
        <w:rPr>
          <w:rFonts w:cs="David" w:ascii="David" w:hAnsi="David"/>
          <w:color w:val="1E3A8A"/>
          <w:rtl/>
        </w:rPr>
        <w:t>רבי חנניה בן עקשיא אומר רצה הקדוש ברוך הוא לזכות את ישראל</w:t>
      </w:r>
      <w:r>
        <w:rPr>
          <w:rFonts w:cs="David"/>
        </w:rPr>
        <w:t>.</w:t>
      </w:r>
      <w:r>
        <w:rPr>
          <w:rFonts w:cs="David"/>
          <w:color w:val="B8860B"/>
          <w:vertAlign w:val="superscript"/>
        </w:rPr>
        <w:t>[27]</w:t>
      </w:r>
    </w:p>
    <w:p>
      <w:pPr>
        <w:spacing w:before="480"/>
      </w:pPr>
      <w:r>
        <w:rPr>
          <w:rFonts w:cs="David" w:ascii="David" w:hAnsi="David"/>
          <w:b/>
          <w:color w:val="1E3A8A"/>
          <w:sz w:val="26"/>
          <w:rtl/>
        </w:rPr>
        <w:t>מראה מקומות</w:t>
      </w:r>
      <w:r>
        <w:rPr>
          <w:rFonts w:cs="David"/>
          <w:b/>
          <w:color w:val="1E3A8A"/>
          <w:sz w:val="26"/>
        </w:rPr>
        <w:t xml:space="preserve"> · MAREH MEKOMOS</w:t>
      </w:r>
    </w:p>
    <w:p>
      <w:pPr>
        <w:spacing w:after="120"/>
      </w:pPr>
      <w:r>
        <w:rPr>
          <w:rFonts w:cs="David"/>
          <w:i/>
          <w:color w:val="5A4B1A"/>
          <w:sz w:val="19"/>
        </w:rPr>
        <w:t>Each note gives the source and then what is and is not confirmed. Where the lecturer’s report could not be located it is marked as his.</w:t>
      </w:r>
    </w:p>
    <w:p>
      <w:pPr>
        <w:ind w:left="360" w:hanging="360"/>
      </w:pPr>
      <w:r>
        <w:rPr>
          <w:rFonts w:cs="David"/>
          <w:b/>
          <w:color w:val="1E3A8A"/>
        </w:rPr>
        <w:t xml:space="preserve">1.  </w:t>
      </w:r>
      <w:r>
        <w:rPr>
          <w:rFonts w:cs="David" w:ascii="David" w:hAnsi="David"/>
          <w:b/>
          <w:color w:val="1E3A8A"/>
          <w:rtl/>
        </w:rPr>
        <w:t>משנה מגילה ד׳:א׳</w:t>
      </w:r>
      <w:r>
        <w:rPr>
          <w:rFonts w:cs="David"/>
          <w:b/>
          <w:color w:val="1E3A8A"/>
        </w:rPr>
        <w:t xml:space="preserve">; </w:t>
      </w:r>
      <w:r>
        <w:rPr>
          <w:rFonts w:cs="David" w:ascii="David" w:hAnsi="David"/>
          <w:b/>
          <w:color w:val="1E3A8A"/>
          <w:rtl/>
        </w:rPr>
        <w:t>גמרא מגילה כ״א ע״א–ב</w:t>
      </w:r>
      <w:r>
        <w:rPr>
          <w:rFonts w:cs="David"/>
          <w:b/>
          <w:color w:val="1E3A8A"/>
        </w:rPr>
        <w:t>.</w:t>
      </w:r>
      <w:r>
        <w:rPr>
          <w:rFonts w:cs="David"/>
        </w:rPr>
        <w:t xml:space="preserve"> The Mishnah (Sefaria) fixes three readers on Monday, Thursday and </w:t>
      </w:r>
      <w:r>
        <w:rPr>
          <w:rFonts w:cs="David"/>
          <w:i/>
        </w:rPr>
        <w:t>Shabbos Minchah</w:t>
      </w:r>
      <w:r>
        <w:rPr>
          <w:rFonts w:cs="David"/>
        </w:rPr>
        <w:t xml:space="preserve"> (</w:t>
      </w:r>
      <w:r>
        <w:rPr>
          <w:rFonts w:cs="David" w:ascii="David" w:hAnsi="David"/>
          <w:color w:val="1E3A8A"/>
          <w:rtl/>
        </w:rPr>
        <w:t>שבת מנחה</w:t>
      </w:r>
      <w:r>
        <w:rPr>
          <w:rFonts w:cs="David"/>
        </w:rPr>
        <w:t>)</w:t>
      </w:r>
      <w:r>
        <w:rPr>
          <w:rFonts w:cs="David"/>
        </w:rPr>
        <w:t>, with a blessing only for the first and the last. The Gemara on 21b takes up the later enactment (see the note following). The lecturer’s statement that one not prepared may not read is his own ruling and was not located in the passage consulted.</w:t>
      </w:r>
    </w:p>
    <w:p>
      <w:pPr>
        <w:ind w:left="360" w:hanging="360"/>
      </w:pPr>
      <w:r>
        <w:rPr>
          <w:rFonts w:cs="David"/>
          <w:b/>
          <w:color w:val="1E3A8A"/>
        </w:rPr>
        <w:t xml:space="preserve">2.  </w:t>
      </w:r>
      <w:r>
        <w:rPr>
          <w:rFonts w:cs="David" w:ascii="David" w:hAnsi="David"/>
          <w:b/>
          <w:color w:val="1E3A8A"/>
          <w:rtl/>
        </w:rPr>
        <w:t>שלחן ערוך, אורח חיים רפ״ה</w:t>
      </w:r>
      <w:r>
        <w:rPr>
          <w:rFonts w:cs="David"/>
          <w:b/>
          <w:color w:val="1E3A8A"/>
        </w:rPr>
        <w:t xml:space="preserve">; </w:t>
      </w:r>
      <w:r>
        <w:rPr>
          <w:rFonts w:cs="David" w:ascii="David" w:hAnsi="David"/>
          <w:b/>
          <w:color w:val="1E3A8A"/>
          <w:rtl/>
        </w:rPr>
        <w:t>ברכות ח׳ ע״א</w:t>
      </w:r>
      <w:r>
        <w:rPr>
          <w:rFonts w:cs="David"/>
          <w:b/>
          <w:color w:val="1E3A8A"/>
        </w:rPr>
        <w:t>.</w:t>
      </w:r>
      <w:r>
        <w:rPr>
          <w:rFonts w:cs="David"/>
        </w:rPr>
        <w:t xml:space="preserve"> The obligation of </w:t>
      </w:r>
      <w:r>
        <w:rPr>
          <w:rFonts w:cs="David"/>
          <w:i/>
        </w:rPr>
        <w:t>shnayim mikra v’echad targum</w:t>
      </w:r>
      <w:r>
        <w:rPr>
          <w:rFonts w:cs="David"/>
        </w:rPr>
        <w:t xml:space="preserve"> (</w:t>
      </w:r>
      <w:r>
        <w:rPr>
          <w:rFonts w:cs="David" w:ascii="David" w:hAnsi="David"/>
          <w:color w:val="1E3A8A"/>
          <w:rtl/>
        </w:rPr>
        <w:t>שנים מקרא ואחד תרגום</w:t>
      </w:r>
      <w:r>
        <w:rPr>
          <w:rFonts w:cs="David"/>
        </w:rPr>
        <w:t>)</w:t>
      </w:r>
      <w:r>
        <w:rPr>
          <w:rFonts w:cs="David"/>
        </w:rPr>
        <w:t xml:space="preserve"> is from </w:t>
      </w:r>
      <w:r>
        <w:rPr>
          <w:rFonts w:cs="David"/>
          <w:i/>
        </w:rPr>
        <w:t>Berachos</w:t>
      </w:r>
      <w:r>
        <w:rPr>
          <w:rFonts w:cs="David"/>
        </w:rPr>
        <w:t xml:space="preserve"> (</w:t>
      </w:r>
      <w:r>
        <w:rPr>
          <w:rFonts w:cs="David" w:ascii="David" w:hAnsi="David"/>
          <w:color w:val="1E3A8A"/>
          <w:rtl/>
        </w:rPr>
        <w:t>ברכות</w:t>
      </w:r>
      <w:r>
        <w:rPr>
          <w:rFonts w:cs="David"/>
        </w:rPr>
        <w:t>)</w:t>
      </w:r>
      <w:r>
        <w:rPr>
          <w:rFonts w:cs="David"/>
        </w:rPr>
        <w:t xml:space="preserve"> 8a; its function as preparation for an </w:t>
      </w:r>
      <w:r>
        <w:rPr>
          <w:rFonts w:cs="David"/>
          <w:i/>
        </w:rPr>
        <w:t>aliyah</w:t>
      </w:r>
      <w:r>
        <w:rPr>
          <w:rFonts w:cs="David"/>
        </w:rPr>
        <w:t xml:space="preserve"> (</w:t>
      </w:r>
      <w:r>
        <w:rPr>
          <w:rFonts w:cs="David" w:ascii="David" w:hAnsi="David"/>
          <w:color w:val="1E3A8A"/>
          <w:rtl/>
        </w:rPr>
        <w:t>עליה</w:t>
      </w:r>
      <w:r>
        <w:rPr>
          <w:rFonts w:cs="David"/>
        </w:rPr>
        <w:t>)</w:t>
      </w:r>
      <w:r>
        <w:rPr>
          <w:rFonts w:cs="David"/>
        </w:rPr>
        <w:t xml:space="preserve"> is as the lecturer reports the authorities. The text of the passage was not retrieved for this edition.</w:t>
      </w:r>
    </w:p>
    <w:p>
      <w:pPr>
        <w:ind w:left="360" w:hanging="360"/>
      </w:pPr>
      <w:r>
        <w:rPr>
          <w:rFonts w:cs="David"/>
          <w:b/>
          <w:color w:val="1E3A8A"/>
        </w:rPr>
        <w:t xml:space="preserve">3.  </w:t>
      </w:r>
      <w:r>
        <w:rPr>
          <w:rFonts w:cs="David" w:ascii="David" w:hAnsi="David"/>
          <w:b/>
          <w:color w:val="1E3A8A"/>
          <w:rtl/>
        </w:rPr>
        <w:t>מגילה כ״א ע״ב</w:t>
      </w:r>
      <w:r>
        <w:rPr>
          <w:rFonts w:cs="David"/>
          <w:b/>
          <w:color w:val="1E3A8A"/>
        </w:rPr>
        <w:t xml:space="preserve"> — </w:t>
      </w:r>
      <w:r>
        <w:rPr>
          <w:rFonts w:cs="David" w:ascii="David" w:hAnsi="David"/>
          <w:b/>
          <w:color w:val="1E3A8A"/>
          <w:rtl/>
        </w:rPr>
        <w:t>גזירה מפני הנכנסין ומפני היוצאין</w:t>
      </w:r>
      <w:r>
        <w:rPr>
          <w:rFonts w:cs="David"/>
          <w:b/>
          <w:color w:val="1E3A8A"/>
        </w:rPr>
        <w:t>.</w:t>
      </w:r>
      <w:r>
        <w:rPr>
          <w:rFonts w:cs="David"/>
        </w:rPr>
        <w:t xml:space="preserve"> Confirmed on Sefaria: the Gemara explains that the decree is on account of those who enter in the middle of the reading and those who leave early, lest they conclude that one blessing suffices. The earlier practice, that the first blessed before and the last after, is implied by the Gemara and stated in the Mishnah.</w:t>
      </w:r>
    </w:p>
    <w:p>
      <w:pPr>
        <w:ind w:left="360" w:hanging="360"/>
      </w:pPr>
      <w:r>
        <w:rPr>
          <w:rFonts w:cs="David"/>
          <w:b/>
          <w:color w:val="1E3A8A"/>
        </w:rPr>
        <w:t xml:space="preserve">4.  </w:t>
      </w:r>
      <w:r>
        <w:rPr>
          <w:rFonts w:cs="David" w:ascii="David" w:hAnsi="David"/>
          <w:b/>
          <w:color w:val="1E3A8A"/>
          <w:rtl/>
        </w:rPr>
        <w:t>בבא קמא פ״ב ע״א</w:t>
      </w:r>
      <w:r>
        <w:rPr>
          <w:rFonts w:cs="David"/>
          <w:b/>
          <w:color w:val="1E3A8A"/>
        </w:rPr>
        <w:t>.</w:t>
      </w:r>
      <w:r>
        <w:rPr>
          <w:rFonts w:cs="David"/>
        </w:rPr>
        <w:t xml:space="preserve"> On Sefaria the Gemara derives the reading on Monday, Thursday and </w:t>
      </w:r>
      <w:r>
        <w:rPr>
          <w:rFonts w:cs="David"/>
          <w:i/>
        </w:rPr>
        <w:t>Shabbos</w:t>
      </w:r>
      <w:r>
        <w:rPr>
          <w:rFonts w:cs="David"/>
        </w:rPr>
        <w:t xml:space="preserve"> (</w:t>
      </w:r>
      <w:r>
        <w:rPr>
          <w:rFonts w:cs="David" w:ascii="David" w:hAnsi="David"/>
          <w:color w:val="1E3A8A"/>
          <w:rtl/>
        </w:rPr>
        <w:t>שבת</w:t>
      </w:r>
      <w:r>
        <w:rPr>
          <w:rFonts w:cs="David"/>
        </w:rPr>
        <w:t>)</w:t>
      </w:r>
      <w:r>
        <w:rPr>
          <w:rFonts w:cs="David"/>
        </w:rPr>
        <w:t xml:space="preserve"> from </w:t>
      </w:r>
      <w:r>
        <w:rPr>
          <w:rFonts w:cs="David" w:ascii="David" w:hAnsi="David"/>
          <w:color w:val="1E3A8A"/>
          <w:rtl/>
        </w:rPr>
        <w:t>וילכו שלשת ימים במדבר ולא מצאו מים</w:t>
      </w:r>
      <w:r>
        <w:rPr>
          <w:rFonts w:cs="David"/>
        </w:rPr>
        <w:t xml:space="preserve"> (Shemos 15:22), water being Torah, and ascribes the original enactment to “the prophets among them”; </w:t>
      </w:r>
      <w:r>
        <w:rPr>
          <w:rFonts w:cs="David"/>
          <w:i/>
        </w:rPr>
        <w:t>Ezra</w:t>
      </w:r>
      <w:r>
        <w:rPr>
          <w:rFonts w:cs="David"/>
        </w:rPr>
        <w:t xml:space="preserve"> (</w:t>
      </w:r>
      <w:r>
        <w:rPr>
          <w:rFonts w:cs="David" w:ascii="David" w:hAnsi="David"/>
          <w:color w:val="1E3A8A"/>
          <w:rtl/>
        </w:rPr>
        <w:t>עזרא</w:t>
      </w:r>
      <w:r>
        <w:rPr>
          <w:rFonts w:cs="David"/>
        </w:rPr>
        <w:t>)</w:t>
      </w:r>
      <w:r>
        <w:rPr>
          <w:rFonts w:cs="David"/>
        </w:rPr>
        <w:t xml:space="preserve"> instituted that three persons read, ten verses in all. The lecturer’s attribution to </w:t>
      </w:r>
      <w:r>
        <w:rPr>
          <w:rFonts w:cs="David"/>
          <w:i/>
        </w:rPr>
        <w:t>Moshe Rabbeinu</w:t>
      </w:r>
      <w:r>
        <w:rPr>
          <w:rFonts w:cs="David"/>
        </w:rPr>
        <w:t xml:space="preserve"> (</w:t>
      </w:r>
      <w:r>
        <w:rPr>
          <w:rFonts w:cs="David" w:ascii="David" w:hAnsi="David"/>
          <w:color w:val="1E3A8A"/>
          <w:rtl/>
        </w:rPr>
        <w:t>משה רבינו</w:t>
      </w:r>
      <w:r>
        <w:rPr>
          <w:rFonts w:cs="David"/>
        </w:rPr>
        <w:t>)</w:t>
      </w:r>
      <w:r>
        <w:rPr>
          <w:rFonts w:cs="David"/>
        </w:rPr>
        <w:t xml:space="preserve"> was not located in this passage (Open Questions, no. 1).</w:t>
      </w:r>
    </w:p>
    <w:p>
      <w:pPr>
        <w:ind w:left="360" w:hanging="360"/>
      </w:pPr>
      <w:r>
        <w:rPr>
          <w:rFonts w:cs="David"/>
          <w:b/>
          <w:color w:val="1E3A8A"/>
        </w:rPr>
        <w:t xml:space="preserve">5.  </w:t>
      </w:r>
      <w:r>
        <w:rPr>
          <w:rFonts w:cs="David" w:ascii="David" w:hAnsi="David"/>
          <w:b/>
          <w:color w:val="1E3A8A"/>
          <w:rtl/>
        </w:rPr>
        <w:t>שו״ת משנה הלכות</w:t>
      </w:r>
      <w:r>
        <w:rPr>
          <w:rFonts w:cs="David"/>
          <w:b/>
          <w:color w:val="1E3A8A"/>
        </w:rPr>
        <w:t xml:space="preserve">, </w:t>
      </w:r>
      <w:r>
        <w:rPr>
          <w:rFonts w:cs="David" w:ascii="David" w:hAnsi="David"/>
          <w:b/>
          <w:color w:val="1E3A8A"/>
          <w:rtl/>
        </w:rPr>
        <w:t>ר׳ מנשה קליין</w:t>
      </w:r>
      <w:r>
        <w:rPr>
          <w:rFonts w:cs="David"/>
          <w:b/>
          <w:color w:val="1E3A8A"/>
        </w:rPr>
        <w:t>.</w:t>
      </w:r>
      <w:r>
        <w:rPr>
          <w:rFonts w:cs="David"/>
        </w:rPr>
        <w:t xml:space="preserve"> Rabbi Menashe Klein, the Ungvarer Rav of Boro Park, is the author of the multi-volume </w:t>
      </w:r>
      <w:r>
        <w:rPr>
          <w:rFonts w:cs="David"/>
          <w:i/>
        </w:rPr>
        <w:t>Mishnah Halachos</w:t>
      </w:r>
      <w:r>
        <w:rPr>
          <w:rFonts w:cs="David"/>
        </w:rPr>
        <w:t xml:space="preserve"> (</w:t>
      </w:r>
      <w:r>
        <w:rPr>
          <w:rFonts w:cs="David" w:ascii="David" w:hAnsi="David"/>
          <w:color w:val="1E3A8A"/>
          <w:rtl/>
        </w:rPr>
        <w:t>משנה הלכות</w:t>
      </w:r>
      <w:r>
        <w:rPr>
          <w:rFonts w:cs="David"/>
        </w:rPr>
        <w:t>)</w:t>
      </w:r>
      <w:r>
        <w:rPr>
          <w:rFonts w:cs="David"/>
        </w:rPr>
        <w:t xml:space="preserve">. The dates and the details of his biography, and the content of the tract on </w:t>
      </w:r>
      <w:r>
        <w:rPr>
          <w:rFonts w:cs="David"/>
          <w:i/>
        </w:rPr>
        <w:t>Baruch Hu uvaruch Shemo</w:t>
      </w:r>
      <w:r>
        <w:rPr>
          <w:rFonts w:cs="David"/>
        </w:rPr>
        <w:t xml:space="preserve"> (</w:t>
      </w:r>
      <w:r>
        <w:rPr>
          <w:rFonts w:cs="David" w:ascii="David" w:hAnsi="David"/>
          <w:color w:val="1E3A8A"/>
          <w:rtl/>
        </w:rPr>
        <w:t>ברוך הוא וברוך שמו</w:t>
      </w:r>
      <w:r>
        <w:rPr>
          <w:rFonts w:cs="David"/>
        </w:rPr>
        <w:t>)</w:t>
      </w:r>
      <w:r>
        <w:rPr>
          <w:rFonts w:cs="David"/>
        </w:rPr>
        <w:t xml:space="preserve">, have not been verified here (Open Questions, no. 2). The remarks on the </w:t>
      </w:r>
      <w:r>
        <w:rPr>
          <w:rFonts w:cs="David"/>
          <w:i/>
        </w:rPr>
        <w:t>eruv</w:t>
      </w:r>
      <w:r>
        <w:rPr>
          <w:rFonts w:cs="David"/>
        </w:rPr>
        <w:t xml:space="preserve"> (</w:t>
      </w:r>
      <w:r>
        <w:rPr>
          <w:rFonts w:cs="David" w:ascii="David" w:hAnsi="David"/>
          <w:color w:val="1E3A8A"/>
          <w:rtl/>
        </w:rPr>
        <w:t>עירוב</w:t>
      </w:r>
      <w:r>
        <w:rPr>
          <w:rFonts w:cs="David"/>
        </w:rPr>
        <w:t>)</w:t>
      </w:r>
      <w:r>
        <w:rPr>
          <w:rFonts w:cs="David"/>
        </w:rPr>
        <w:t xml:space="preserve"> dispute are the lecturer’s report.</w:t>
      </w:r>
    </w:p>
    <w:p>
      <w:pPr>
        <w:ind w:left="360" w:hanging="360"/>
      </w:pPr>
      <w:r>
        <w:rPr>
          <w:rFonts w:cs="David"/>
          <w:b/>
          <w:color w:val="1E3A8A"/>
        </w:rPr>
        <w:t xml:space="preserve">6.  </w:t>
      </w:r>
      <w:r>
        <w:rPr>
          <w:rFonts w:cs="David" w:ascii="David" w:hAnsi="David"/>
          <w:b/>
          <w:color w:val="1E3A8A"/>
          <w:rtl/>
        </w:rPr>
        <w:t>ברכות נ״ד ע״ב</w:t>
      </w:r>
      <w:r>
        <w:rPr>
          <w:rFonts w:cs="David"/>
          <w:b/>
          <w:color w:val="1E3A8A"/>
        </w:rPr>
        <w:t>.</w:t>
      </w:r>
      <w:r>
        <w:rPr>
          <w:rFonts w:cs="David"/>
        </w:rPr>
        <w:t xml:space="preserve"> Confirmed on Sefaria. Four must give thanks: seafarers, desert travelers, one who recovered from illness, and one released from prison. Abaye derives the need for ten from </w:t>
      </w:r>
      <w:r>
        <w:rPr>
          <w:rFonts w:cs="David" w:ascii="David" w:hAnsi="David"/>
          <w:color w:val="1E3A8A"/>
          <w:rtl/>
        </w:rPr>
        <w:t>בקהל עם</w:t>
      </w:r>
      <w:r>
        <w:rPr>
          <w:rFonts w:cs="David"/>
        </w:rPr>
        <w:t xml:space="preserve"> and Mar Zutra the need for two sages from </w:t>
      </w:r>
      <w:r>
        <w:rPr>
          <w:rFonts w:cs="David" w:ascii="David" w:hAnsi="David"/>
          <w:color w:val="1E3A8A"/>
          <w:rtl/>
        </w:rPr>
        <w:t>ובמושב זקנים</w:t>
      </w:r>
      <w:r>
        <w:rPr>
          <w:rFonts w:cs="David"/>
        </w:rPr>
        <w:t xml:space="preserve"> (Tehillim 107:32); Rav Ashi’s objections are left unresolved. That a Torah scroll stands in for the two sages is the lecturer’s report and was not located in the Gemara.</w:t>
      </w:r>
    </w:p>
    <w:p>
      <w:pPr>
        <w:ind w:left="360" w:hanging="360"/>
      </w:pPr>
      <w:r>
        <w:rPr>
          <w:rFonts w:cs="David"/>
          <w:b/>
          <w:color w:val="1E3A8A"/>
        </w:rPr>
        <w:t xml:space="preserve">7.  </w:t>
      </w:r>
      <w:r>
        <w:rPr>
          <w:rFonts w:cs="David" w:ascii="David" w:hAnsi="David"/>
          <w:b/>
          <w:color w:val="1E3A8A"/>
          <w:rtl/>
        </w:rPr>
        <w:t>טור, אורח חיים רי״ט</w:t>
      </w:r>
      <w:r>
        <w:rPr>
          <w:rFonts w:cs="David"/>
          <w:b/>
          <w:color w:val="1E3A8A"/>
        </w:rPr>
        <w:t>.</w:t>
      </w:r>
      <w:r>
        <w:rPr>
          <w:rFonts w:cs="David"/>
        </w:rPr>
        <w:t xml:space="preserve"> Confirmed on Sefaria: </w:t>
      </w:r>
      <w:r>
        <w:rPr>
          <w:rFonts w:cs="David" w:ascii="David" w:hAnsi="David"/>
          <w:color w:val="1E3A8A"/>
          <w:rtl/>
        </w:rPr>
        <w:t>ארבעה צריכים להודות</w:t>
      </w:r>
      <w:r>
        <w:rPr>
          <w:rFonts w:cs="David"/>
        </w:rPr>
        <w:t xml:space="preserve">, before ten, with two sages, and the mnemonic </w:t>
      </w:r>
      <w:r>
        <w:rPr>
          <w:rFonts w:cs="David" w:ascii="David" w:hAnsi="David"/>
          <w:color w:val="1E3A8A"/>
          <w:rtl/>
        </w:rPr>
        <w:t>וכל החיים יודוך סלה</w:t>
      </w:r>
      <w:r>
        <w:rPr>
          <w:rFonts w:cs="David"/>
        </w:rPr>
        <w:t xml:space="preserve">. The Rosh on </w:t>
      </w:r>
      <w:r>
        <w:rPr>
          <w:rFonts w:cs="David"/>
          <w:i/>
        </w:rPr>
        <w:t>Berachos</w:t>
      </w:r>
      <w:r>
        <w:rPr>
          <w:rFonts w:cs="David"/>
        </w:rPr>
        <w:t xml:space="preserve"> (</w:t>
      </w:r>
      <w:r>
        <w:rPr>
          <w:rFonts w:cs="David" w:ascii="David" w:hAnsi="David"/>
          <w:color w:val="1E3A8A"/>
          <w:rtl/>
        </w:rPr>
        <w:t>ברכות</w:t>
      </w:r>
      <w:r>
        <w:rPr>
          <w:rFonts w:cs="David"/>
        </w:rPr>
        <w:t>)</w:t>
      </w:r>
      <w:r>
        <w:rPr>
          <w:rFonts w:cs="David"/>
        </w:rPr>
        <w:t xml:space="preserve"> ch. 9 likewise notes that the question of ten and two sages is unresolved and that one follows the stringent view.</w:t>
      </w:r>
    </w:p>
    <w:p>
      <w:pPr>
        <w:ind w:left="360" w:hanging="360"/>
      </w:pPr>
      <w:r>
        <w:rPr>
          <w:rFonts w:cs="David"/>
          <w:b/>
          <w:color w:val="1E3A8A"/>
        </w:rPr>
        <w:t xml:space="preserve">8.  </w:t>
      </w:r>
      <w:r>
        <w:rPr>
          <w:rFonts w:cs="David"/>
          <w:b/>
          <w:i/>
          <w:color w:val="1E3A8A"/>
        </w:rPr>
        <w:t>Shalmei Nedarim</w:t>
      </w:r>
      <w:r>
        <w:rPr>
          <w:rFonts w:cs="David"/>
          <w:b/>
          <w:color w:val="1E3A8A"/>
        </w:rPr>
        <w:t xml:space="preserve"> (</w:t>
      </w:r>
      <w:r>
        <w:rPr>
          <w:rFonts w:cs="David" w:ascii="David" w:hAnsi="David"/>
          <w:b/>
          <w:color w:val="1E3A8A"/>
          <w:rtl/>
        </w:rPr>
        <w:t>שלמי נדרים</w:t>
      </w:r>
      <w:r>
        <w:rPr>
          <w:rFonts w:cs="David"/>
          <w:b/>
          <w:color w:val="1E3A8A"/>
        </w:rPr>
        <w:t>)</w:t>
      </w:r>
      <w:r>
        <w:rPr>
          <w:rFonts w:cs="David"/>
          <w:b/>
          <w:color w:val="1E3A8A"/>
        </w:rPr>
        <w:t>, introduction.</w:t>
      </w:r>
      <w:r>
        <w:rPr>
          <w:rFonts w:cs="David"/>
        </w:rPr>
        <w:t xml:space="preserve"> The author’s name is uncertain: the recording renders it as “Alexander Sender HaKohen” followed by a garbled surname (Kaplan in one transcript, Shefelin in the summary). The rabbinate in Kupishok for forty years and the content of the introduction are as the lecturer reports; the book was not located on Sefaria (Open Questions, no. 3).</w:t>
      </w:r>
    </w:p>
    <w:p>
      <w:pPr>
        <w:ind w:left="360" w:hanging="360"/>
      </w:pPr>
      <w:r>
        <w:rPr>
          <w:rFonts w:cs="David"/>
          <w:b/>
          <w:color w:val="1E3A8A"/>
        </w:rPr>
        <w:t xml:space="preserve">9.  </w:t>
      </w:r>
      <w:r>
        <w:rPr>
          <w:rFonts w:cs="David" w:ascii="David" w:hAnsi="David"/>
          <w:b/>
          <w:color w:val="1E3A8A"/>
          <w:rtl/>
        </w:rPr>
        <w:t>שבת קל״ז ע״ב</w:t>
      </w:r>
      <w:r>
        <w:rPr>
          <w:rFonts w:cs="David"/>
          <w:b/>
          <w:color w:val="1E3A8A"/>
        </w:rPr>
        <w:t xml:space="preserve"> — the blessing after a circumcision.</w:t>
      </w:r>
      <w:r>
        <w:rPr>
          <w:rFonts w:cs="David"/>
        </w:rPr>
        <w:t xml:space="preserve"> Confirmed on Sefaria: those standing there say, “Just as he has entered into the covenant, so may he enter into Torah, marriage, and good deeds.” The lecturer first cited the page as 139; it is 137b.</w:t>
      </w:r>
    </w:p>
    <w:p>
      <w:pPr>
        <w:ind w:left="360" w:hanging="360"/>
      </w:pPr>
      <w:r>
        <w:rPr>
          <w:rFonts w:cs="David"/>
          <w:b/>
          <w:color w:val="1E3A8A"/>
        </w:rPr>
        <w:t xml:space="preserve">10.  </w:t>
      </w:r>
      <w:r>
        <w:rPr>
          <w:rFonts w:cs="David" w:ascii="David" w:hAnsi="David"/>
          <w:b/>
          <w:color w:val="1E3A8A"/>
          <w:rtl/>
        </w:rPr>
        <w:t>רא״ש</w:t>
      </w:r>
      <w:r>
        <w:rPr>
          <w:rFonts w:cs="David"/>
          <w:b/>
          <w:color w:val="1E3A8A"/>
        </w:rPr>
        <w:t xml:space="preserve"> on </w:t>
      </w:r>
      <w:r>
        <w:rPr>
          <w:rFonts w:cs="David" w:ascii="David" w:hAnsi="David"/>
          <w:b/>
          <w:color w:val="1E3A8A"/>
          <w:rtl/>
        </w:rPr>
        <w:t>ברכות</w:t>
      </w:r>
      <w:r>
        <w:rPr>
          <w:rFonts w:cs="David"/>
          <w:b/>
          <w:color w:val="1E3A8A"/>
        </w:rPr>
        <w:t>, ch. 9.</w:t>
      </w:r>
      <w:r>
        <w:rPr>
          <w:rFonts w:cs="David"/>
        </w:rPr>
        <w:t xml:space="preserve"> As the lecturer reports. On Sefaria the Rosh on </w:t>
      </w:r>
      <w:r>
        <w:rPr>
          <w:rFonts w:cs="David"/>
          <w:i/>
        </w:rPr>
        <w:t>Berachos</w:t>
      </w:r>
      <w:r>
        <w:rPr>
          <w:rFonts w:cs="David"/>
        </w:rPr>
        <w:t xml:space="preserve"> (</w:t>
      </w:r>
      <w:r>
        <w:rPr>
          <w:rFonts w:cs="David" w:ascii="David" w:hAnsi="David"/>
          <w:color w:val="1E3A8A"/>
          <w:rtl/>
        </w:rPr>
        <w:t>ברכות</w:t>
      </w:r>
      <w:r>
        <w:rPr>
          <w:rFonts w:cs="David"/>
        </w:rPr>
        <w:t>)</w:t>
      </w:r>
      <w:r>
        <w:rPr>
          <w:rFonts w:cs="David"/>
        </w:rPr>
        <w:t xml:space="preserve"> 9:3 discusses the ten and two sages of </w:t>
      </w:r>
      <w:r>
        <w:rPr>
          <w:rFonts w:cs="David"/>
          <w:i/>
        </w:rPr>
        <w:t>HaGomel</w:t>
      </w:r>
      <w:r>
        <w:rPr>
          <w:rFonts w:cs="David"/>
        </w:rPr>
        <w:t xml:space="preserve"> (</w:t>
      </w:r>
      <w:r>
        <w:rPr>
          <w:rFonts w:cs="David" w:ascii="David" w:hAnsi="David"/>
          <w:color w:val="1E3A8A"/>
          <w:rtl/>
        </w:rPr>
        <w:t>הגומל</w:t>
      </w:r>
      <w:r>
        <w:rPr>
          <w:rFonts w:cs="David"/>
        </w:rPr>
        <w:t>)</w:t>
      </w:r>
      <w:r>
        <w:rPr>
          <w:rFonts w:cs="David"/>
        </w:rPr>
        <w:t xml:space="preserve">; the comparison of the reading to a </w:t>
      </w:r>
      <w:r>
        <w:rPr>
          <w:rFonts w:cs="David"/>
          <w:i/>
        </w:rPr>
        <w:t>korban todah</w:t>
      </w:r>
      <w:r>
        <w:rPr>
          <w:rFonts w:cs="David"/>
        </w:rPr>
        <w:t xml:space="preserve"> (</w:t>
      </w:r>
      <w:r>
        <w:rPr>
          <w:rFonts w:cs="David" w:ascii="David" w:hAnsi="David"/>
          <w:color w:val="1E3A8A"/>
          <w:rtl/>
        </w:rPr>
        <w:t>קרבן תודה</w:t>
      </w:r>
      <w:r>
        <w:rPr>
          <w:rFonts w:cs="David"/>
        </w:rPr>
        <w:t>)</w:t>
      </w:r>
      <w:r>
        <w:rPr>
          <w:rFonts w:cs="David"/>
        </w:rPr>
        <w:t xml:space="preserve"> was not found there and is unlocated (Open Questions, no. 4). That prayer stands in place of the offerings is </w:t>
      </w:r>
      <w:r>
        <w:rPr>
          <w:rFonts w:cs="David"/>
          <w:i/>
        </w:rPr>
        <w:t>Berachos</w:t>
      </w:r>
      <w:r>
        <w:rPr>
          <w:rFonts w:cs="David"/>
        </w:rPr>
        <w:t xml:space="preserve"> (</w:t>
      </w:r>
      <w:r>
        <w:rPr>
          <w:rFonts w:cs="David" w:ascii="David" w:hAnsi="David"/>
          <w:color w:val="1E3A8A"/>
          <w:rtl/>
        </w:rPr>
        <w:t>ברכות</w:t>
      </w:r>
      <w:r>
        <w:rPr>
          <w:rFonts w:cs="David"/>
        </w:rPr>
        <w:t>)</w:t>
      </w:r>
      <w:r>
        <w:rPr>
          <w:rFonts w:cs="David"/>
        </w:rPr>
        <w:t xml:space="preserve"> 26b, confirmed.</w:t>
      </w:r>
    </w:p>
    <w:p>
      <w:pPr>
        <w:ind w:left="360" w:hanging="360"/>
      </w:pPr>
      <w:r>
        <w:rPr>
          <w:rFonts w:cs="David"/>
          <w:b/>
          <w:color w:val="1E3A8A"/>
        </w:rPr>
        <w:t xml:space="preserve">11.  </w:t>
      </w:r>
      <w:r>
        <w:rPr>
          <w:rFonts w:cs="David"/>
          <w:b/>
          <w:i/>
          <w:color w:val="1E3A8A"/>
        </w:rPr>
        <w:t>Hisorerus Teshuvah</w:t>
      </w:r>
      <w:r>
        <w:rPr>
          <w:rFonts w:cs="David"/>
          <w:b/>
          <w:color w:val="1E3A8A"/>
        </w:rPr>
        <w:t xml:space="preserve"> (</w:t>
      </w:r>
      <w:r>
        <w:rPr>
          <w:rFonts w:cs="David" w:ascii="David" w:hAnsi="David"/>
          <w:b/>
          <w:color w:val="1E3A8A"/>
          <w:rtl/>
        </w:rPr>
        <w:t>התעוררות תשובה</w:t>
      </w:r>
      <w:r>
        <w:rPr>
          <w:rFonts w:cs="David"/>
          <w:b/>
          <w:color w:val="1E3A8A"/>
        </w:rPr>
        <w:t>)</w:t>
      </w:r>
      <w:r>
        <w:rPr>
          <w:rFonts w:cs="David"/>
          <w:b/>
          <w:color w:val="1E3A8A"/>
        </w:rPr>
        <w:t xml:space="preserve">, </w:t>
      </w:r>
      <w:r>
        <w:rPr>
          <w:rFonts w:cs="David" w:ascii="David" w:hAnsi="David"/>
          <w:b/>
          <w:color w:val="1E3A8A"/>
          <w:rtl/>
        </w:rPr>
        <w:t>ר׳ שמעון סופר</w:t>
      </w:r>
      <w:r>
        <w:rPr>
          <w:rFonts w:cs="David"/>
          <w:b/>
          <w:color w:val="1E3A8A"/>
        </w:rPr>
        <w:t>, rabbi of Erlau.</w:t>
      </w:r>
      <w:r>
        <w:rPr>
          <w:rFonts w:cs="David"/>
        </w:rPr>
        <w:t xml:space="preserve"> Restored from the recording; the work and its author are as the lecturer reports, and the biographical details (age, years in the rabbinate, death in Auschwitz) are the grandson’s, relayed. Not located on Sefaria (Open Questions, no. 5). The summary garbled the title as </w:t>
      </w:r>
      <w:r>
        <w:rPr>
          <w:rFonts w:cs="David"/>
          <w:i/>
        </w:rPr>
        <w:t>Eretz Truva</w:t>
      </w:r>
      <w:r>
        <w:rPr>
          <w:rFonts w:cs="David"/>
        </w:rPr>
        <w:t xml:space="preserve"> (</w:t>
      </w:r>
      <w:r>
        <w:rPr>
          <w:rFonts w:cs="David" w:ascii="David" w:hAnsi="David"/>
          <w:color w:val="1E3A8A"/>
          <w:rtl/>
        </w:rPr>
        <w:t>אריץ טרובא</w:t>
      </w:r>
      <w:r>
        <w:rPr>
          <w:rFonts w:cs="David"/>
        </w:rPr>
        <w:t>)</w:t>
      </w:r>
      <w:r>
        <w:rPr>
          <w:rFonts w:cs="David"/>
        </w:rPr>
        <w:t xml:space="preserve"> and the author’s work as </w:t>
      </w:r>
      <w:r>
        <w:rPr>
          <w:rFonts w:cs="David"/>
          <w:i/>
        </w:rPr>
        <w:t>Ateres Tzvi</w:t>
      </w:r>
      <w:r>
        <w:rPr>
          <w:rFonts w:cs="David"/>
        </w:rPr>
        <w:t xml:space="preserve"> (</w:t>
      </w:r>
      <w:r>
        <w:rPr>
          <w:rFonts w:cs="David" w:ascii="David" w:hAnsi="David"/>
          <w:color w:val="1E3A8A"/>
          <w:rtl/>
        </w:rPr>
        <w:t>עטרת צבי</w:t>
      </w:r>
      <w:r>
        <w:rPr>
          <w:rFonts w:cs="David"/>
        </w:rPr>
        <w:t>)</w:t>
      </w:r>
      <w:r>
        <w:rPr>
          <w:rFonts w:cs="David"/>
        </w:rPr>
        <w:t>; neither is accepted here.</w:t>
      </w:r>
    </w:p>
    <w:p>
      <w:pPr>
        <w:ind w:left="360" w:hanging="360"/>
      </w:pPr>
      <w:r>
        <w:rPr>
          <w:rFonts w:cs="David"/>
          <w:b/>
          <w:color w:val="1E3A8A"/>
        </w:rPr>
        <w:t xml:space="preserve">12.  </w:t>
      </w:r>
      <w:r>
        <w:rPr>
          <w:rFonts w:cs="David"/>
          <w:b/>
          <w:i/>
          <w:color w:val="1E3A8A"/>
        </w:rPr>
        <w:t>Machzor Vitry</w:t>
      </w:r>
      <w:r>
        <w:rPr>
          <w:rFonts w:cs="David"/>
          <w:b/>
          <w:color w:val="1E3A8A"/>
        </w:rPr>
        <w:t xml:space="preserve"> (</w:t>
      </w:r>
      <w:r>
        <w:rPr>
          <w:rFonts w:cs="David" w:ascii="David" w:hAnsi="David"/>
          <w:b/>
          <w:color w:val="1E3A8A"/>
          <w:rtl/>
        </w:rPr>
        <w:t>מחזור ויטרי</w:t>
      </w:r>
      <w:r>
        <w:rPr>
          <w:rFonts w:cs="David"/>
          <w:b/>
          <w:color w:val="1E3A8A"/>
        </w:rPr>
        <w:t>)</w:t>
      </w:r>
      <w:r>
        <w:rPr>
          <w:rFonts w:cs="David"/>
          <w:b/>
          <w:color w:val="1E3A8A"/>
        </w:rPr>
        <w:t xml:space="preserve">, </w:t>
      </w:r>
      <w:r>
        <w:rPr>
          <w:rFonts w:cs="David" w:ascii="David" w:hAnsi="David"/>
          <w:b/>
          <w:color w:val="1E3A8A"/>
          <w:rtl/>
        </w:rPr>
        <w:t>ר׳ שמחה מויטרי</w:t>
      </w:r>
      <w:r>
        <w:rPr>
          <w:rFonts w:cs="David"/>
          <w:b/>
          <w:color w:val="1E3A8A"/>
        </w:rPr>
        <w:t>.</w:t>
      </w:r>
      <w:r>
        <w:rPr>
          <w:rFonts w:cs="David"/>
        </w:rPr>
        <w:t xml:space="preserve"> Rabbi Simcha of Vitry, a student of Rashi. The statement that the </w:t>
      </w:r>
      <w:r>
        <w:rPr>
          <w:rFonts w:cs="David"/>
          <w:i/>
        </w:rPr>
        <w:t>Yehi Ratzons</w:t>
      </w:r>
      <w:r>
        <w:rPr>
          <w:rFonts w:cs="David"/>
        </w:rPr>
        <w:t xml:space="preserve"> (</w:t>
      </w:r>
      <w:r>
        <w:rPr>
          <w:rFonts w:cs="David" w:ascii="David" w:hAnsi="David"/>
          <w:color w:val="1E3A8A"/>
          <w:rtl/>
        </w:rPr>
        <w:t>יהי רצון</w:t>
      </w:r>
      <w:r>
        <w:rPr>
          <w:rFonts w:cs="David"/>
        </w:rPr>
        <w:t>)</w:t>
      </w:r>
      <w:r>
        <w:rPr>
          <w:rFonts w:cs="David"/>
        </w:rPr>
        <w:t xml:space="preserve"> are said only at </w:t>
      </w:r>
      <w:r>
        <w:rPr>
          <w:rFonts w:cs="David"/>
          <w:i/>
        </w:rPr>
        <w:t>Shabbos Minchah</w:t>
      </w:r>
      <w:r>
        <w:rPr>
          <w:rFonts w:cs="David"/>
        </w:rPr>
        <w:t xml:space="preserve"> (</w:t>
      </w:r>
      <w:r>
        <w:rPr>
          <w:rFonts w:cs="David" w:ascii="David" w:hAnsi="David"/>
          <w:color w:val="1E3A8A"/>
          <w:rtl/>
        </w:rPr>
        <w:t>שבת מנחה</w:t>
      </w:r>
      <w:r>
        <w:rPr>
          <w:rFonts w:cs="David"/>
        </w:rPr>
        <w:t>)</w:t>
      </w:r>
      <w:r>
        <w:rPr>
          <w:rFonts w:cs="David"/>
        </w:rPr>
        <w:t xml:space="preserve"> is as the lecturer reports; the passage was not located (Open Questions, no. 6).</w:t>
      </w:r>
    </w:p>
    <w:p>
      <w:pPr>
        <w:ind w:left="360" w:hanging="360"/>
      </w:pPr>
      <w:r>
        <w:rPr>
          <w:rFonts w:cs="David"/>
          <w:b/>
          <w:color w:val="1E3A8A"/>
        </w:rPr>
        <w:t xml:space="preserve">13.  </w:t>
      </w:r>
      <w:r>
        <w:rPr>
          <w:rFonts w:cs="David" w:ascii="David" w:hAnsi="David"/>
          <w:b/>
          <w:color w:val="1E3A8A"/>
          <w:rtl/>
        </w:rPr>
        <w:t>ברכות ד׳ ע״ב</w:t>
      </w:r>
      <w:r>
        <w:rPr>
          <w:rFonts w:cs="David"/>
          <w:b/>
          <w:color w:val="1E3A8A"/>
        </w:rPr>
        <w:t>.</w:t>
      </w:r>
      <w:r>
        <w:rPr>
          <w:rFonts w:cs="David"/>
        </w:rPr>
        <w:t xml:space="preserve"> Confirmed on Sefaria: Rabbi Elazar said in the name of Rabbi Avina, “Anyone who recites </w:t>
      </w:r>
      <w:r>
        <w:rPr>
          <w:rFonts w:cs="David"/>
          <w:i/>
        </w:rPr>
        <w:t>Tehillah LeDavid</w:t>
      </w:r>
      <w:r>
        <w:rPr>
          <w:rFonts w:cs="David"/>
        </w:rPr>
        <w:t xml:space="preserve"> (</w:t>
      </w:r>
      <w:r>
        <w:rPr>
          <w:rFonts w:cs="David" w:ascii="David" w:hAnsi="David"/>
          <w:color w:val="1E3A8A"/>
          <w:rtl/>
        </w:rPr>
        <w:t>תהלה לדוד</w:t>
      </w:r>
      <w:r>
        <w:rPr>
          <w:rFonts w:cs="David"/>
        </w:rPr>
        <w:t>)</w:t>
      </w:r>
      <w:r>
        <w:rPr>
          <w:rFonts w:cs="David"/>
        </w:rPr>
        <w:t xml:space="preserve"> three times every day is assured of a place in the World to Come.” The Gemara concludes that the preeminence of the psalm comes from combining its alphabetical order with its mention of God’s sustaining all creation.</w:t>
      </w:r>
    </w:p>
    <w:p>
      <w:pPr>
        <w:ind w:left="360" w:hanging="360"/>
      </w:pPr>
      <w:r>
        <w:rPr>
          <w:rFonts w:cs="David"/>
          <w:b/>
          <w:color w:val="1E3A8A"/>
        </w:rPr>
        <w:t xml:space="preserve">14.  </w:t>
      </w:r>
      <w:r>
        <w:rPr>
          <w:rFonts w:cs="David" w:ascii="David" w:hAnsi="David"/>
          <w:b/>
          <w:color w:val="1E3A8A"/>
          <w:rtl/>
        </w:rPr>
        <w:t>שלחן ערוך, אורח חיים נ״א:ז׳</w:t>
      </w:r>
      <w:r>
        <w:rPr>
          <w:rFonts w:cs="David"/>
          <w:b/>
          <w:color w:val="1E3A8A"/>
        </w:rPr>
        <w:t>.</w:t>
      </w:r>
      <w:r>
        <w:rPr>
          <w:rFonts w:cs="David"/>
        </w:rPr>
        <w:t xml:space="preserve"> Confirmed on Sefaria: one must concentrate on the verse </w:t>
      </w:r>
      <w:r>
        <w:rPr>
          <w:rFonts w:cs="David" w:ascii="David" w:hAnsi="David"/>
          <w:color w:val="1E3A8A"/>
          <w:rtl/>
        </w:rPr>
        <w:t>פותח את ידך</w:t>
      </w:r>
      <w:r>
        <w:rPr>
          <w:rFonts w:cs="David"/>
        </w:rPr>
        <w:t xml:space="preserve">, and if one’s attention wandered one must return and say it again. The reference to the </w:t>
      </w:r>
      <w:r>
        <w:rPr>
          <w:rFonts w:cs="David"/>
          <w:i/>
        </w:rPr>
        <w:t>Mishnah Berurah</w:t>
      </w:r>
      <w:r>
        <w:rPr>
          <w:rFonts w:cs="David"/>
        </w:rPr>
        <w:t xml:space="preserve"> (</w:t>
      </w:r>
      <w:r>
        <w:rPr>
          <w:rFonts w:cs="David" w:ascii="David" w:hAnsi="David"/>
          <w:color w:val="1E3A8A"/>
          <w:rtl/>
        </w:rPr>
        <w:t>משנה ברורה</w:t>
      </w:r>
      <w:r>
        <w:rPr>
          <w:rFonts w:cs="David"/>
        </w:rPr>
        <w:t>)</w:t>
      </w:r>
      <w:r>
        <w:rPr>
          <w:rFonts w:cs="David"/>
        </w:rPr>
        <w:t xml:space="preserve"> 51:16 in the working text was not retrieved and is not relied on (Open Questions, no. 7).</w:t>
      </w:r>
    </w:p>
    <w:p>
      <w:pPr>
        <w:ind w:left="360" w:hanging="360"/>
      </w:pPr>
      <w:r>
        <w:rPr>
          <w:rFonts w:cs="David"/>
          <w:b/>
          <w:color w:val="1E3A8A"/>
        </w:rPr>
        <w:t xml:space="preserve">15.  </w:t>
      </w:r>
      <w:r>
        <w:rPr>
          <w:rFonts w:cs="David"/>
          <w:b/>
          <w:i/>
          <w:color w:val="1E3A8A"/>
        </w:rPr>
        <w:t>Gilyon HaShas</w:t>
      </w:r>
      <w:r>
        <w:rPr>
          <w:rFonts w:cs="David"/>
          <w:b/>
          <w:color w:val="1E3A8A"/>
        </w:rPr>
        <w:t xml:space="preserve"> (</w:t>
      </w:r>
      <w:r>
        <w:rPr>
          <w:rFonts w:cs="David" w:ascii="David" w:hAnsi="David"/>
          <w:b/>
          <w:color w:val="1E3A8A"/>
          <w:rtl/>
        </w:rPr>
        <w:t>גליון הש״ס</w:t>
      </w:r>
      <w:r>
        <w:rPr>
          <w:rFonts w:cs="David"/>
          <w:b/>
          <w:color w:val="1E3A8A"/>
        </w:rPr>
        <w:t>)</w:t>
      </w:r>
      <w:r>
        <w:rPr>
          <w:rFonts w:cs="David"/>
          <w:b/>
          <w:color w:val="1E3A8A"/>
        </w:rPr>
        <w:t xml:space="preserve">, </w:t>
      </w:r>
      <w:r>
        <w:rPr>
          <w:rFonts w:cs="David"/>
          <w:b/>
          <w:i/>
          <w:color w:val="1E3A8A"/>
        </w:rPr>
        <w:t>Rabbi Akiva Eiger</w:t>
      </w:r>
      <w:r>
        <w:rPr>
          <w:rFonts w:cs="David"/>
          <w:b/>
          <w:color w:val="1E3A8A"/>
        </w:rPr>
        <w:t xml:space="preserve"> (</w:t>
      </w:r>
      <w:r>
        <w:rPr>
          <w:rFonts w:cs="David" w:ascii="David" w:hAnsi="David"/>
          <w:b/>
          <w:color w:val="1E3A8A"/>
          <w:rtl/>
        </w:rPr>
        <w:t>רבי עקיבא איגר</w:t>
      </w:r>
      <w:r>
        <w:rPr>
          <w:rFonts w:cs="David"/>
          <w:b/>
          <w:color w:val="1E3A8A"/>
        </w:rPr>
        <w:t>)</w:t>
      </w:r>
      <w:r>
        <w:rPr>
          <w:rFonts w:cs="David"/>
          <w:b/>
          <w:color w:val="1E3A8A"/>
        </w:rPr>
        <w:t xml:space="preserve">, on </w:t>
      </w:r>
      <w:r>
        <w:rPr>
          <w:rFonts w:cs="David" w:ascii="David" w:hAnsi="David"/>
          <w:b/>
          <w:color w:val="1E3A8A"/>
          <w:rtl/>
        </w:rPr>
        <w:t>ברכות ד׳ ע״ב</w:t>
      </w:r>
      <w:r>
        <w:rPr>
          <w:rFonts w:cs="David"/>
          <w:b/>
          <w:color w:val="1E3A8A"/>
        </w:rPr>
        <w:t>.</w:t>
      </w:r>
      <w:r>
        <w:rPr>
          <w:rFonts w:cs="David"/>
        </w:rPr>
        <w:t xml:space="preserve"> The recording names </w:t>
      </w:r>
      <w:r>
        <w:rPr>
          <w:rFonts w:cs="David"/>
          <w:i/>
        </w:rPr>
        <w:t>Rabbi Akiva Eiger</w:t>
      </w:r>
      <w:r>
        <w:rPr>
          <w:rFonts w:cs="David"/>
        </w:rPr>
        <w:t xml:space="preserve"> (</w:t>
      </w:r>
      <w:r>
        <w:rPr>
          <w:rFonts w:cs="David" w:ascii="David" w:hAnsi="David"/>
          <w:color w:val="1E3A8A"/>
          <w:rtl/>
        </w:rPr>
        <w:t>רבי עקיבא איגר</w:t>
      </w:r>
      <w:r>
        <w:rPr>
          <w:rFonts w:cs="David"/>
        </w:rPr>
        <w:t>)</w:t>
      </w:r>
      <w:r>
        <w:rPr>
          <w:rFonts w:cs="David"/>
        </w:rPr>
        <w:t xml:space="preserve">; the summary had misrendered it as the </w:t>
      </w:r>
      <w:r>
        <w:rPr>
          <w:rFonts w:cs="David"/>
          <w:i/>
        </w:rPr>
        <w:t>Ketzos HaChoshen</w:t>
      </w:r>
      <w:r>
        <w:rPr>
          <w:rFonts w:cs="David"/>
        </w:rPr>
        <w:t xml:space="preserve"> (</w:t>
      </w:r>
      <w:r>
        <w:rPr>
          <w:rFonts w:cs="David" w:ascii="David" w:hAnsi="David"/>
          <w:color w:val="1E3A8A"/>
          <w:rtl/>
        </w:rPr>
        <w:t>קצות החושן</w:t>
      </w:r>
      <w:r>
        <w:rPr>
          <w:rFonts w:cs="David"/>
        </w:rPr>
        <w:t>)</w:t>
      </w:r>
      <w:r>
        <w:rPr>
          <w:rFonts w:cs="David"/>
        </w:rPr>
        <w:t xml:space="preserve">, an error carried into the working text and corrected here. Confirmed on Sefaria: the Gilyon HaShas on 4b has the comment beginning </w:t>
      </w:r>
      <w:r>
        <w:rPr>
          <w:rFonts w:cs="David" w:ascii="David" w:hAnsi="David"/>
          <w:color w:val="1E3A8A"/>
          <w:rtl/>
        </w:rPr>
        <w:t>שם בכל יום ג״פ</w:t>
      </w:r>
      <w:r>
        <w:rPr>
          <w:rFonts w:cs="David"/>
        </w:rPr>
        <w:t>, to the effect that the Rosh lacks “three times” and that the Tur and the Rokeach (siman 320) likewise have the saying without it. The Rosh’s own text was not located (Open Questions, no. 8).</w:t>
      </w:r>
    </w:p>
    <w:p>
      <w:pPr>
        <w:ind w:left="360" w:hanging="360"/>
      </w:pPr>
      <w:r>
        <w:rPr>
          <w:rFonts w:cs="David"/>
          <w:b/>
          <w:color w:val="1E3A8A"/>
        </w:rPr>
        <w:t xml:space="preserve">16.  </w:t>
      </w:r>
      <w:r>
        <w:rPr>
          <w:rFonts w:cs="David"/>
          <w:b/>
          <w:i/>
          <w:color w:val="1E3A8A"/>
        </w:rPr>
        <w:t>Aruch HaShulchan</w:t>
      </w:r>
      <w:r>
        <w:rPr>
          <w:rFonts w:cs="David"/>
          <w:b/>
          <w:color w:val="1E3A8A"/>
        </w:rPr>
        <w:t xml:space="preserve"> (</w:t>
      </w:r>
      <w:r>
        <w:rPr>
          <w:rFonts w:cs="David" w:ascii="David" w:hAnsi="David"/>
          <w:b/>
          <w:color w:val="1E3A8A"/>
          <w:rtl/>
        </w:rPr>
        <w:t>ערוך השלחן</w:t>
      </w:r>
      <w:r>
        <w:rPr>
          <w:rFonts w:cs="David"/>
          <w:b/>
          <w:color w:val="1E3A8A"/>
        </w:rPr>
        <w:t>)</w:t>
      </w:r>
      <w:r>
        <w:rPr>
          <w:rFonts w:cs="David"/>
          <w:b/>
          <w:color w:val="1E3A8A"/>
        </w:rPr>
        <w:t xml:space="preserve">, </w:t>
      </w:r>
      <w:r>
        <w:rPr>
          <w:rFonts w:cs="David" w:ascii="David" w:hAnsi="David"/>
          <w:b/>
          <w:color w:val="1E3A8A"/>
          <w:rtl/>
        </w:rPr>
        <w:t>ר׳ יחיאל מיכל הלוי עפשטיין</w:t>
      </w:r>
      <w:r>
        <w:rPr>
          <w:rFonts w:cs="David"/>
          <w:b/>
          <w:color w:val="1E3A8A"/>
        </w:rPr>
        <w:t>.</w:t>
      </w:r>
      <w:r>
        <w:rPr>
          <w:rFonts w:cs="David"/>
        </w:rPr>
        <w:t xml:space="preserve"> Rabbi Yechiel Michel Epstein served in Navahrudak (Sefaria: composition 1865–1905). The lecturer’s figure of forty-five to fifty years as a rabbi is his own and is higher than the working text’s “over 35 years”; the dates </w:t>
      </w:r>
      <w:r>
        <w:rPr>
          <w:rFonts w:cs="David" w:ascii="David" w:hAnsi="David"/>
          <w:color w:val="1E3A8A"/>
          <w:rtl/>
        </w:rPr>
        <w:t>1829–1908</w:t>
      </w:r>
      <w:r>
        <w:rPr>
          <w:rFonts w:cs="David"/>
        </w:rPr>
        <w:t xml:space="preserve"> were not confirmed on Sefaria (Open Questions, no. 9).</w:t>
      </w:r>
    </w:p>
    <w:p>
      <w:pPr>
        <w:ind w:left="360" w:hanging="360"/>
      </w:pPr>
      <w:r>
        <w:rPr>
          <w:rFonts w:cs="David"/>
          <w:b/>
          <w:color w:val="1E3A8A"/>
        </w:rPr>
        <w:t xml:space="preserve">17.  </w:t>
      </w:r>
      <w:r>
        <w:rPr>
          <w:rFonts w:cs="David"/>
          <w:b/>
          <w:i/>
          <w:color w:val="1E3A8A"/>
        </w:rPr>
        <w:t>Yesod VeShoresh HaAvodah</w:t>
      </w:r>
      <w:r>
        <w:rPr>
          <w:rFonts w:cs="David"/>
          <w:b/>
          <w:color w:val="1E3A8A"/>
        </w:rPr>
        <w:t xml:space="preserve"> (</w:t>
      </w:r>
      <w:r>
        <w:rPr>
          <w:rFonts w:cs="David" w:ascii="David" w:hAnsi="David"/>
          <w:b/>
          <w:color w:val="1E3A8A"/>
          <w:rtl/>
        </w:rPr>
        <w:t>יסוד ושורש העבודה</w:t>
      </w:r>
      <w:r>
        <w:rPr>
          <w:rFonts w:cs="David"/>
          <w:b/>
          <w:color w:val="1E3A8A"/>
        </w:rPr>
        <w:t>)</w:t>
      </w:r>
      <w:r>
        <w:rPr>
          <w:rFonts w:cs="David"/>
          <w:b/>
          <w:color w:val="1E3A8A"/>
        </w:rPr>
        <w:t xml:space="preserve">, </w:t>
      </w:r>
      <w:r>
        <w:rPr>
          <w:rFonts w:cs="David" w:ascii="David" w:hAnsi="David"/>
          <w:b/>
          <w:color w:val="1E3A8A"/>
          <w:rtl/>
        </w:rPr>
        <w:t>ר׳ אלכסנדר זיסקינד מהורודנא</w:t>
      </w:r>
      <w:r>
        <w:rPr>
          <w:rFonts w:cs="David"/>
          <w:b/>
          <w:color w:val="1E3A8A"/>
        </w:rPr>
        <w:t>.</w:t>
      </w:r>
      <w:r>
        <w:rPr>
          <w:rFonts w:cs="David"/>
        </w:rPr>
        <w:t xml:space="preserve"> As the lecturer reports; the passage was not located. The passage of the </w:t>
      </w:r>
      <w:r>
        <w:rPr>
          <w:rFonts w:cs="David"/>
          <w:i/>
        </w:rPr>
        <w:t>Aruch HaShulchan</w:t>
      </w:r>
      <w:r>
        <w:rPr>
          <w:rFonts w:cs="David"/>
        </w:rPr>
        <w:t xml:space="preserve"> (</w:t>
      </w:r>
      <w:r>
        <w:rPr>
          <w:rFonts w:cs="David" w:ascii="David" w:hAnsi="David"/>
          <w:color w:val="1E3A8A"/>
          <w:rtl/>
        </w:rPr>
        <w:t>ערוך השלחן</w:t>
      </w:r>
      <w:r>
        <w:rPr>
          <w:rFonts w:cs="David"/>
        </w:rPr>
        <w:t>)</w:t>
      </w:r>
      <w:r>
        <w:rPr>
          <w:rFonts w:cs="David"/>
        </w:rPr>
        <w:t xml:space="preserve"> on the closing Ashrei was likewise not retrieved (Open Questions, no. 9).</w:t>
      </w:r>
    </w:p>
    <w:p>
      <w:pPr>
        <w:ind w:left="360" w:hanging="360"/>
      </w:pPr>
      <w:r>
        <w:rPr>
          <w:rFonts w:cs="David"/>
          <w:b/>
          <w:color w:val="1E3A8A"/>
        </w:rPr>
        <w:t xml:space="preserve">18.  </w:t>
      </w:r>
      <w:r>
        <w:rPr>
          <w:rFonts w:cs="David"/>
          <w:b/>
          <w:i/>
          <w:color w:val="1E3A8A"/>
        </w:rPr>
        <w:t>Sura</w:t>
      </w:r>
      <w:r>
        <w:rPr>
          <w:rFonts w:cs="David"/>
          <w:b/>
          <w:color w:val="1E3A8A"/>
        </w:rPr>
        <w:t xml:space="preserve"> (</w:t>
      </w:r>
      <w:r>
        <w:rPr>
          <w:rFonts w:cs="David" w:ascii="David" w:hAnsi="David"/>
          <w:b/>
          <w:color w:val="1E3A8A"/>
          <w:rtl/>
        </w:rPr>
        <w:t>סורא</w:t>
      </w:r>
      <w:r>
        <w:rPr>
          <w:rFonts w:cs="David"/>
          <w:b/>
          <w:color w:val="1E3A8A"/>
        </w:rPr>
        <w:t>)</w:t>
      </w:r>
      <w:r>
        <w:rPr>
          <w:rFonts w:cs="David"/>
          <w:b/>
          <w:color w:val="1E3A8A"/>
        </w:rPr>
        <w:t xml:space="preserve"> and the academy of </w:t>
      </w:r>
      <w:r>
        <w:rPr>
          <w:rFonts w:cs="David"/>
          <w:b/>
          <w:i/>
          <w:color w:val="1E3A8A"/>
        </w:rPr>
        <w:t>Rav</w:t>
      </w:r>
      <w:r>
        <w:rPr>
          <w:rFonts w:cs="David"/>
          <w:b/>
          <w:color w:val="1E3A8A"/>
        </w:rPr>
        <w:t xml:space="preserve"> (</w:t>
      </w:r>
      <w:r>
        <w:rPr>
          <w:rFonts w:cs="David" w:ascii="David" w:hAnsi="David"/>
          <w:b/>
          <w:color w:val="1E3A8A"/>
          <w:rtl/>
        </w:rPr>
        <w:t>רב</w:t>
      </w:r>
      <w:r>
        <w:rPr>
          <w:rFonts w:cs="David"/>
          <w:b/>
          <w:color w:val="1E3A8A"/>
        </w:rPr>
        <w:t>)</w:t>
      </w:r>
      <w:r>
        <w:rPr>
          <w:rFonts w:cs="David"/>
          <w:b/>
          <w:color w:val="1E3A8A"/>
        </w:rPr>
        <w:t>.</w:t>
      </w:r>
      <w:r>
        <w:rPr>
          <w:rFonts w:cs="David"/>
        </w:rPr>
        <w:t xml:space="preserve"> As the lecturer reports. That </w:t>
      </w:r>
      <w:r>
        <w:rPr>
          <w:rFonts w:cs="David"/>
          <w:i/>
        </w:rPr>
        <w:t>Rav</w:t>
      </w:r>
      <w:r>
        <w:rPr>
          <w:rFonts w:cs="David"/>
        </w:rPr>
        <w:t xml:space="preserve"> (</w:t>
      </w:r>
      <w:r>
        <w:rPr>
          <w:rFonts w:cs="David" w:ascii="David" w:hAnsi="David"/>
          <w:color w:val="1E3A8A"/>
          <w:rtl/>
        </w:rPr>
        <w:t>רב</w:t>
      </w:r>
      <w:r>
        <w:rPr>
          <w:rFonts w:cs="David"/>
        </w:rPr>
        <w:t>)</w:t>
      </w:r>
      <w:r>
        <w:rPr>
          <w:rFonts w:cs="David"/>
        </w:rPr>
        <w:t xml:space="preserve"> moved his academy from Nehardea to Sura is not established from the sources consulted and is left as his report (Open Questions, no. 10).</w:t>
      </w:r>
    </w:p>
    <w:p>
      <w:pPr>
        <w:ind w:left="360" w:hanging="360"/>
      </w:pPr>
      <w:r>
        <w:rPr>
          <w:rFonts w:cs="David"/>
          <w:b/>
          <w:color w:val="1E3A8A"/>
        </w:rPr>
        <w:t xml:space="preserve">19.  </w:t>
      </w:r>
      <w:r>
        <w:rPr>
          <w:rFonts w:cs="David" w:ascii="David" w:hAnsi="David"/>
          <w:b/>
          <w:color w:val="1E3A8A"/>
          <w:rtl/>
        </w:rPr>
        <w:t>תשובות רב נטרונאי גאון</w:t>
      </w:r>
      <w:r>
        <w:rPr>
          <w:rFonts w:cs="David"/>
          <w:b/>
          <w:color w:val="1E3A8A"/>
        </w:rPr>
        <w:t>, ed. Brody (Jerusalem 1994).</w:t>
      </w:r>
      <w:r>
        <w:rPr>
          <w:rFonts w:cs="David"/>
        </w:rPr>
        <w:t xml:space="preserve"> Rav Natronai bar Hilai headed Sura c. 853–858. The edition by Robert Brody is the modern critical one; the publisher named in the working text (Yad HaRav Herzog) was not confirmed and is omitted. The responsum to Lucena in which </w:t>
      </w:r>
      <w:r>
        <w:rPr>
          <w:rFonts w:cs="David"/>
          <w:i/>
        </w:rPr>
        <w:t>Lamnatzeach</w:t>
      </w:r>
      <w:r>
        <w:rPr>
          <w:rFonts w:cs="David"/>
        </w:rPr>
        <w:t xml:space="preserve"> (</w:t>
      </w:r>
      <w:r>
        <w:rPr>
          <w:rFonts w:cs="David" w:ascii="David" w:hAnsi="David"/>
          <w:color w:val="1E3A8A"/>
          <w:rtl/>
        </w:rPr>
        <w:t>למנצח</w:t>
      </w:r>
      <w:r>
        <w:rPr>
          <w:rFonts w:cs="David"/>
        </w:rPr>
        <w:t>)</w:t>
      </w:r>
      <w:r>
        <w:rPr>
          <w:rFonts w:cs="David"/>
        </w:rPr>
        <w:t xml:space="preserve"> is first mentioned was not located (Open Questions, no. 11).</w:t>
      </w:r>
    </w:p>
    <w:p>
      <w:pPr>
        <w:ind w:left="360" w:hanging="360"/>
      </w:pPr>
      <w:r>
        <w:rPr>
          <w:rFonts w:cs="David"/>
          <w:b/>
          <w:color w:val="1E3A8A"/>
        </w:rPr>
        <w:t xml:space="preserve">20.  </w:t>
      </w:r>
      <w:r>
        <w:rPr>
          <w:rFonts w:cs="David" w:ascii="David" w:hAnsi="David"/>
          <w:b/>
          <w:color w:val="1E3A8A"/>
          <w:rtl/>
        </w:rPr>
        <w:t>מגילה כ״ט ע״א</w:t>
      </w:r>
      <w:r>
        <w:rPr>
          <w:rFonts w:cs="David"/>
          <w:b/>
          <w:color w:val="1E3A8A"/>
        </w:rPr>
        <w:t>.</w:t>
      </w:r>
      <w:r>
        <w:rPr>
          <w:rFonts w:cs="David"/>
        </w:rPr>
        <w:t xml:space="preserve"> Confirmed on Sefaria. Rabbi Yitzchak reads </w:t>
      </w:r>
      <w:r>
        <w:rPr>
          <w:rFonts w:cs="David" w:ascii="David" w:hAnsi="David"/>
          <w:color w:val="1E3A8A"/>
          <w:rtl/>
        </w:rPr>
        <w:t>ואהי להם למקדש מעט</w:t>
      </w:r>
      <w:r>
        <w:rPr>
          <w:rFonts w:cs="David"/>
        </w:rPr>
        <w:t xml:space="preserve"> (Yechezkel 11:16) of the synagogues and study halls in Babylonia, and Rabbi Elazar of the house of our master in Babylonia, i.e. Rav. The lecturer’s identification of that house with a synagogue Rav founded at Sura is his report.</w:t>
      </w:r>
    </w:p>
    <w:p>
      <w:pPr>
        <w:ind w:left="360" w:hanging="360"/>
      </w:pPr>
      <w:r>
        <w:rPr>
          <w:rFonts w:cs="David"/>
          <w:b/>
          <w:color w:val="1E3A8A"/>
        </w:rPr>
        <w:t xml:space="preserve">21.  </w:t>
      </w:r>
      <w:r>
        <w:rPr>
          <w:rFonts w:cs="David" w:ascii="David" w:hAnsi="David"/>
          <w:b/>
          <w:color w:val="1E3A8A"/>
          <w:rtl/>
        </w:rPr>
        <w:t>משנה ברכות ה׳:א׳</w:t>
      </w:r>
      <w:r>
        <w:rPr>
          <w:rFonts w:cs="David"/>
          <w:b/>
          <w:color w:val="1E3A8A"/>
        </w:rPr>
        <w:t xml:space="preserve">; </w:t>
      </w:r>
      <w:r>
        <w:rPr>
          <w:rFonts w:cs="David" w:ascii="David" w:hAnsi="David"/>
          <w:b/>
          <w:color w:val="1E3A8A"/>
          <w:rtl/>
        </w:rPr>
        <w:t>ברכות ל״ב ע״ב</w:t>
      </w:r>
      <w:r>
        <w:rPr>
          <w:rFonts w:cs="David"/>
          <w:b/>
          <w:color w:val="1E3A8A"/>
        </w:rPr>
        <w:t xml:space="preserve">; </w:t>
      </w:r>
      <w:r>
        <w:rPr>
          <w:rFonts w:cs="David" w:ascii="David" w:hAnsi="David"/>
          <w:b/>
          <w:color w:val="1E3A8A"/>
          <w:rtl/>
        </w:rPr>
        <w:t>ירושלמי ברכות ה׳:א׳</w:t>
      </w:r>
      <w:r>
        <w:rPr>
          <w:rFonts w:cs="David"/>
          <w:b/>
          <w:color w:val="1E3A8A"/>
        </w:rPr>
        <w:t>.</w:t>
      </w:r>
      <w:r>
        <w:rPr>
          <w:rFonts w:cs="David"/>
        </w:rPr>
        <w:t xml:space="preserve"> Confirmed on Sefaria. The Mishnah has the early pious wait an hour before praying; the Baraisa on 32b has them wait an hour, pray, and wait an hour after, from </w:t>
      </w:r>
      <w:r>
        <w:rPr>
          <w:rFonts w:cs="David" w:ascii="David" w:hAnsi="David"/>
          <w:color w:val="1E3A8A"/>
          <w:rtl/>
        </w:rPr>
        <w:t>אשרי יושבי ביתך</w:t>
      </w:r>
      <w:r>
        <w:rPr>
          <w:rFonts w:cs="David"/>
        </w:rPr>
        <w:t xml:space="preserve"> (Tehillim 84:5) and </w:t>
      </w:r>
      <w:r>
        <w:rPr>
          <w:rFonts w:cs="David" w:ascii="David" w:hAnsi="David"/>
          <w:color w:val="1E3A8A"/>
          <w:rtl/>
        </w:rPr>
        <w:t>אך צדיקים יודו לשמך</w:t>
      </w:r>
      <w:r>
        <w:rPr>
          <w:rFonts w:cs="David"/>
        </w:rPr>
        <w:t xml:space="preserve"> (140:14); the Yerushalmi on the Mishnah in 5:1 likewise speaks of an hour after prayer. The lecturer cited the Mishnah; the summary and the working text cited the Yerushalmi.</w:t>
      </w:r>
    </w:p>
    <w:p>
      <w:pPr>
        <w:ind w:left="360" w:hanging="360"/>
      </w:pPr>
      <w:r>
        <w:rPr>
          <w:rFonts w:cs="David"/>
          <w:b/>
          <w:color w:val="1E3A8A"/>
        </w:rPr>
        <w:t xml:space="preserve">22.  </w:t>
      </w:r>
      <w:r>
        <w:rPr>
          <w:rFonts w:cs="David" w:ascii="David" w:hAnsi="David"/>
          <w:b/>
          <w:color w:val="1E3A8A"/>
          <w:rtl/>
        </w:rPr>
        <w:t>רמב״ם, הלכות תפילה ד׳:ט״ז</w:t>
      </w:r>
      <w:r>
        <w:rPr>
          <w:rFonts w:cs="David"/>
          <w:b/>
          <w:color w:val="1E3A8A"/>
        </w:rPr>
        <w:t>.</w:t>
      </w:r>
      <w:r>
        <w:rPr>
          <w:rFonts w:cs="David"/>
        </w:rPr>
        <w:t xml:space="preserve"> Confirmed on Sefaria: the pious of earlier generations would wait an hour before praying and an hour after. The halakhah cites no source.</w:t>
      </w:r>
    </w:p>
    <w:p>
      <w:pPr>
        <w:ind w:left="360" w:hanging="360"/>
      </w:pPr>
      <w:r>
        <w:rPr>
          <w:rFonts w:cs="David"/>
          <w:b/>
          <w:color w:val="1E3A8A"/>
        </w:rPr>
        <w:t xml:space="preserve">23.  </w:t>
      </w:r>
      <w:r>
        <w:rPr>
          <w:rFonts w:cs="David"/>
          <w:b/>
          <w:color w:val="1E3A8A"/>
        </w:rPr>
        <w:t xml:space="preserve">The legend of </w:t>
      </w:r>
      <w:r>
        <w:rPr>
          <w:rFonts w:cs="David"/>
          <w:b/>
          <w:i/>
          <w:color w:val="1E3A8A"/>
        </w:rPr>
        <w:t>Rav Natronai</w:t>
      </w:r>
      <w:r>
        <w:rPr>
          <w:rFonts w:cs="David"/>
          <w:b/>
          <w:color w:val="1E3A8A"/>
        </w:rPr>
        <w:t xml:space="preserve"> (</w:t>
      </w:r>
      <w:r>
        <w:rPr>
          <w:rFonts w:cs="David" w:ascii="David" w:hAnsi="David"/>
          <w:b/>
          <w:color w:val="1E3A8A"/>
          <w:rtl/>
        </w:rPr>
        <w:t>רב נטרונאי</w:t>
      </w:r>
      <w:r>
        <w:rPr>
          <w:rFonts w:cs="David"/>
          <w:b/>
          <w:color w:val="1E3A8A"/>
        </w:rPr>
        <w:t>)</w:t>
      </w:r>
      <w:r>
        <w:rPr>
          <w:rFonts w:cs="David"/>
          <w:b/>
          <w:color w:val="1E3A8A"/>
        </w:rPr>
        <w:t xml:space="preserve">; the reply of </w:t>
      </w:r>
      <w:r>
        <w:rPr>
          <w:rFonts w:cs="David"/>
          <w:b/>
          <w:i/>
          <w:color w:val="1E3A8A"/>
        </w:rPr>
        <w:t>Rav Hai</w:t>
      </w:r>
      <w:r>
        <w:rPr>
          <w:rFonts w:cs="David"/>
          <w:b/>
          <w:color w:val="1E3A8A"/>
        </w:rPr>
        <w:t xml:space="preserve"> (</w:t>
      </w:r>
      <w:r>
        <w:rPr>
          <w:rFonts w:cs="David" w:ascii="David" w:hAnsi="David"/>
          <w:b/>
          <w:color w:val="1E3A8A"/>
          <w:rtl/>
        </w:rPr>
        <w:t>רב האי</w:t>
      </w:r>
      <w:r>
        <w:rPr>
          <w:rFonts w:cs="David"/>
          <w:b/>
          <w:color w:val="1E3A8A"/>
        </w:rPr>
        <w:t>)</w:t>
      </w:r>
      <w:r>
        <w:rPr>
          <w:rFonts w:cs="David"/>
          <w:b/>
          <w:color w:val="1E3A8A"/>
        </w:rPr>
        <w:t>.</w:t>
      </w:r>
      <w:r>
        <w:rPr>
          <w:rFonts w:cs="David"/>
        </w:rPr>
        <w:t xml:space="preserve"> As the lecturer relates it. The reply of Rav Hai was not located. In the commonly told version the legend places Rav Natronai in Germany (Mainz) and not in Spain; the lecturer said Spain (Open Questions, no. 12).</w:t>
      </w:r>
    </w:p>
    <w:p>
      <w:pPr>
        <w:ind w:left="360" w:hanging="360"/>
      </w:pPr>
      <w:r>
        <w:rPr>
          <w:rFonts w:cs="David"/>
          <w:b/>
          <w:color w:val="1E3A8A"/>
        </w:rPr>
        <w:t xml:space="preserve">24.  </w:t>
      </w:r>
      <w:r>
        <w:rPr>
          <w:rFonts w:cs="David" w:ascii="David" w:hAnsi="David"/>
          <w:b/>
          <w:color w:val="1E3A8A"/>
          <w:rtl/>
        </w:rPr>
        <w:t>ברכות ט׳ ע״ב</w:t>
      </w:r>
      <w:r>
        <w:rPr>
          <w:rFonts w:cs="David"/>
          <w:b/>
          <w:color w:val="1E3A8A"/>
        </w:rPr>
        <w:t>.</w:t>
      </w:r>
      <w:r>
        <w:rPr>
          <w:rFonts w:cs="David"/>
        </w:rPr>
        <w:t xml:space="preserve"> Confirmed on Sefaria: the Gemara counts nineteen chapters up to </w:t>
      </w:r>
      <w:r>
        <w:rPr>
          <w:rFonts w:cs="David" w:ascii="David" w:hAnsi="David"/>
          <w:color w:val="1E3A8A"/>
          <w:rtl/>
        </w:rPr>
        <w:t>יהיו לרצון</w:t>
      </w:r>
      <w:r>
        <w:rPr>
          <w:rFonts w:cs="David"/>
        </w:rPr>
        <w:t xml:space="preserve"> (Tehillim 19:15) against the Sages’ eighteen, and resolves it by treating chapters 1 and 2 as one. Hence our chapter 20 is the nineteenth in the older count. The working text had the numbers reversed; the lecturer’s own wording is unclear and is rendered here as the Gemara has it.</w:t>
      </w:r>
    </w:p>
    <w:p>
      <w:pPr>
        <w:ind w:left="360" w:hanging="360"/>
      </w:pPr>
      <w:r>
        <w:rPr>
          <w:rFonts w:cs="David"/>
          <w:b/>
          <w:color w:val="1E3A8A"/>
        </w:rPr>
        <w:t xml:space="preserve">25.  </w:t>
      </w:r>
      <w:r>
        <w:rPr>
          <w:rFonts w:cs="David" w:ascii="David" w:hAnsi="David"/>
          <w:b/>
          <w:color w:val="1E3A8A"/>
          <w:rtl/>
        </w:rPr>
        <w:t>תהלים כ׳:ב׳</w:t>
      </w:r>
      <w:r>
        <w:rPr>
          <w:rFonts w:cs="David"/>
          <w:b/>
          <w:color w:val="1E3A8A"/>
        </w:rPr>
        <w:t>.</w:t>
      </w:r>
      <w:r>
        <w:rPr>
          <w:rFonts w:cs="David"/>
        </w:rPr>
        <w:t xml:space="preserve"> Confirmed on Sefaria: “May God answer you in time of trouble, the name of Jacob’s God keep you safe.”</w:t>
      </w:r>
    </w:p>
    <w:p>
      <w:pPr>
        <w:ind w:left="360" w:hanging="360"/>
      </w:pPr>
      <w:r>
        <w:rPr>
          <w:rFonts w:cs="David"/>
          <w:b/>
          <w:color w:val="1E3A8A"/>
        </w:rPr>
        <w:t xml:space="preserve">26.  </w:t>
      </w:r>
      <w:r>
        <w:rPr>
          <w:rFonts w:cs="David" w:ascii="David" w:hAnsi="David"/>
          <w:b/>
          <w:color w:val="1E3A8A"/>
          <w:rtl/>
        </w:rPr>
        <w:t>ירושלמי ברכות</w:t>
      </w:r>
      <w:r>
        <w:rPr>
          <w:rFonts w:cs="David"/>
          <w:b/>
          <w:color w:val="1E3A8A"/>
        </w:rPr>
        <w:t>.</w:t>
      </w:r>
      <w:r>
        <w:rPr>
          <w:rFonts w:cs="David"/>
        </w:rPr>
        <w:t xml:space="preserve"> Not located. The Yerushalmi on </w:t>
      </w:r>
      <w:r>
        <w:rPr>
          <w:rFonts w:cs="David"/>
          <w:i/>
        </w:rPr>
        <w:t>Berachos</w:t>
      </w:r>
      <w:r>
        <w:rPr>
          <w:rFonts w:cs="David"/>
        </w:rPr>
        <w:t xml:space="preserve"> (</w:t>
      </w:r>
      <w:r>
        <w:rPr>
          <w:rFonts w:cs="David" w:ascii="David" w:hAnsi="David"/>
          <w:color w:val="1E3A8A"/>
          <w:rtl/>
        </w:rPr>
        <w:t>ברכות</w:t>
      </w:r>
      <w:r>
        <w:rPr>
          <w:rFonts w:cs="David"/>
        </w:rPr>
        <w:t>)</w:t>
      </w:r>
      <w:r>
        <w:rPr>
          <w:rFonts w:cs="David"/>
        </w:rPr>
        <w:t xml:space="preserve"> 4:4 and 5:1 on Sefaria do not cite </w:t>
      </w:r>
      <w:r>
        <w:rPr>
          <w:rFonts w:cs="David" w:ascii="David" w:hAnsi="David"/>
          <w:color w:val="1E3A8A"/>
          <w:rtl/>
        </w:rPr>
        <w:t>תהלים כ׳:ב׳</w:t>
      </w:r>
      <w:r>
        <w:rPr>
          <w:rFonts w:cs="David"/>
        </w:rPr>
        <w:t xml:space="preserve"> in this connection. The lecturer said he found the source the night before; he cited no chapter. The phrase he quoted is as transcribed from the recording (Open Questions, no. 13).</w:t>
      </w:r>
    </w:p>
    <w:p>
      <w:pPr>
        <w:ind w:left="360" w:hanging="360"/>
      </w:pPr>
      <w:r>
        <w:rPr>
          <w:rFonts w:cs="David"/>
          <w:b/>
          <w:color w:val="1E3A8A"/>
        </w:rPr>
        <w:t xml:space="preserve">27.  </w:t>
      </w:r>
      <w:r>
        <w:rPr>
          <w:rFonts w:cs="David" w:ascii="David" w:hAnsi="David"/>
          <w:b/>
          <w:color w:val="1E3A8A"/>
          <w:rtl/>
        </w:rPr>
        <w:t>משנה מכות ג׳:ט״ז</w:t>
      </w:r>
      <w:r>
        <w:rPr>
          <w:rFonts w:cs="David"/>
          <w:b/>
          <w:color w:val="1E3A8A"/>
        </w:rPr>
        <w:t>.</w:t>
      </w:r>
      <w:r>
        <w:rPr>
          <w:rFonts w:cs="David"/>
        </w:rPr>
        <w:t xml:space="preserve"> The closing </w:t>
      </w:r>
      <w:r>
        <w:rPr>
          <w:rFonts w:cs="David"/>
          <w:i/>
        </w:rPr>
        <w:t>Mishnah</w:t>
      </w:r>
      <w:r>
        <w:rPr>
          <w:rFonts w:cs="David"/>
        </w:rPr>
        <w:t xml:space="preserve"> (</w:t>
      </w:r>
      <w:r>
        <w:rPr>
          <w:rFonts w:cs="David" w:ascii="David" w:hAnsi="David"/>
          <w:color w:val="1E3A8A"/>
          <w:rtl/>
        </w:rPr>
        <w:t>משנה</w:t>
      </w:r>
      <w:r>
        <w:rPr>
          <w:rFonts w:cs="David"/>
        </w:rPr>
        <w:t>)</w:t>
      </w:r>
      <w:r>
        <w:rPr>
          <w:rFonts w:cs="David"/>
        </w:rPr>
        <w:t xml:space="preserve"> recited by the lecturer at the end of the recording; the text was not retrieved for this edition.</w:t>
      </w:r>
    </w:p>
    <w:p>
      <w:pPr>
        <w:spacing w:before="480"/>
      </w:pPr>
      <w:r>
        <w:rPr>
          <w:rFonts w:cs="David"/>
          <w:b/>
          <w:color w:val="1E3A8A"/>
          <w:sz w:val="26"/>
        </w:rPr>
        <w:t>EDITORIAL NOTES · OPEN QUESTIONS</w:t>
      </w:r>
    </w:p>
    <w:p>
      <w:pPr>
        <w:spacing w:after="120"/>
      </w:pPr>
      <w:r>
        <w:rPr>
          <w:rFonts w:cs="David"/>
          <w:i/>
          <w:color w:val="5A4B1A"/>
          <w:sz w:val="19"/>
        </w:rPr>
        <w:t>Items unresolved at the time of writing, to be settled with the lecturer or from the sources before printing.</w:t>
      </w:r>
    </w:p>
    <w:p>
      <w:pPr>
        <w:ind w:left="360" w:hanging="360"/>
      </w:pPr>
      <w:r>
        <w:rPr>
          <w:rFonts w:cs="David"/>
        </w:rPr>
        <w:t xml:space="preserve">1.  </w:t>
      </w:r>
      <w:r>
        <w:rPr>
          <w:rFonts w:cs="David"/>
          <w:b/>
        </w:rPr>
        <w:t>The attribution to Moshe at Mei Marah.</w:t>
      </w:r>
      <w:r>
        <w:rPr>
          <w:rFonts w:cs="David"/>
        </w:rPr>
        <w:t xml:space="preserve"> The lecturer said that Moshe instituted the three-day reading; the Gemara in </w:t>
      </w:r>
      <w:r>
        <w:rPr>
          <w:rFonts w:cs="David"/>
          <w:i/>
        </w:rPr>
        <w:t>Bava Kamma</w:t>
      </w:r>
      <w:r>
        <w:rPr>
          <w:rFonts w:cs="David"/>
        </w:rPr>
        <w:t xml:space="preserve"> (</w:t>
      </w:r>
      <w:r>
        <w:rPr>
          <w:rFonts w:cs="David" w:ascii="David" w:hAnsi="David"/>
          <w:color w:val="1E3A8A"/>
          <w:rtl/>
        </w:rPr>
        <w:t>בבא קמא</w:t>
      </w:r>
      <w:r>
        <w:rPr>
          <w:rFonts w:cs="David"/>
        </w:rPr>
        <w:t>)</w:t>
      </w:r>
      <w:r>
        <w:rPr>
          <w:rFonts w:cs="David"/>
        </w:rPr>
        <w:t xml:space="preserve"> 82a, as retrieved, says “the prophets.” To be sourced.</w:t>
      </w:r>
    </w:p>
    <w:p>
      <w:pPr>
        <w:ind w:left="360" w:hanging="360"/>
      </w:pPr>
      <w:r>
        <w:rPr>
          <w:rFonts w:cs="David"/>
        </w:rPr>
        <w:t xml:space="preserve">2.  </w:t>
      </w:r>
      <w:r>
        <w:rPr>
          <w:rFonts w:cs="David"/>
          <w:b/>
          <w:i/>
        </w:rPr>
        <w:t>Mishnah Halachos</w:t>
      </w:r>
      <w:r>
        <w:rPr>
          <w:rFonts w:cs="David"/>
          <w:b/>
        </w:rPr>
        <w:t xml:space="preserve"> (</w:t>
      </w:r>
      <w:r>
        <w:rPr>
          <w:rFonts w:cs="David" w:ascii="David" w:hAnsi="David"/>
          <w:b/>
          <w:color w:val="1E3A8A"/>
          <w:rtl/>
        </w:rPr>
        <w:t>משנה הלכות</w:t>
      </w:r>
      <w:r>
        <w:rPr>
          <w:rFonts w:cs="David"/>
          <w:b/>
        </w:rPr>
        <w:t>)</w:t>
      </w:r>
      <w:r>
        <w:rPr>
          <w:rFonts w:cs="David"/>
          <w:b/>
        </w:rPr>
        <w:t>.</w:t>
      </w:r>
      <w:r>
        <w:rPr>
          <w:rFonts w:cs="David"/>
        </w:rPr>
        <w:t xml:space="preserve"> The tract on </w:t>
      </w:r>
      <w:r>
        <w:rPr>
          <w:rFonts w:cs="David"/>
          <w:i/>
        </w:rPr>
        <w:t>Baruch Hu uvaruch Shemo</w:t>
      </w:r>
      <w:r>
        <w:rPr>
          <w:rFonts w:cs="David"/>
        </w:rPr>
        <w:t xml:space="preserve"> (</w:t>
      </w:r>
      <w:r>
        <w:rPr>
          <w:rFonts w:cs="David" w:ascii="David" w:hAnsi="David"/>
          <w:color w:val="1E3A8A"/>
          <w:rtl/>
        </w:rPr>
        <w:t>ברוך הוא וברוך שמו</w:t>
      </w:r>
      <w:r>
        <w:rPr>
          <w:rFonts w:cs="David"/>
        </w:rPr>
        <w:t>)</w:t>
      </w:r>
      <w:r>
        <w:rPr>
          <w:rFonts w:cs="David"/>
        </w:rPr>
        <w:t xml:space="preserve"> and the biographical particulars of its author to be confirmed.</w:t>
      </w:r>
    </w:p>
    <w:p>
      <w:pPr>
        <w:ind w:left="360" w:hanging="360"/>
      </w:pPr>
      <w:r>
        <w:rPr>
          <w:rFonts w:cs="David"/>
        </w:rPr>
        <w:t xml:space="preserve">3.  </w:t>
      </w:r>
      <w:r>
        <w:rPr>
          <w:rFonts w:cs="David"/>
          <w:b/>
        </w:rPr>
        <w:t xml:space="preserve">The author of </w:t>
      </w:r>
      <w:r>
        <w:rPr>
          <w:rFonts w:cs="David"/>
          <w:b/>
          <w:i/>
        </w:rPr>
        <w:t>Shalmei Nedarim</w:t>
      </w:r>
      <w:r>
        <w:rPr>
          <w:rFonts w:cs="David"/>
          <w:b/>
        </w:rPr>
        <w:t xml:space="preserve"> (</w:t>
      </w:r>
      <w:r>
        <w:rPr>
          <w:rFonts w:cs="David" w:ascii="David" w:hAnsi="David"/>
          <w:b/>
          <w:color w:val="1E3A8A"/>
          <w:rtl/>
        </w:rPr>
        <w:t>שלמי נדרים</w:t>
      </w:r>
      <w:r>
        <w:rPr>
          <w:rFonts w:cs="David"/>
          <w:b/>
        </w:rPr>
        <w:t>)</w:t>
      </w:r>
      <w:r>
        <w:rPr>
          <w:rFonts w:cs="David"/>
          <w:b/>
        </w:rPr>
        <w:t>.</w:t>
      </w:r>
      <w:r>
        <w:rPr>
          <w:rFonts w:cs="David"/>
        </w:rPr>
        <w:t xml:space="preserve"> Name (Kaplan or Shefelin), rabbinate and the quoted question to be confirmed from the book.</w:t>
      </w:r>
    </w:p>
    <w:p>
      <w:pPr>
        <w:ind w:left="360" w:hanging="360"/>
      </w:pPr>
      <w:r>
        <w:rPr>
          <w:rFonts w:cs="David"/>
        </w:rPr>
        <w:t xml:space="preserve">4.  </w:t>
      </w:r>
      <w:r>
        <w:rPr>
          <w:rFonts w:cs="David"/>
          <w:b/>
        </w:rPr>
        <w:t xml:space="preserve">The </w:t>
      </w:r>
      <w:r>
        <w:rPr>
          <w:rFonts w:cs="David"/>
          <w:b/>
          <w:i/>
        </w:rPr>
        <w:t>Rosh</w:t>
      </w:r>
      <w:r>
        <w:rPr>
          <w:rFonts w:cs="David"/>
          <w:b/>
        </w:rPr>
        <w:t xml:space="preserve"> (</w:t>
      </w:r>
      <w:r>
        <w:rPr>
          <w:rFonts w:cs="David" w:ascii="David" w:hAnsi="David"/>
          <w:b/>
          <w:color w:val="1E3A8A"/>
          <w:rtl/>
        </w:rPr>
        <w:t>רא״ש</w:t>
      </w:r>
      <w:r>
        <w:rPr>
          <w:rFonts w:cs="David"/>
          <w:b/>
        </w:rPr>
        <w:t>)</w:t>
      </w:r>
      <w:r>
        <w:rPr>
          <w:rFonts w:cs="David"/>
          <w:b/>
        </w:rPr>
        <w:t xml:space="preserve"> on the reading as an offering.</w:t>
      </w:r>
      <w:r>
        <w:rPr>
          <w:rFonts w:cs="David"/>
        </w:rPr>
        <w:t xml:space="preserve"> Not found in </w:t>
      </w:r>
      <w:r>
        <w:rPr>
          <w:rFonts w:cs="David"/>
          <w:i/>
        </w:rPr>
        <w:t>Berachos</w:t>
      </w:r>
      <w:r>
        <w:rPr>
          <w:rFonts w:cs="David"/>
        </w:rPr>
        <w:t xml:space="preserve"> (</w:t>
      </w:r>
      <w:r>
        <w:rPr>
          <w:rFonts w:cs="David" w:ascii="David" w:hAnsi="David"/>
          <w:color w:val="1E3A8A"/>
          <w:rtl/>
        </w:rPr>
        <w:t>ברכות</w:t>
      </w:r>
      <w:r>
        <w:rPr>
          <w:rFonts w:cs="David"/>
        </w:rPr>
        <w:t>)</w:t>
      </w:r>
      <w:r>
        <w:rPr>
          <w:rFonts w:cs="David"/>
        </w:rPr>
        <w:t xml:space="preserve"> ch. 9; to be located.</w:t>
      </w:r>
    </w:p>
    <w:p>
      <w:pPr>
        <w:ind w:left="360" w:hanging="360"/>
      </w:pPr>
      <w:r>
        <w:rPr>
          <w:rFonts w:cs="David"/>
        </w:rPr>
        <w:t xml:space="preserve">5.  </w:t>
      </w:r>
      <w:r>
        <w:rPr>
          <w:rFonts w:cs="David"/>
          <w:b/>
          <w:i/>
        </w:rPr>
        <w:t>Hisorerus Teshuvah</w:t>
      </w:r>
      <w:r>
        <w:rPr>
          <w:rFonts w:cs="David"/>
          <w:b/>
        </w:rPr>
        <w:t xml:space="preserve"> (</w:t>
      </w:r>
      <w:r>
        <w:rPr>
          <w:rFonts w:cs="David" w:ascii="David" w:hAnsi="David"/>
          <w:b/>
          <w:color w:val="1E3A8A"/>
          <w:rtl/>
        </w:rPr>
        <w:t>התעוררות תשובה</w:t>
      </w:r>
      <w:r>
        <w:rPr>
          <w:rFonts w:cs="David"/>
          <w:b/>
        </w:rPr>
        <w:t>)</w:t>
      </w:r>
      <w:r>
        <w:rPr>
          <w:rFonts w:cs="David"/>
          <w:b/>
        </w:rPr>
        <w:t>.</w:t>
      </w:r>
      <w:r>
        <w:rPr>
          <w:rFonts w:cs="David"/>
        </w:rPr>
        <w:t xml:space="preserve"> The question on </w:t>
      </w:r>
      <w:r>
        <w:rPr>
          <w:rFonts w:cs="David"/>
          <w:i/>
        </w:rPr>
        <w:t>Amen</w:t>
      </w:r>
      <w:r>
        <w:rPr>
          <w:rFonts w:cs="David"/>
        </w:rPr>
        <w:t xml:space="preserve"> (</w:t>
      </w:r>
      <w:r>
        <w:rPr>
          <w:rFonts w:cs="David" w:ascii="David" w:hAnsi="David"/>
          <w:color w:val="1E3A8A"/>
          <w:rtl/>
        </w:rPr>
        <w:t>אמן</w:t>
      </w:r>
      <w:r>
        <w:rPr>
          <w:rFonts w:cs="David"/>
        </w:rPr>
        <w:t>)</w:t>
      </w:r>
      <w:r>
        <w:rPr>
          <w:rFonts w:cs="David"/>
        </w:rPr>
        <w:t xml:space="preserve"> and </w:t>
      </w:r>
      <w:r>
        <w:rPr>
          <w:rFonts w:cs="David" w:ascii="David" w:hAnsi="David"/>
          <w:color w:val="1E3A8A"/>
          <w:rtl/>
        </w:rPr>
        <w:t>מי שגמלך</w:t>
      </w:r>
      <w:r>
        <w:rPr>
          <w:rFonts w:cs="David"/>
        </w:rPr>
        <w:t>, and the biographical report of the author’s age and death, to be confirmed with the work. Restored from the recording, omitted from the earlier text.</w:t>
      </w:r>
    </w:p>
    <w:p>
      <w:pPr>
        <w:ind w:left="360" w:hanging="360"/>
      </w:pPr>
      <w:r>
        <w:rPr>
          <w:rFonts w:cs="David"/>
        </w:rPr>
        <w:t xml:space="preserve">6.  </w:t>
      </w:r>
      <w:r>
        <w:rPr>
          <w:rFonts w:cs="David"/>
          <w:b/>
        </w:rPr>
        <w:t xml:space="preserve">The </w:t>
      </w:r>
      <w:r>
        <w:rPr>
          <w:rFonts w:cs="David"/>
          <w:b/>
          <w:i/>
        </w:rPr>
        <w:t>Machzor Vitry</w:t>
      </w:r>
      <w:r>
        <w:rPr>
          <w:rFonts w:cs="David"/>
          <w:b/>
        </w:rPr>
        <w:t xml:space="preserve"> (</w:t>
      </w:r>
      <w:r>
        <w:rPr>
          <w:rFonts w:cs="David" w:ascii="David" w:hAnsi="David"/>
          <w:b/>
          <w:color w:val="1E3A8A"/>
          <w:rtl/>
        </w:rPr>
        <w:t>מחזור ויטרי</w:t>
      </w:r>
      <w:r>
        <w:rPr>
          <w:rFonts w:cs="David"/>
          <w:b/>
        </w:rPr>
        <w:t>)</w:t>
      </w:r>
      <w:r>
        <w:rPr>
          <w:rFonts w:cs="David"/>
          <w:b/>
        </w:rPr>
        <w:t>.</w:t>
      </w:r>
      <w:r>
        <w:rPr>
          <w:rFonts w:cs="David"/>
        </w:rPr>
        <w:t xml:space="preserve"> The passage on </w:t>
      </w:r>
      <w:r>
        <w:rPr>
          <w:rFonts w:cs="David"/>
          <w:i/>
        </w:rPr>
        <w:t>Shabbos Minchah</w:t>
      </w:r>
      <w:r>
        <w:rPr>
          <w:rFonts w:cs="David"/>
        </w:rPr>
        <w:t xml:space="preserve"> (</w:t>
      </w:r>
      <w:r>
        <w:rPr>
          <w:rFonts w:cs="David" w:ascii="David" w:hAnsi="David"/>
          <w:color w:val="1E3A8A"/>
          <w:rtl/>
        </w:rPr>
        <w:t>שבת מנחה</w:t>
      </w:r>
      <w:r>
        <w:rPr>
          <w:rFonts w:cs="David"/>
        </w:rPr>
        <w:t>)</w:t>
      </w:r>
      <w:r>
        <w:rPr>
          <w:rFonts w:cs="David"/>
        </w:rPr>
        <w:t xml:space="preserve"> to be located.</w:t>
      </w:r>
    </w:p>
    <w:p>
      <w:pPr>
        <w:ind w:left="360" w:hanging="360"/>
      </w:pPr>
      <w:r>
        <w:rPr>
          <w:rFonts w:cs="David"/>
        </w:rPr>
        <w:t xml:space="preserve">7.  </w:t>
      </w:r>
      <w:r>
        <w:rPr>
          <w:rFonts w:cs="David"/>
          <w:b/>
          <w:i/>
        </w:rPr>
        <w:t>Mishnah Berurah</w:t>
      </w:r>
      <w:r>
        <w:rPr>
          <w:rFonts w:cs="David"/>
          <w:b/>
        </w:rPr>
        <w:t xml:space="preserve"> (</w:t>
      </w:r>
      <w:r>
        <w:rPr>
          <w:rFonts w:cs="David" w:ascii="David" w:hAnsi="David"/>
          <w:b/>
          <w:color w:val="1E3A8A"/>
          <w:rtl/>
        </w:rPr>
        <w:t>משנה ברורה</w:t>
      </w:r>
      <w:r>
        <w:rPr>
          <w:rFonts w:cs="David"/>
          <w:b/>
        </w:rPr>
        <w:t>)</w:t>
      </w:r>
      <w:r>
        <w:rPr>
          <w:rFonts w:cs="David"/>
          <w:b/>
        </w:rPr>
        <w:t xml:space="preserve"> on the intention at </w:t>
      </w:r>
      <w:r>
        <w:rPr>
          <w:rFonts w:cs="David" w:ascii="David" w:hAnsi="David"/>
          <w:b/>
          <w:color w:val="1E3A8A"/>
          <w:rtl/>
        </w:rPr>
        <w:t>פותח את ידך</w:t>
      </w:r>
      <w:r>
        <w:rPr>
          <w:rFonts w:cs="David"/>
          <w:b/>
        </w:rPr>
        <w:t>.</w:t>
      </w:r>
      <w:r>
        <w:rPr>
          <w:rFonts w:cs="David"/>
        </w:rPr>
        <w:t xml:space="preserve"> The working text’s reference (51:16) was not retrieved; to be cited.</w:t>
      </w:r>
    </w:p>
    <w:p>
      <w:pPr>
        <w:ind w:left="360" w:hanging="360"/>
      </w:pPr>
      <w:r>
        <w:rPr>
          <w:rFonts w:cs="David"/>
        </w:rPr>
        <w:t xml:space="preserve">8.  </w:t>
      </w:r>
      <w:r>
        <w:rPr>
          <w:rFonts w:cs="David"/>
          <w:b/>
        </w:rPr>
        <w:t xml:space="preserve">The </w:t>
      </w:r>
      <w:r>
        <w:rPr>
          <w:rFonts w:cs="David"/>
          <w:b/>
          <w:i/>
        </w:rPr>
        <w:t>Gilyon HaShas</w:t>
      </w:r>
      <w:r>
        <w:rPr>
          <w:rFonts w:cs="David"/>
          <w:b/>
        </w:rPr>
        <w:t xml:space="preserve"> (</w:t>
      </w:r>
      <w:r>
        <w:rPr>
          <w:rFonts w:cs="David" w:ascii="David" w:hAnsi="David"/>
          <w:b/>
          <w:color w:val="1E3A8A"/>
          <w:rtl/>
        </w:rPr>
        <w:t>גליון הש״ס</w:t>
      </w:r>
      <w:r>
        <w:rPr>
          <w:rFonts w:cs="David"/>
          <w:b/>
        </w:rPr>
        <w:t>)</w:t>
      </w:r>
      <w:r>
        <w:rPr>
          <w:rFonts w:cs="David"/>
          <w:b/>
        </w:rPr>
        <w:t xml:space="preserve"> is confirmed (note 15); the text of the </w:t>
      </w:r>
      <w:r>
        <w:rPr>
          <w:rFonts w:cs="David"/>
          <w:b/>
          <w:i/>
        </w:rPr>
        <w:t>Rosh</w:t>
      </w:r>
      <w:r>
        <w:rPr>
          <w:rFonts w:cs="David"/>
          <w:b/>
        </w:rPr>
        <w:t xml:space="preserve"> (</w:t>
      </w:r>
      <w:r>
        <w:rPr>
          <w:rFonts w:cs="David" w:ascii="David" w:hAnsi="David"/>
          <w:b/>
          <w:color w:val="1E3A8A"/>
          <w:rtl/>
        </w:rPr>
        <w:t>רא״ש</w:t>
      </w:r>
      <w:r>
        <w:rPr>
          <w:rFonts w:cs="David"/>
          <w:b/>
        </w:rPr>
        <w:t>)</w:t>
      </w:r>
      <w:r>
        <w:rPr>
          <w:rFonts w:cs="David"/>
          <w:b/>
        </w:rPr>
        <w:t>.</w:t>
      </w:r>
      <w:r>
        <w:rPr>
          <w:rFonts w:cs="David"/>
        </w:rPr>
        <w:t xml:space="preserve"> 4b, which the note says lacks “three times,” remains to be located.</w:t>
      </w:r>
    </w:p>
    <w:p>
      <w:pPr>
        <w:ind w:left="360" w:hanging="360"/>
      </w:pPr>
      <w:r>
        <w:rPr>
          <w:rFonts w:cs="David"/>
        </w:rPr>
        <w:t xml:space="preserve">9.  </w:t>
      </w:r>
      <w:r>
        <w:rPr>
          <w:rFonts w:cs="David"/>
          <w:b/>
        </w:rPr>
        <w:t xml:space="preserve">The </w:t>
      </w:r>
      <w:r>
        <w:rPr>
          <w:rFonts w:cs="David"/>
          <w:b/>
          <w:i/>
        </w:rPr>
        <w:t>Aruch HaShulchan</w:t>
      </w:r>
      <w:r>
        <w:rPr>
          <w:rFonts w:cs="David"/>
          <w:b/>
        </w:rPr>
        <w:t xml:space="preserve"> (</w:t>
      </w:r>
      <w:r>
        <w:rPr>
          <w:rFonts w:cs="David" w:ascii="David" w:hAnsi="David"/>
          <w:b/>
          <w:color w:val="1E3A8A"/>
          <w:rtl/>
        </w:rPr>
        <w:t>ערוך השלחן</w:t>
      </w:r>
      <w:r>
        <w:rPr>
          <w:rFonts w:cs="David"/>
          <w:b/>
        </w:rPr>
        <w:t>)</w:t>
      </w:r>
      <w:r>
        <w:rPr>
          <w:rFonts w:cs="David"/>
          <w:b/>
        </w:rPr>
        <w:t>.</w:t>
      </w:r>
      <w:r>
        <w:rPr>
          <w:rFonts w:cs="David"/>
        </w:rPr>
        <w:t xml:space="preserve"> The passage on the closing Ashrei, the </w:t>
      </w:r>
      <w:r>
        <w:rPr>
          <w:rFonts w:cs="David"/>
          <w:i/>
        </w:rPr>
        <w:t>Yesod VeShoresh HaAvodah</w:t>
      </w:r>
      <w:r>
        <w:rPr>
          <w:rFonts w:cs="David"/>
        </w:rPr>
        <w:t xml:space="preserve"> (</w:t>
      </w:r>
      <w:r>
        <w:rPr>
          <w:rFonts w:cs="David" w:ascii="David" w:hAnsi="David"/>
          <w:color w:val="1E3A8A"/>
          <w:rtl/>
        </w:rPr>
        <w:t>יסוד ושורש העבודה</w:t>
      </w:r>
      <w:r>
        <w:rPr>
          <w:rFonts w:cs="David"/>
        </w:rPr>
        <w:t>)</w:t>
      </w:r>
      <w:r>
        <w:rPr>
          <w:rFonts w:cs="David"/>
        </w:rPr>
        <w:t>, the dates, and the years of rabbinate (forty-five to fifty versus over thirty-five) to be confirmed.</w:t>
      </w:r>
    </w:p>
    <w:p>
      <w:pPr>
        <w:ind w:left="360" w:hanging="360"/>
      </w:pPr>
      <w:r>
        <w:rPr>
          <w:rFonts w:cs="David"/>
        </w:rPr>
        <w:t xml:space="preserve">10.  </w:t>
      </w:r>
      <w:r>
        <w:rPr>
          <w:rFonts w:cs="David"/>
          <w:b/>
          <w:i/>
        </w:rPr>
        <w:t>Rav</w:t>
      </w:r>
      <w:r>
        <w:rPr>
          <w:rFonts w:cs="David"/>
          <w:b/>
        </w:rPr>
        <w:t xml:space="preserve"> (</w:t>
      </w:r>
      <w:r>
        <w:rPr>
          <w:rFonts w:cs="David" w:ascii="David" w:hAnsi="David"/>
          <w:b/>
          <w:color w:val="1E3A8A"/>
          <w:rtl/>
        </w:rPr>
        <w:t>רב</w:t>
      </w:r>
      <w:r>
        <w:rPr>
          <w:rFonts w:cs="David"/>
          <w:b/>
        </w:rPr>
        <w:t>)</w:t>
      </w:r>
      <w:r>
        <w:rPr>
          <w:rFonts w:cs="David"/>
          <w:b/>
        </w:rPr>
        <w:t xml:space="preserve"> and Sura.</w:t>
      </w:r>
      <w:r>
        <w:rPr>
          <w:rFonts w:cs="David"/>
        </w:rPr>
        <w:t xml:space="preserve"> Whether </w:t>
      </w:r>
      <w:r>
        <w:rPr>
          <w:rFonts w:cs="David"/>
          <w:i/>
        </w:rPr>
        <w:t>Rav</w:t>
      </w:r>
      <w:r>
        <w:rPr>
          <w:rFonts w:cs="David"/>
        </w:rPr>
        <w:t xml:space="preserve"> (</w:t>
      </w:r>
      <w:r>
        <w:rPr>
          <w:rFonts w:cs="David" w:ascii="David" w:hAnsi="David"/>
          <w:color w:val="1E3A8A"/>
          <w:rtl/>
        </w:rPr>
        <w:t>רב</w:t>
      </w:r>
      <w:r>
        <w:rPr>
          <w:rFonts w:cs="David"/>
        </w:rPr>
        <w:t>)</w:t>
      </w:r>
      <w:r>
        <w:rPr>
          <w:rFonts w:cs="David"/>
        </w:rPr>
        <w:t xml:space="preserve"> moved his academy from Nehardea to Sura, and the location of Sura, to be confirmed.</w:t>
      </w:r>
    </w:p>
    <w:p>
      <w:pPr>
        <w:ind w:left="360" w:hanging="360"/>
      </w:pPr>
      <w:r>
        <w:rPr>
          <w:rFonts w:cs="David"/>
        </w:rPr>
        <w:t xml:space="preserve">11.  </w:t>
      </w:r>
      <w:r>
        <w:rPr>
          <w:rFonts w:cs="David"/>
          <w:b/>
        </w:rPr>
        <w:t xml:space="preserve">The responsum of </w:t>
      </w:r>
      <w:r>
        <w:rPr>
          <w:rFonts w:cs="David"/>
          <w:b/>
          <w:i/>
        </w:rPr>
        <w:t>Rav Natronai</w:t>
      </w:r>
      <w:r>
        <w:rPr>
          <w:rFonts w:cs="David"/>
          <w:b/>
        </w:rPr>
        <w:t xml:space="preserve"> (</w:t>
      </w:r>
      <w:r>
        <w:rPr>
          <w:rFonts w:cs="David" w:ascii="David" w:hAnsi="David"/>
          <w:b/>
          <w:color w:val="1E3A8A"/>
          <w:rtl/>
        </w:rPr>
        <w:t>רב נטרונאי</w:t>
      </w:r>
      <w:r>
        <w:rPr>
          <w:rFonts w:cs="David"/>
          <w:b/>
        </w:rPr>
        <w:t>)</w:t>
      </w:r>
      <w:r>
        <w:rPr>
          <w:rFonts w:cs="David"/>
          <w:b/>
        </w:rPr>
        <w:t xml:space="preserve"> to Lucena.</w:t>
      </w:r>
      <w:r>
        <w:rPr>
          <w:rFonts w:cs="David"/>
        </w:rPr>
        <w:t xml:space="preserve"> The passage, the edition and its publisher, and the claim that it is the first mention of </w:t>
      </w:r>
      <w:r>
        <w:rPr>
          <w:rFonts w:cs="David"/>
          <w:i/>
        </w:rPr>
        <w:t>Lamnatzeach</w:t>
      </w:r>
      <w:r>
        <w:rPr>
          <w:rFonts w:cs="David"/>
        </w:rPr>
        <w:t xml:space="preserve"> (</w:t>
      </w:r>
      <w:r>
        <w:rPr>
          <w:rFonts w:cs="David" w:ascii="David" w:hAnsi="David"/>
          <w:color w:val="1E3A8A"/>
          <w:rtl/>
        </w:rPr>
        <w:t>למנצח</w:t>
      </w:r>
      <w:r>
        <w:rPr>
          <w:rFonts w:cs="David"/>
        </w:rPr>
        <w:t>)</w:t>
      </w:r>
      <w:r>
        <w:rPr>
          <w:rFonts w:cs="David"/>
        </w:rPr>
        <w:t>, to be located.</w:t>
      </w:r>
    </w:p>
    <w:p>
      <w:pPr>
        <w:ind w:left="360" w:hanging="360"/>
      </w:pPr>
      <w:r>
        <w:rPr>
          <w:rFonts w:cs="David"/>
        </w:rPr>
        <w:t xml:space="preserve">12.  </w:t>
      </w:r>
      <w:r>
        <w:rPr>
          <w:rFonts w:cs="David"/>
          <w:b/>
        </w:rPr>
        <w:t xml:space="preserve">The legend of </w:t>
      </w:r>
      <w:r>
        <w:rPr>
          <w:rFonts w:cs="David"/>
          <w:b/>
          <w:i/>
        </w:rPr>
        <w:t>Rav Natronai</w:t>
      </w:r>
      <w:r>
        <w:rPr>
          <w:rFonts w:cs="David"/>
          <w:b/>
        </w:rPr>
        <w:t xml:space="preserve"> (</w:t>
      </w:r>
      <w:r>
        <w:rPr>
          <w:rFonts w:cs="David" w:ascii="David" w:hAnsi="David"/>
          <w:b/>
          <w:color w:val="1E3A8A"/>
          <w:rtl/>
        </w:rPr>
        <w:t>רב נטרונאי</w:t>
      </w:r>
      <w:r>
        <w:rPr>
          <w:rFonts w:cs="David"/>
          <w:b/>
        </w:rPr>
        <w:t>)</w:t>
      </w:r>
      <w:r>
        <w:rPr>
          <w:rFonts w:cs="David"/>
          <w:b/>
        </w:rPr>
        <w:t xml:space="preserve"> and the reply of </w:t>
      </w:r>
      <w:r>
        <w:rPr>
          <w:rFonts w:cs="David"/>
          <w:b/>
          <w:i/>
        </w:rPr>
        <w:t>Rav Hai</w:t>
      </w:r>
      <w:r>
        <w:rPr>
          <w:rFonts w:cs="David"/>
          <w:b/>
        </w:rPr>
        <w:t xml:space="preserve"> (</w:t>
      </w:r>
      <w:r>
        <w:rPr>
          <w:rFonts w:cs="David" w:ascii="David" w:hAnsi="David"/>
          <w:b/>
          <w:color w:val="1E3A8A"/>
          <w:rtl/>
        </w:rPr>
        <w:t>רב האי</w:t>
      </w:r>
      <w:r>
        <w:rPr>
          <w:rFonts w:cs="David"/>
          <w:b/>
        </w:rPr>
        <w:t>)</w:t>
      </w:r>
      <w:r>
        <w:rPr>
          <w:rFonts w:cs="David"/>
          <w:b/>
        </w:rPr>
        <w:t>.</w:t>
      </w:r>
      <w:r>
        <w:rPr>
          <w:rFonts w:cs="David"/>
        </w:rPr>
        <w:t xml:space="preserve"> The source, and whether the place was Spain (the lecturer) or Mainz (common telling), to be settled.</w:t>
      </w:r>
    </w:p>
    <w:p>
      <w:pPr>
        <w:ind w:left="360" w:hanging="360"/>
      </w:pPr>
      <w:r>
        <w:rPr>
          <w:rFonts w:cs="David"/>
        </w:rPr>
        <w:t xml:space="preserve">13.  </w:t>
      </w:r>
      <w:r>
        <w:rPr>
          <w:rFonts w:cs="David"/>
          <w:b/>
        </w:rPr>
        <w:t xml:space="preserve">The </w:t>
      </w:r>
      <w:r>
        <w:rPr>
          <w:rFonts w:cs="David"/>
          <w:b/>
          <w:i/>
        </w:rPr>
        <w:t>Yerushalmi</w:t>
      </w:r>
      <w:r>
        <w:rPr>
          <w:rFonts w:cs="David"/>
          <w:b/>
        </w:rPr>
        <w:t xml:space="preserve"> (</w:t>
      </w:r>
      <w:r>
        <w:rPr>
          <w:rFonts w:cs="David" w:ascii="David" w:hAnsi="David"/>
          <w:b/>
          <w:color w:val="1E3A8A"/>
          <w:rtl/>
        </w:rPr>
        <w:t>ירושלמי</w:t>
      </w:r>
      <w:r>
        <w:rPr>
          <w:rFonts w:cs="David"/>
          <w:b/>
        </w:rPr>
        <w:t>)</w:t>
      </w:r>
      <w:r>
        <w:rPr>
          <w:rFonts w:cs="David"/>
          <w:b/>
        </w:rPr>
        <w:t xml:space="preserve"> on </w:t>
      </w:r>
      <w:r>
        <w:rPr>
          <w:rFonts w:cs="David" w:ascii="David" w:hAnsi="David"/>
          <w:b/>
          <w:color w:val="1E3A8A"/>
          <w:rtl/>
        </w:rPr>
        <w:t>יענך ה׳ ביום צרה</w:t>
      </w:r>
      <w:r>
        <w:rPr>
          <w:rFonts w:cs="David"/>
          <w:b/>
        </w:rPr>
        <w:t>.</w:t>
      </w:r>
      <w:r>
        <w:rPr>
          <w:rFonts w:cs="David"/>
        </w:rPr>
        <w:t xml:space="preserve"> Not located; the chapter to be obtained from the lecturer.</w:t>
      </w:r>
    </w:p>
    <w:p>
      <w:pPr>
        <w:ind w:left="360" w:hanging="360"/>
      </w:pPr>
      <w:r>
        <w:rPr>
          <w:rFonts w:cs="David"/>
        </w:rPr>
        <w:t xml:space="preserve">14.  </w:t>
      </w:r>
      <w:r>
        <w:rPr>
          <w:rFonts w:cs="David"/>
          <w:b/>
        </w:rPr>
        <w:t>The dedication.</w:t>
      </w:r>
      <w:r>
        <w:rPr>
          <w:rFonts w:cs="David"/>
        </w:rPr>
        <w:t xml:space="preserve"> The name and spelling to be confirmed.</w:t>
      </w:r>
    </w:p>
    <w:p>
      <w:pPr>
        <w:ind w:left="360" w:hanging="360"/>
      </w:pPr>
      <w:r>
        <w:rPr>
          <w:rFonts w:cs="David"/>
        </w:rPr>
        <w:t xml:space="preserve">15.  </w:t>
      </w:r>
      <w:r>
        <w:rPr>
          <w:rFonts w:cs="David"/>
          <w:b/>
        </w:rPr>
        <w:t>The Hebrew date.</w:t>
      </w:r>
      <w:r>
        <w:rPr>
          <w:rFonts w:cs="David"/>
        </w:rPr>
        <w:t xml:space="preserve"> Computed as 17 Kislev 5786 for 7 December 2025; the earlier text and the summary gave 7 Kislev.</w:t>
      </w:r>
    </w:p>
    <w:p>
      <w:pPr>
        <w:spacing w:after="80"/>
      </w:pPr>
    </w:p>
    <w:p>
      <w:pPr>
        <w:spacing w:before="120"/>
        <w:jc w:val="center"/>
      </w:pPr>
      <w:r>
        <w:rPr>
          <w:rFonts w:cs="David"/>
          <w:i/>
          <w:color w:val="5A4B1A"/>
          <w:sz w:val="18"/>
        </w:rPr>
        <w:t xml:space="preserve">Sefer Edition of Rabbi Ephrati’s discourse on </w:t>
      </w:r>
      <w:r>
        <w:rPr>
          <w:rFonts w:cs="David"/>
          <w:i/>
          <w:color w:val="5A4B1A"/>
          <w:sz w:val="18"/>
        </w:rPr>
        <w:t>Tefillah</w:t>
      </w:r>
      <w:r>
        <w:rPr>
          <w:rFonts w:cs="David"/>
          <w:i/>
          <w:color w:val="5A4B1A"/>
          <w:sz w:val="18"/>
        </w:rPr>
        <w:t xml:space="preserve"> (</w:t>
      </w:r>
      <w:r>
        <w:rPr>
          <w:rFonts w:cs="David" w:ascii="David" w:hAnsi="David"/>
          <w:i/>
          <w:color w:val="1E3A8A"/>
          <w:sz w:val="18"/>
          <w:rtl/>
        </w:rPr>
        <w:t>תפילה</w:t>
      </w:r>
      <w:r>
        <w:rPr>
          <w:rFonts w:cs="David"/>
          <w:i/>
          <w:color w:val="5A4B1A"/>
          <w:sz w:val="18"/>
        </w:rPr>
        <w:t>)</w:t>
      </w:r>
      <w:r>
        <w:rPr>
          <w:rFonts w:cs="David"/>
          <w:i/>
          <w:color w:val="5A4B1A"/>
          <w:sz w:val="18"/>
        </w:rPr>
        <w:t>, 17 Kislev 5786. The edition follows the order of the discourse, records the lecturer’s reports as his, and leaves unresolved items to the Open Questions.</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cs="David" w:eastAsia="Calibri"/>
        <w:sz w:val="22"/>
        <w:szCs w:val="22"/>
        <w:lang w:val="en-US" w:eastAsia="en-US" w:bidi="he-IL"/>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Sefer Edition — The Torah Reading, Kedushah DeSidra, and Lamnatzeach: Birkas HaGomel, Ashrei, and the Earliest Source</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