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661656">
      <w:pPr>
        <w:jc w:val="center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计算机与软件学院毕业设计（论文）中期情况检查表</w:t>
      </w:r>
    </w:p>
    <w:tbl>
      <w:tblPr>
        <w:tblStyle w:val="7"/>
        <w:tblW w:w="84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709"/>
        <w:gridCol w:w="1418"/>
        <w:gridCol w:w="708"/>
        <w:gridCol w:w="1305"/>
        <w:gridCol w:w="1134"/>
        <w:gridCol w:w="2523"/>
      </w:tblGrid>
      <w:tr w14:paraId="2F615CF2">
        <w:tc>
          <w:tcPr>
            <w:tcW w:w="1384" w:type="dxa"/>
            <w:gridSpan w:val="2"/>
            <w:vAlign w:val="center"/>
          </w:tcPr>
          <w:p w14:paraId="3273B397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1418" w:type="dxa"/>
          </w:tcPr>
          <w:p w14:paraId="1BBD733C">
            <w:pPr>
              <w:jc w:val="center"/>
            </w:pPr>
            <w:r>
              <w:rPr>
                <w:rFonts w:hint="eastAsia"/>
              </w:rPr>
              <w:t>计算机与软件学院</w:t>
            </w:r>
          </w:p>
        </w:tc>
        <w:tc>
          <w:tcPr>
            <w:tcW w:w="708" w:type="dxa"/>
            <w:vAlign w:val="center"/>
          </w:tcPr>
          <w:p w14:paraId="4DFA944C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4962" w:type="dxa"/>
            <w:gridSpan w:val="3"/>
            <w:vAlign w:val="center"/>
          </w:tcPr>
          <w:p w14:paraId="2117F6BC">
            <w:pPr>
              <w:jc w:val="center"/>
            </w:pPr>
            <w:commentRangeStart w:id="0"/>
            <w:r>
              <w:rPr>
                <w:rFonts w:hint="eastAsia"/>
              </w:rPr>
              <w:t>计算机科学与技术</w:t>
            </w:r>
            <w:commentRangeEnd w:id="0"/>
            <w:r>
              <w:rPr>
                <w:rStyle w:val="10"/>
                <w:szCs w:val="22"/>
              </w:rPr>
              <w:commentReference w:id="0"/>
            </w:r>
          </w:p>
        </w:tc>
      </w:tr>
      <w:tr w14:paraId="517358A9">
        <w:trPr>
          <w:trHeight w:val="458" w:hRule="atLeast"/>
        </w:trPr>
        <w:tc>
          <w:tcPr>
            <w:tcW w:w="1384" w:type="dxa"/>
            <w:gridSpan w:val="2"/>
            <w:vAlign w:val="center"/>
          </w:tcPr>
          <w:p w14:paraId="453770CD">
            <w:pPr>
              <w:jc w:val="center"/>
            </w:pPr>
            <w:commentRangeStart w:id="1"/>
            <w:r>
              <w:rPr>
                <w:rFonts w:hint="eastAsia"/>
              </w:rPr>
              <w:t>学生姓名</w:t>
            </w:r>
          </w:p>
        </w:tc>
        <w:tc>
          <w:tcPr>
            <w:tcW w:w="1418" w:type="dxa"/>
            <w:vAlign w:val="center"/>
          </w:tcPr>
          <w:p w14:paraId="7AEF4DD9">
            <w:pPr>
              <w:jc w:val="center"/>
              <w:rPr>
                <w:rFonts w:hint="eastAsia" w:ascii="宋体" w:hAnsi="宋体"/>
              </w:rPr>
            </w:pPr>
            <w:bookmarkStart w:id="0" w:name="_GoBack"/>
            <w:r>
              <w:rPr>
                <w:rFonts w:hint="eastAsia" w:ascii="宋体" w:hAnsi="宋体"/>
              </w:rPr>
              <w:t>黄静嘉</w:t>
            </w:r>
            <w:bookmarkEnd w:id="0"/>
          </w:p>
        </w:tc>
        <w:tc>
          <w:tcPr>
            <w:tcW w:w="708" w:type="dxa"/>
            <w:vAlign w:val="center"/>
          </w:tcPr>
          <w:p w14:paraId="498A74D1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305" w:type="dxa"/>
            <w:vAlign w:val="center"/>
          </w:tcPr>
          <w:p w14:paraId="5FB060D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2022280381</w:t>
            </w:r>
          </w:p>
        </w:tc>
        <w:tc>
          <w:tcPr>
            <w:tcW w:w="1134" w:type="dxa"/>
            <w:vAlign w:val="center"/>
          </w:tcPr>
          <w:p w14:paraId="0C804664">
            <w:r>
              <w:rPr>
                <w:rFonts w:hint="eastAsia"/>
              </w:rPr>
              <w:t>指导教师</w:t>
            </w:r>
          </w:p>
          <w:commentRangeEnd w:id="1"/>
        </w:tc>
        <w:tc>
          <w:tcPr>
            <w:tcW w:w="2523" w:type="dxa"/>
            <w:vAlign w:val="center"/>
          </w:tcPr>
          <w:p w14:paraId="301930D6">
            <w:pPr>
              <w:jc w:val="center"/>
              <w:rPr>
                <w:rFonts w:hint="eastAsia" w:ascii="宋体" w:hAnsi="宋体"/>
              </w:rPr>
            </w:pPr>
            <w:r>
              <w:rPr>
                <w:rStyle w:val="10"/>
                <w:rFonts w:hint="eastAsia" w:ascii="宋体" w:hAnsi="宋体"/>
                <w:szCs w:val="22"/>
              </w:rPr>
              <w:commentReference w:id="1"/>
            </w:r>
            <w:r>
              <w:rPr>
                <w:rFonts w:hint="eastAsia" w:ascii="宋体" w:hAnsi="宋体"/>
              </w:rPr>
              <w:t>李俊杰</w:t>
            </w:r>
          </w:p>
        </w:tc>
      </w:tr>
      <w:tr w14:paraId="0429359B">
        <w:tc>
          <w:tcPr>
            <w:tcW w:w="1384" w:type="dxa"/>
            <w:gridSpan w:val="2"/>
            <w:vAlign w:val="center"/>
          </w:tcPr>
          <w:p w14:paraId="511D19D8">
            <w:pPr>
              <w:jc w:val="center"/>
            </w:pPr>
            <w:r>
              <w:rPr>
                <w:rFonts w:hint="eastAsia"/>
              </w:rPr>
              <w:t>设计（论文）题目</w:t>
            </w:r>
          </w:p>
        </w:tc>
        <w:tc>
          <w:tcPr>
            <w:tcW w:w="7088" w:type="dxa"/>
            <w:gridSpan w:val="5"/>
            <w:vAlign w:val="center"/>
          </w:tcPr>
          <w:p w14:paraId="64755420">
            <w:pPr>
              <w:jc w:val="center"/>
            </w:pPr>
            <w:r>
              <w:rPr>
                <w:rFonts w:hint="eastAsia"/>
              </w:rPr>
              <w:t>基于LLM驱动的text2cypher图数据分析关键技术研究</w:t>
            </w:r>
          </w:p>
        </w:tc>
      </w:tr>
      <w:tr w14:paraId="099F4A1F">
        <w:trPr>
          <w:trHeight w:val="1798" w:hRule="atLeast"/>
        </w:trPr>
        <w:tc>
          <w:tcPr>
            <w:tcW w:w="675" w:type="dxa"/>
            <w:vMerge w:val="restart"/>
            <w:vAlign w:val="center"/>
          </w:tcPr>
          <w:p w14:paraId="3BFA36F4">
            <w:pPr>
              <w:jc w:val="center"/>
            </w:pPr>
            <w:r>
              <w:rPr>
                <w:rFonts w:hint="eastAsia"/>
              </w:rPr>
              <w:t>目</w:t>
            </w:r>
          </w:p>
          <w:p w14:paraId="091AF899">
            <w:pPr>
              <w:jc w:val="center"/>
            </w:pPr>
            <w:r>
              <w:rPr>
                <w:rFonts w:hint="eastAsia"/>
              </w:rPr>
              <w:t>前</w:t>
            </w:r>
          </w:p>
          <w:p w14:paraId="6ABFC3C5">
            <w:pPr>
              <w:jc w:val="center"/>
            </w:pPr>
            <w:r>
              <w:rPr>
                <w:rFonts w:hint="eastAsia"/>
              </w:rPr>
              <w:t>已</w:t>
            </w:r>
          </w:p>
          <w:p w14:paraId="59C653A0">
            <w:pPr>
              <w:jc w:val="center"/>
            </w:pPr>
            <w:r>
              <w:rPr>
                <w:rFonts w:hint="eastAsia"/>
              </w:rPr>
              <w:t>完</w:t>
            </w:r>
          </w:p>
          <w:p w14:paraId="28831305">
            <w:pPr>
              <w:jc w:val="center"/>
            </w:pPr>
            <w:r>
              <w:rPr>
                <w:rFonts w:hint="eastAsia"/>
              </w:rPr>
              <w:t>成</w:t>
            </w:r>
          </w:p>
          <w:p w14:paraId="477D5DE3">
            <w:pPr>
              <w:jc w:val="center"/>
            </w:pPr>
            <w:r>
              <w:rPr>
                <w:rFonts w:hint="eastAsia"/>
              </w:rPr>
              <w:t>任</w:t>
            </w:r>
          </w:p>
          <w:p w14:paraId="2F87BAB6">
            <w:pPr>
              <w:jc w:val="center"/>
            </w:pPr>
            <w:r>
              <w:rPr>
                <w:rFonts w:hint="eastAsia"/>
              </w:rPr>
              <w:t>务</w:t>
            </w:r>
          </w:p>
        </w:tc>
        <w:tc>
          <w:tcPr>
            <w:tcW w:w="7797" w:type="dxa"/>
            <w:gridSpan w:val="6"/>
          </w:tcPr>
          <w:p w14:paraId="2380BFCE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、环境搭建与基准复现：完成 PyTorch/Transformers 开发环境配置；成功复现 Bird 数据集评测流水线，掌握 EX（执行正确率）等核心指标的量化计算方法。</w:t>
            </w:r>
          </w:p>
          <w:p w14:paraId="1D4B1143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、多模型部署与 Schema 对标实验：完成 Qwen2.5-Coder、Mistral、DeepSeek-Coder 等基座模型的本地部署；通过通过移除与保留Schema描述进行对比实验</w:t>
            </w:r>
            <w:r>
              <w:rPr>
                <w:rFonts w:hint="eastAsia"/>
              </w:rPr>
              <w:t>，</w:t>
            </w:r>
            <w:r>
              <w:t>分析了 Schema 描述信息对 SQL 生成质量的影响，验证了结构化信息的重要性。</w:t>
            </w:r>
          </w:p>
          <w:p w14:paraId="63E1FF7E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、微调技术链路攻克：深入研究 SFT 与 RL 原理，熟练掌握 LLaMA-Factory 工具链；实操完成 LoRA 微调、模型量化及权重合并全流程，为大规模模型优化奠定了技术基础。</w:t>
            </w:r>
          </w:p>
          <w:p w14:paraId="701381E7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、数据增强与负样本设计：精读 OmniSQL 等前沿文献，设计了针对本项目需求的指令微调数据集方案；探索利用“表/列识别错误”案例构造负样本，初步形成数据增强策略。</w:t>
            </w:r>
          </w:p>
          <w:p w14:paraId="376B61CC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、评测优化与 Agent 架构探索：实现基于哈希比对的高效验证方法，显著提升评测速率；搭建 "生成-执行-判别" Agent Pipeline，初步验证了多阶段生成策略对准确率的增益。</w:t>
            </w:r>
          </w:p>
          <w:p w14:paraId="328DEBE4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、工程框架预研：学习 LangChain4J 及 RAG 技术原理，利用 LangGraph 完成原型 Agent 开发，积累了智能体逻辑编排与状态管理经验，为后期系统集成做好技术储备。</w:t>
            </w:r>
          </w:p>
        </w:tc>
      </w:tr>
      <w:tr w14:paraId="5171F0CC">
        <w:tc>
          <w:tcPr>
            <w:tcW w:w="675" w:type="dxa"/>
            <w:vMerge w:val="continue"/>
          </w:tcPr>
          <w:p w14:paraId="3EEB34E5"/>
        </w:tc>
        <w:tc>
          <w:tcPr>
            <w:tcW w:w="7797" w:type="dxa"/>
            <w:gridSpan w:val="6"/>
            <w:vAlign w:val="center"/>
          </w:tcPr>
          <w:p w14:paraId="6059006B">
            <w:r>
              <w:rPr>
                <w:rFonts w:hint="eastAsia"/>
              </w:rPr>
              <w:t>是否符合任务书要求进度：符合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rFonts w:hint="eastAsia"/>
              </w:rPr>
              <w:t xml:space="preserve">    不符合</w:t>
            </w:r>
            <w:r>
              <w:rPr>
                <w:rFonts w:hint="eastAsia" w:ascii="宋体" w:hAnsi="宋体"/>
              </w:rPr>
              <w:t>□</w:t>
            </w:r>
          </w:p>
        </w:tc>
      </w:tr>
      <w:tr w14:paraId="304D7AF2">
        <w:trPr>
          <w:trHeight w:val="1717" w:hRule="atLeast"/>
        </w:trPr>
        <w:tc>
          <w:tcPr>
            <w:tcW w:w="675" w:type="dxa"/>
            <w:vMerge w:val="restart"/>
            <w:vAlign w:val="center"/>
          </w:tcPr>
          <w:p w14:paraId="1B2F997A">
            <w:pPr>
              <w:jc w:val="center"/>
            </w:pPr>
            <w:r>
              <w:rPr>
                <w:rFonts w:hint="eastAsia"/>
              </w:rPr>
              <w:t>尚</w:t>
            </w:r>
          </w:p>
          <w:p w14:paraId="0C1FAF38">
            <w:pPr>
              <w:jc w:val="center"/>
            </w:pPr>
            <w:r>
              <w:rPr>
                <w:rFonts w:hint="eastAsia"/>
              </w:rPr>
              <w:t>需</w:t>
            </w:r>
          </w:p>
          <w:p w14:paraId="3691BF47">
            <w:pPr>
              <w:jc w:val="center"/>
            </w:pPr>
            <w:r>
              <w:rPr>
                <w:rFonts w:hint="eastAsia"/>
              </w:rPr>
              <w:t>完</w:t>
            </w:r>
          </w:p>
          <w:p w14:paraId="1063C8A8">
            <w:pPr>
              <w:jc w:val="center"/>
            </w:pPr>
            <w:r>
              <w:rPr>
                <w:rFonts w:hint="eastAsia"/>
              </w:rPr>
              <w:t>成</w:t>
            </w:r>
          </w:p>
          <w:p w14:paraId="5F15A1E8">
            <w:pPr>
              <w:jc w:val="center"/>
            </w:pPr>
            <w:r>
              <w:rPr>
                <w:rFonts w:hint="eastAsia"/>
              </w:rPr>
              <w:t>的</w:t>
            </w:r>
          </w:p>
          <w:p w14:paraId="5BF1290E">
            <w:pPr>
              <w:jc w:val="center"/>
            </w:pPr>
            <w:r>
              <w:rPr>
                <w:rFonts w:hint="eastAsia"/>
              </w:rPr>
              <w:t>任</w:t>
            </w:r>
          </w:p>
          <w:p w14:paraId="4DC0EDE1">
            <w:pPr>
              <w:jc w:val="center"/>
            </w:pPr>
            <w:r>
              <w:rPr>
                <w:rFonts w:hint="eastAsia"/>
              </w:rPr>
              <w:t>务</w:t>
            </w:r>
          </w:p>
        </w:tc>
        <w:tc>
          <w:tcPr>
            <w:tcW w:w="7797" w:type="dxa"/>
            <w:gridSpan w:val="6"/>
          </w:tcPr>
          <w:p w14:paraId="08DB91A9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1、完成基座模型的深度微调训练：基于大语言模型（如Qwen-14B）进行LoRA微调，重点优化复杂多表连接、嵌套查询、聚合函数等场景的SQL生成准确性；利用错误数据构造高质量指令微调数据集，降低重复错误率。</w:t>
            </w:r>
          </w:p>
          <w:p w14:paraId="0FC814A0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2、实现面向垂直领域的迭代优化闭环技术：设计反馈收集机制，根据SQL执行错误自动定位问题并生成针对性训练样本；研究数据增强策略与模型再训练流程，构建可自我迭代的Text-to-SQL优化系统。</w:t>
            </w:r>
          </w:p>
          <w:p w14:paraId="57947BD2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3、进行系统集成：搭建完整的Text-to-SQL原型系统，整合自然语言理解、Schema解析、SQL生成、执行验证等核心模块，支持自然语言到SQL的转换、执行与结果展示。</w:t>
            </w:r>
          </w:p>
          <w:p w14:paraId="37113145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4、完成演示系统原型开发与整体性能评估：在Spider、Bird等公开基准数据集上进行端到端性能测试，与SOTA方法进行对比分析；完成用户交互界面开发，支持可视化查询与结果展示。</w:t>
            </w:r>
          </w:p>
          <w:p w14:paraId="1F197FED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5、完成毕业论文撰写：撰写包含研究背景、相关工作、方法设计、实验结果与分析、总结与展望等章节的毕业设计论文，总字数不少于15000字。</w:t>
            </w:r>
          </w:p>
        </w:tc>
      </w:tr>
      <w:tr w14:paraId="52633011">
        <w:tc>
          <w:tcPr>
            <w:tcW w:w="675" w:type="dxa"/>
            <w:vMerge w:val="continue"/>
          </w:tcPr>
          <w:p w14:paraId="27725335"/>
        </w:tc>
        <w:tc>
          <w:tcPr>
            <w:tcW w:w="7797" w:type="dxa"/>
            <w:gridSpan w:val="6"/>
            <w:vAlign w:val="center"/>
          </w:tcPr>
          <w:p w14:paraId="67EEE20E">
            <w:r>
              <w:rPr>
                <w:rFonts w:hint="eastAsia"/>
              </w:rPr>
              <w:t>能否按期完成设计（论文）：能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rFonts w:hint="eastAsia"/>
              </w:rPr>
              <w:t xml:space="preserve">     不能</w:t>
            </w:r>
            <w:r>
              <w:rPr>
                <w:rFonts w:hint="eastAsia" w:ascii="宋体" w:hAnsi="宋体"/>
              </w:rPr>
              <w:t>□</w:t>
            </w:r>
          </w:p>
        </w:tc>
      </w:tr>
      <w:tr w14:paraId="2571A42A">
        <w:tc>
          <w:tcPr>
            <w:tcW w:w="675" w:type="dxa"/>
            <w:vMerge w:val="restart"/>
            <w:vAlign w:val="center"/>
          </w:tcPr>
          <w:p w14:paraId="4237D51E">
            <w:pPr>
              <w:jc w:val="center"/>
            </w:pPr>
            <w:r>
              <w:rPr>
                <w:rFonts w:hint="eastAsia"/>
              </w:rPr>
              <w:t>存在</w:t>
            </w:r>
          </w:p>
          <w:p w14:paraId="72F7AAAD">
            <w:pPr>
              <w:jc w:val="center"/>
            </w:pPr>
            <w:r>
              <w:rPr>
                <w:rFonts w:hint="eastAsia"/>
              </w:rPr>
              <w:t>的问</w:t>
            </w:r>
          </w:p>
          <w:p w14:paraId="225B9354">
            <w:r>
              <w:rPr>
                <w:rFonts w:hint="eastAsia"/>
              </w:rPr>
              <w:t>题及拟采取的办法</w:t>
            </w:r>
          </w:p>
        </w:tc>
        <w:tc>
          <w:tcPr>
            <w:tcW w:w="7797" w:type="dxa"/>
            <w:gridSpan w:val="6"/>
          </w:tcPr>
          <w:p w14:paraId="2E2FC752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存在的问题：</w:t>
            </w:r>
            <w:r>
              <w:rPr>
                <w:rFonts w:hint="eastAsia"/>
                <w:sz w:val="18"/>
                <w:szCs w:val="18"/>
              </w:rPr>
              <w:t>（不少于200字）</w:t>
            </w:r>
          </w:p>
          <w:p w14:paraId="1D819249">
            <w:pPr>
              <w:pStyle w:val="22"/>
              <w:rPr>
                <w:rFonts w:hint="eastAsia"/>
              </w:rPr>
            </w:pPr>
            <w:r>
              <w:t>1、评测效率与准确性的冲突：在实验迭代中，简单的哈希值比对法虽然快，但无法处理“逻辑等价但写法不同”的 SQL，导致评测结果偏低；而全量执行验证在 Bird 等大数据集上耗时过长，严重拖慢了模型微调后的验证周期，急需一种兼顾速度与精度的评测方案。</w:t>
            </w:r>
          </w:p>
          <w:p w14:paraId="0ED5B5F1">
            <w:pPr>
              <w:pStyle w:val="22"/>
              <w:rPr>
                <w:rFonts w:hint="eastAsia"/>
              </w:rPr>
            </w:pPr>
            <w:r>
              <w:t>2、复杂数据库结构的理解偏差：在处理 Bird 等包含大量表和模糊字段名（如缩写、专业术语）的数据库时，模型常出现“张冠李戴”的情况。单纯依靠 Prompt 传入 DDL 信息，模型仍会产生幻觉，生成不存在的列名或错误的外键关联，导致生成的 SQL 无法执行。</w:t>
            </w:r>
          </w:p>
          <w:p w14:paraId="2B7793E6">
            <w:pPr>
              <w:pStyle w:val="22"/>
              <w:rPr>
                <w:rFonts w:hint="eastAsia"/>
              </w:rPr>
            </w:pPr>
            <w:r>
              <w:t>3、系统集成中的响应超时与鲁棒性问题：由于 14B 规模的模型推理耗时较长（通常需数秒），导致前端网页常因等待响应而出现假死或超时报错。此外，当模型生成语法错误的 SQL 时，系统往往直接返回后端报错代码，缺乏对非技术用户的友好提示和自动纠错能力，演示系统的稳定性有待加强。</w:t>
            </w:r>
          </w:p>
        </w:tc>
      </w:tr>
      <w:tr w14:paraId="3FBBB7DC">
        <w:tc>
          <w:tcPr>
            <w:tcW w:w="675" w:type="dxa"/>
            <w:vMerge w:val="continue"/>
            <w:vAlign w:val="center"/>
          </w:tcPr>
          <w:p w14:paraId="13B3AF49">
            <w:pPr>
              <w:jc w:val="center"/>
            </w:pPr>
          </w:p>
        </w:tc>
        <w:tc>
          <w:tcPr>
            <w:tcW w:w="7797" w:type="dxa"/>
            <w:gridSpan w:val="6"/>
          </w:tcPr>
          <w:p w14:paraId="6F5836B1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拟采取的办法：</w:t>
            </w:r>
            <w:r>
              <w:rPr>
                <w:rFonts w:hint="eastAsia"/>
                <w:sz w:val="18"/>
                <w:szCs w:val="18"/>
              </w:rPr>
              <w:t>（不少于200字）</w:t>
            </w:r>
          </w:p>
          <w:p w14:paraId="5727EB8B">
            <w:r>
              <w:rPr>
                <w:rFonts w:hint="eastAsia"/>
              </w:rPr>
              <w:t>1、建立分级评测验证机制：针对不同复杂度的查询，开发一套“哈希初步过滤 + 抽象语法树（AST）深度比对”的混合方案。对于简单查询利用哈希快速过检，对于复杂聚合查询则解析 SQL 的语法树结构，判断其逻辑是否与标准答案等价，从而在不增加过多耗时的前提下提升评测的公信力。</w:t>
            </w:r>
          </w:p>
          <w:p w14:paraId="35A983C1">
            <w:r>
              <w:rPr>
                <w:rFonts w:hint="eastAsia"/>
              </w:rPr>
              <w:t>2、优化 Schema 描述与检索策略：引入 RAG（检索增强生成）思路，将数据库的元数据和字段注释存入向量库。在提问前，先检索出最相关的表结构片段，并在 Prompt 中加入 2-3 条真实的示例数据（Sample Rows）。这种“看样学样”的方式能有效帮助模型识别字段含义，纠正缩写歧义，降低映射错误率。</w:t>
            </w:r>
          </w:p>
          <w:p w14:paraId="0EE34431">
            <w:pPr>
              <w:pStyle w:val="22"/>
              <w:rPr>
                <w:rFonts w:hint="eastAsia"/>
              </w:rPr>
            </w:pPr>
            <w:r>
              <w:rPr>
                <w:rFonts w:hint="eastAsia" w:ascii="Calibri" w:hAnsi="Calibri"/>
                <w:szCs w:val="22"/>
              </w:rPr>
              <w:t>3、采用轻量化前后端分离架构：前端使用 Vue 实现交互界面，通过 Axios 异步调用基于 FastAPI 搭建的后端接口，解决推理耗时导致的界面阻塞问题。引入简单的异常截获逻辑，当 SQL 执行失败时，不再直接报错，而是将错误信息反馈给模型尝试“一次自修复”或向用户返回直观的错误提示；同时利用本地缓存减少重复查询的等待时间，确保演示流程顺畅</w:t>
            </w:r>
            <w:r>
              <w:t>。</w:t>
            </w:r>
          </w:p>
        </w:tc>
      </w:tr>
      <w:tr w14:paraId="27FB3807">
        <w:trPr>
          <w:trHeight w:val="1550" w:hRule="atLeast"/>
        </w:trPr>
        <w:tc>
          <w:tcPr>
            <w:tcW w:w="675" w:type="dxa"/>
            <w:vAlign w:val="center"/>
          </w:tcPr>
          <w:p w14:paraId="1F894545">
            <w:pPr>
              <w:jc w:val="center"/>
            </w:pPr>
            <w:r>
              <w:rPr>
                <w:rFonts w:hint="eastAsia"/>
              </w:rPr>
              <w:t>指</w:t>
            </w:r>
          </w:p>
          <w:p w14:paraId="70333371">
            <w:pPr>
              <w:jc w:val="center"/>
            </w:pPr>
            <w:r>
              <w:rPr>
                <w:rFonts w:hint="eastAsia"/>
              </w:rPr>
              <w:t>导</w:t>
            </w:r>
          </w:p>
          <w:p w14:paraId="77496BE9">
            <w:pPr>
              <w:jc w:val="center"/>
            </w:pPr>
            <w:r>
              <w:rPr>
                <w:rFonts w:hint="eastAsia"/>
              </w:rPr>
              <w:t>教</w:t>
            </w:r>
          </w:p>
          <w:p w14:paraId="56BDBF35">
            <w:pPr>
              <w:jc w:val="center"/>
            </w:pPr>
            <w:r>
              <w:rPr>
                <w:rFonts w:hint="eastAsia"/>
              </w:rPr>
              <w:t>师</w:t>
            </w:r>
          </w:p>
          <w:p w14:paraId="485D2DF1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39B860A6">
            <w:pPr>
              <w:jc w:val="center"/>
            </w:pPr>
            <w:r>
              <w:rPr>
                <w:rFonts w:hint="eastAsia"/>
              </w:rPr>
              <w:t>议</w:t>
            </w:r>
          </w:p>
          <w:p w14:paraId="7160A1EF">
            <w:pPr>
              <w:jc w:val="center"/>
            </w:pPr>
            <w:r>
              <w:rPr>
                <w:rFonts w:hint="eastAsia"/>
              </w:rPr>
              <w:t>与</w:t>
            </w:r>
          </w:p>
          <w:p w14:paraId="233141AA">
            <w:pPr>
              <w:jc w:val="center"/>
            </w:pPr>
            <w:r>
              <w:rPr>
                <w:rFonts w:hint="eastAsia"/>
              </w:rPr>
              <w:t>意</w:t>
            </w:r>
          </w:p>
          <w:p w14:paraId="33B0E9B4">
            <w:pPr>
              <w:jc w:val="center"/>
            </w:pPr>
            <w:r>
              <w:rPr>
                <w:rFonts w:hint="eastAsia"/>
              </w:rPr>
              <w:t>见</w:t>
            </w:r>
          </w:p>
        </w:tc>
        <w:tc>
          <w:tcPr>
            <w:tcW w:w="7797" w:type="dxa"/>
            <w:gridSpan w:val="6"/>
          </w:tcPr>
          <w:p w14:paraId="4E9E4C14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、核心逻辑的验证深度：在解决“多解 SQL”评测难点时，AST（语法树）比对虽然比哈希值更精准，但在处理复杂的 JOIN 关联顺序时仍可能有局限。建议在论文中增加一小组人工抽样比对实验，量化分析 AST 相比传统哈希比对在准确率上的具体提升，这能显著增强你实验结论的说服力。</w:t>
            </w:r>
          </w:p>
          <w:p w14:paraId="29D98717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、数据增强的针对性：针对 Schema 映射偏移问题，引入 RAG 和 Sample Rows（示例行）是非常务实的做法。建议在后续微调 14B 模型时，专门构造一批包含“缩写字段”和“多表同名字段”的干扰样本进行强化训练。通过这种“错题集”式的微调，能有效观察模型在垂直领域下的鲁棒性变化，是论文中非常好的创新点分析。</w:t>
            </w:r>
          </w:p>
          <w:p w14:paraId="19203F72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、原型系统的交互闭环：在前后端分离的开发中，不要仅满足于“输入自然语言-输出表格”。建议增加一个“执行逻辑解析”展示位，将 Agent 推理的中间过程（如：它识别出了哪些表、连接条件是什么）简要展示给用户。这不仅能降低由于模型推理慢带来的焦虑感，也能在 SQL 执行报错时，让用户直观看到是哪个环节出了问题，体现出系统设计的完整性。</w:t>
            </w:r>
          </w:p>
          <w:p w14:paraId="2B9EC8FA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4、</w:t>
            </w:r>
            <w:r>
              <w:t>进度管理与文档规范：目前中期进度符合要求，但后续涉及 14B 模型的微调与多轮评测，算力资源与时间成本较高。建议严格执行实验日志记录，保存好不同版本模型的对比参数，为最后的毕业论文提供详实的图表支撑。</w:t>
            </w:r>
          </w:p>
          <w:p w14:paraId="0590FC09"/>
          <w:p w14:paraId="26219740"/>
          <w:p w14:paraId="71B42BA4">
            <w:r>
              <w:rPr>
                <w:rFonts w:hint="eastAsia"/>
              </w:rPr>
              <w:t xml:space="preserve">                   签字：</w:t>
            </w:r>
            <w:r>
              <w:rPr>
                <w:rFonts w:hint="eastAsia"/>
              </w:rPr>
              <w:drawing>
                <wp:inline distT="0" distB="0" distL="114300" distR="114300">
                  <wp:extent cx="939800" cy="431800"/>
                  <wp:effectExtent l="0" t="0" r="0" b="0"/>
                  <wp:docPr id="1" name="图片 1" descr="sign-v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ign-v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  <w:lang w:val="en-US" w:eastAsia="zh-CN"/>
              </w:rPr>
              <w:t>2026</w:t>
            </w:r>
            <w:r>
              <w:rPr>
                <w:rFonts w:hint="eastAsia"/>
              </w:rPr>
              <w:t xml:space="preserve">年  </w:t>
            </w:r>
            <w:r>
              <w:rPr>
                <w:rFonts w:hint="eastAsia"/>
                <w:lang w:val="en-US" w:eastAsia="zh-CN"/>
              </w:rPr>
              <w:t>03</w:t>
            </w:r>
            <w:r>
              <w:rPr>
                <w:rFonts w:hint="eastAsia"/>
              </w:rPr>
              <w:t xml:space="preserve"> 月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 xml:space="preserve">   日</w:t>
            </w:r>
          </w:p>
        </w:tc>
      </w:tr>
    </w:tbl>
    <w:p w14:paraId="6BA12B59">
      <w:pPr>
        <w:rPr>
          <w:sz w:val="18"/>
          <w:szCs w:val="2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微软中国" w:date="2021-03-05T14:54:00Z" w:initials="微软中国">
    <w:p w14:paraId="6DBDD197">
      <w:pPr>
        <w:pStyle w:val="2"/>
        <w:spacing w:line="240" w:lineRule="exact"/>
        <w:rPr>
          <w:rFonts w:hint="eastAsia" w:ascii="宋体" w:hAnsi="宋体"/>
          <w:sz w:val="15"/>
          <w:szCs w:val="15"/>
        </w:rPr>
      </w:pPr>
      <w:r>
        <w:rPr>
          <w:rFonts w:hint="eastAsia" w:ascii="宋体" w:hAnsi="宋体"/>
          <w:sz w:val="15"/>
          <w:szCs w:val="15"/>
        </w:rPr>
        <w:t>宋体5号，</w:t>
      </w:r>
      <w:r>
        <w:rPr>
          <w:rFonts w:hint="eastAsia" w:ascii="宋体" w:hAnsi="宋体"/>
          <w:b/>
          <w:sz w:val="15"/>
          <w:szCs w:val="15"/>
        </w:rPr>
        <w:t>不</w:t>
      </w:r>
      <w:r>
        <w:rPr>
          <w:rFonts w:hint="eastAsia" w:ascii="宋体" w:hAnsi="宋体"/>
          <w:sz w:val="15"/>
          <w:szCs w:val="15"/>
        </w:rPr>
        <w:t>加粗，居中。注意：名称一定要写全了，不能写“计科”或“软工”</w:t>
      </w:r>
    </w:p>
  </w:comment>
  <w:comment w:id="1" w:author="微软中国" w:date="2021-03-05T14:56:00Z" w:initials="微软中国">
    <w:p w14:paraId="261E7003">
      <w:pPr>
        <w:pStyle w:val="2"/>
      </w:pPr>
      <w:r>
        <w:rPr>
          <w:rFonts w:hint="eastAsia"/>
        </w:rPr>
        <w:t>这一行全部都是宋体5号，不加粗，居中。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DBDD197" w15:done="0"/>
  <w15:commentEx w15:paraId="261E700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49D3D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E28A3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BF898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7BB10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7C13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C77AF">
    <w:pPr>
      <w:pStyle w:val="5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微软中国">
    <w15:presenceInfo w15:providerId="None" w15:userId="微软中国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CA5"/>
    <w:rsid w:val="000338DA"/>
    <w:rsid w:val="0004178B"/>
    <w:rsid w:val="000440C2"/>
    <w:rsid w:val="00073A3F"/>
    <w:rsid w:val="000856C6"/>
    <w:rsid w:val="000D08F3"/>
    <w:rsid w:val="000D3387"/>
    <w:rsid w:val="00142DEC"/>
    <w:rsid w:val="00153DE5"/>
    <w:rsid w:val="00172A27"/>
    <w:rsid w:val="00176A2D"/>
    <w:rsid w:val="001816D3"/>
    <w:rsid w:val="00187866"/>
    <w:rsid w:val="0022153A"/>
    <w:rsid w:val="00251E1B"/>
    <w:rsid w:val="002C56EA"/>
    <w:rsid w:val="002F122F"/>
    <w:rsid w:val="0033788D"/>
    <w:rsid w:val="00341397"/>
    <w:rsid w:val="00366B91"/>
    <w:rsid w:val="003B7C51"/>
    <w:rsid w:val="003C478F"/>
    <w:rsid w:val="003C6A14"/>
    <w:rsid w:val="003C7BD0"/>
    <w:rsid w:val="003F75BE"/>
    <w:rsid w:val="0049049F"/>
    <w:rsid w:val="004A5206"/>
    <w:rsid w:val="004C4035"/>
    <w:rsid w:val="004D64B3"/>
    <w:rsid w:val="00502A3E"/>
    <w:rsid w:val="005824CA"/>
    <w:rsid w:val="005B4841"/>
    <w:rsid w:val="005E7400"/>
    <w:rsid w:val="005F57AD"/>
    <w:rsid w:val="00616493"/>
    <w:rsid w:val="00621D40"/>
    <w:rsid w:val="0064026A"/>
    <w:rsid w:val="006B5AB8"/>
    <w:rsid w:val="006B64CE"/>
    <w:rsid w:val="006C40A4"/>
    <w:rsid w:val="006E3FD1"/>
    <w:rsid w:val="006F5D29"/>
    <w:rsid w:val="00701DA9"/>
    <w:rsid w:val="007031FC"/>
    <w:rsid w:val="007047E1"/>
    <w:rsid w:val="007572DE"/>
    <w:rsid w:val="007A3AC8"/>
    <w:rsid w:val="007C4C22"/>
    <w:rsid w:val="007D3890"/>
    <w:rsid w:val="007F784F"/>
    <w:rsid w:val="00813D97"/>
    <w:rsid w:val="008208FA"/>
    <w:rsid w:val="0085711B"/>
    <w:rsid w:val="00876A28"/>
    <w:rsid w:val="008F1042"/>
    <w:rsid w:val="00933C04"/>
    <w:rsid w:val="009452A9"/>
    <w:rsid w:val="009B32BB"/>
    <w:rsid w:val="009F2E2D"/>
    <w:rsid w:val="009F645B"/>
    <w:rsid w:val="00AC35A0"/>
    <w:rsid w:val="00B52D49"/>
    <w:rsid w:val="00B56B58"/>
    <w:rsid w:val="00B94B54"/>
    <w:rsid w:val="00BA150C"/>
    <w:rsid w:val="00BF6D49"/>
    <w:rsid w:val="00C302D1"/>
    <w:rsid w:val="00C54BD0"/>
    <w:rsid w:val="00C72B51"/>
    <w:rsid w:val="00C84BBC"/>
    <w:rsid w:val="00C90688"/>
    <w:rsid w:val="00D00C70"/>
    <w:rsid w:val="00D124F0"/>
    <w:rsid w:val="00D733B6"/>
    <w:rsid w:val="00E33E38"/>
    <w:rsid w:val="00E9787E"/>
    <w:rsid w:val="00ED7460"/>
    <w:rsid w:val="00F273AD"/>
    <w:rsid w:val="00F81573"/>
    <w:rsid w:val="00F95F0A"/>
    <w:rsid w:val="00FC4A9C"/>
    <w:rsid w:val="7E1F40A1"/>
    <w:rsid w:val="BC17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iPriority w:val="0"/>
    <w:pPr>
      <w:jc w:val="left"/>
    </w:pPr>
  </w:style>
  <w:style w:type="paragraph" w:styleId="3">
    <w:name w:val="Balloon Text"/>
    <w:basedOn w:val="1"/>
    <w:link w:val="12"/>
    <w:uiPriority w:val="0"/>
    <w:rPr>
      <w:sz w:val="18"/>
      <w:szCs w:val="18"/>
    </w:r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unhideWhenUsed/>
    <w:uiPriority w:val="99"/>
    <w:rPr>
      <w:b/>
      <w:bCs/>
    </w:rPr>
  </w:style>
  <w:style w:type="character" w:styleId="9">
    <w:name w:val="Strong"/>
    <w:qFormat/>
    <w:uiPriority w:val="0"/>
    <w:rPr>
      <w:b/>
      <w:bCs/>
    </w:rPr>
  </w:style>
  <w:style w:type="character" w:styleId="10">
    <w:name w:val="annotation reference"/>
    <w:unhideWhenUsed/>
    <w:uiPriority w:val="99"/>
    <w:rPr>
      <w:sz w:val="21"/>
      <w:szCs w:val="21"/>
    </w:rPr>
  </w:style>
  <w:style w:type="character" w:customStyle="1" w:styleId="11">
    <w:name w:val="批注文字 字符"/>
    <w:basedOn w:val="8"/>
    <w:link w:val="2"/>
    <w:uiPriority w:val="0"/>
  </w:style>
  <w:style w:type="character" w:customStyle="1" w:styleId="12">
    <w:name w:val="批注框文本 字符"/>
    <w:link w:val="3"/>
    <w:uiPriority w:val="0"/>
    <w:rPr>
      <w:sz w:val="18"/>
      <w:szCs w:val="18"/>
    </w:rPr>
  </w:style>
  <w:style w:type="character" w:customStyle="1" w:styleId="13">
    <w:name w:val="页脚 字符"/>
    <w:link w:val="4"/>
    <w:uiPriority w:val="0"/>
    <w:rPr>
      <w:sz w:val="18"/>
      <w:szCs w:val="18"/>
    </w:rPr>
  </w:style>
  <w:style w:type="character" w:customStyle="1" w:styleId="14">
    <w:name w:val="页眉 字符"/>
    <w:link w:val="5"/>
    <w:uiPriority w:val="0"/>
    <w:rPr>
      <w:sz w:val="18"/>
      <w:szCs w:val="18"/>
    </w:rPr>
  </w:style>
  <w:style w:type="character" w:customStyle="1" w:styleId="15">
    <w:name w:val="批注主题 字符"/>
    <w:link w:val="6"/>
    <w:semiHidden/>
    <w:uiPriority w:val="99"/>
    <w:rPr>
      <w:rFonts w:ascii="Calibri" w:hAnsi="Calibri"/>
      <w:b/>
      <w:bCs/>
      <w:kern w:val="2"/>
      <w:sz w:val="21"/>
      <w:szCs w:val="22"/>
    </w:rPr>
  </w:style>
  <w:style w:type="character" w:customStyle="1" w:styleId="16">
    <w:name w:val="文档结构图 Char"/>
    <w:link w:val="17"/>
    <w:uiPriority w:val="0"/>
    <w:rPr>
      <w:rFonts w:ascii="宋体" w:eastAsia="宋体"/>
      <w:sz w:val="18"/>
      <w:szCs w:val="18"/>
    </w:rPr>
  </w:style>
  <w:style w:type="paragraph" w:customStyle="1" w:styleId="17">
    <w:name w:val="文档结构图1"/>
    <w:basedOn w:val="1"/>
    <w:link w:val="16"/>
    <w:uiPriority w:val="0"/>
    <w:rPr>
      <w:rFonts w:ascii="宋体"/>
      <w:sz w:val="18"/>
      <w:szCs w:val="18"/>
    </w:rPr>
  </w:style>
  <w:style w:type="character" w:customStyle="1" w:styleId="18">
    <w:name w:val="批注主题 Char"/>
    <w:link w:val="19"/>
    <w:uiPriority w:val="0"/>
    <w:rPr>
      <w:b/>
      <w:bCs/>
    </w:rPr>
  </w:style>
  <w:style w:type="paragraph" w:customStyle="1" w:styleId="19">
    <w:name w:val="批注主题1"/>
    <w:basedOn w:val="2"/>
    <w:next w:val="2"/>
    <w:link w:val="18"/>
    <w:uiPriority w:val="0"/>
    <w:rPr>
      <w:b/>
      <w:bCs/>
    </w:rPr>
  </w:style>
  <w:style w:type="character" w:customStyle="1" w:styleId="20">
    <w:name w:val="批注引用1"/>
    <w:uiPriority w:val="0"/>
    <w:rPr>
      <w:sz w:val="21"/>
      <w:szCs w:val="21"/>
    </w:rPr>
  </w:style>
  <w:style w:type="paragraph" w:customStyle="1" w:styleId="21">
    <w:name w:val="列表段落1"/>
    <w:basedOn w:val="1"/>
    <w:uiPriority w:val="0"/>
    <w:pPr>
      <w:ind w:firstLine="420" w:firstLineChars="200"/>
    </w:pPr>
  </w:style>
  <w:style w:type="paragraph" w:customStyle="1" w:styleId="22">
    <w:name w:val="表格"/>
    <w:basedOn w:val="1"/>
    <w:link w:val="23"/>
    <w:qFormat/>
    <w:uiPriority w:val="0"/>
    <w:pPr>
      <w:jc w:val="left"/>
    </w:pPr>
    <w:rPr>
      <w:rFonts w:ascii="宋体" w:hAnsi="宋体"/>
      <w:szCs w:val="21"/>
    </w:rPr>
  </w:style>
  <w:style w:type="character" w:customStyle="1" w:styleId="23">
    <w:name w:val="表格 字符"/>
    <w:basedOn w:val="8"/>
    <w:link w:val="22"/>
    <w:uiPriority w:val="0"/>
    <w:rPr>
      <w:rFonts w:ascii="宋体" w:hAnsi="宋体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1315</Words>
  <Characters>1488</Characters>
  <Lines>74</Lines>
  <Paragraphs>70</Paragraphs>
  <TotalTime>110</TotalTime>
  <ScaleCrop>false</ScaleCrop>
  <LinksUpToDate>false</LinksUpToDate>
  <CharactersWithSpaces>2733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2026-03-09T00:36:00Z</dcterms:created>
  <dc:creator>Helena</dc:creator>
  <cp:lastModifiedBy>李俊杰</cp:lastModifiedBy>
  <dcterms:modified xsi:type="dcterms:W3CDTF">2026-03-11T22:26:15Z</dcterms:modified>
  <dc:title>Helena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KSOTemplateDocerSaveRecord">
    <vt:lpwstr>eyJoZGlkIjoiNDkxZTAwZTQzYmViMjM3ZWQ5OGE3NWJiNWYyMGM0NWIiLCJ1c2VySWQiOiIxNjQwMzU3Njk2In0=</vt:lpwstr>
  </property>
  <property fmtid="{D5CDD505-2E9C-101B-9397-08002B2CF9AE}" pid="4" name="ICV">
    <vt:lpwstr>6CEC8E4631DEE326877BB16914EC9DA2_43</vt:lpwstr>
  </property>
</Properties>
</file>