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A4330" w14:textId="5763D767" w:rsidR="003968EA" w:rsidRDefault="003968EA" w:rsidP="003968EA">
      <w:pPr>
        <w:spacing w:line="480" w:lineRule="auto"/>
      </w:pPr>
      <w:r>
        <w:t>S</w:t>
      </w:r>
      <w:r w:rsidR="00691CF8">
        <w:t xml:space="preserve">uppl. </w:t>
      </w:r>
      <w:bookmarkStart w:id="0" w:name="_GoBack"/>
      <w:bookmarkEnd w:id="0"/>
      <w:r w:rsidR="00945EE6">
        <w:t>Table 1</w:t>
      </w:r>
      <w:r>
        <w:t xml:space="preserve">: Parameters used in computing prey consumption of California sea lions for northwestern Washington, their sampling distribution, range, mean, standard deviation and source used for the data. Subtitles </w:t>
      </w:r>
      <w:proofErr w:type="gramStart"/>
      <w:r>
        <w:t>are printed</w:t>
      </w:r>
      <w:proofErr w:type="gramEnd"/>
      <w:r>
        <w:t xml:space="preserve"> in italic. </w:t>
      </w:r>
    </w:p>
    <w:tbl>
      <w:tblPr>
        <w:tblW w:w="9565" w:type="dxa"/>
        <w:tblLook w:val="04A0" w:firstRow="1" w:lastRow="0" w:firstColumn="1" w:lastColumn="0" w:noHBand="0" w:noVBand="1"/>
      </w:tblPr>
      <w:tblGrid>
        <w:gridCol w:w="2340"/>
        <w:gridCol w:w="1301"/>
        <w:gridCol w:w="1604"/>
        <w:gridCol w:w="1170"/>
        <w:gridCol w:w="1170"/>
        <w:gridCol w:w="1980"/>
      </w:tblGrid>
      <w:tr w:rsidR="003968EA" w:rsidRPr="006715D6" w14:paraId="68038A3A" w14:textId="77777777" w:rsidTr="00762FC1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05EE8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Parameter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5B549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Distribution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8848B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Uniform 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Range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185DD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μ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94010" w14:textId="27EA103A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s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d</w:t>
            </w:r>
            <w:proofErr w:type="spellEnd"/>
            <w:r w:rsidR="005C59B6">
              <w:rPr>
                <w:rFonts w:asciiTheme="minorHAnsi" w:eastAsia="Times New Roman" w:hAnsiTheme="minorHAnsi" w:cstheme="minorHAnsi"/>
                <w:color w:val="000000"/>
                <w:sz w:val="22"/>
              </w:rPr>
              <w:t>/size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B51F1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Source</w:t>
            </w:r>
          </w:p>
        </w:tc>
      </w:tr>
      <w:tr w:rsidR="003968EA" w:rsidRPr="006715D6" w14:paraId="403A8429" w14:textId="77777777" w:rsidTr="00762FC1">
        <w:trPr>
          <w:trHeight w:val="300"/>
        </w:trPr>
        <w:tc>
          <w:tcPr>
            <w:tcW w:w="3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C0B0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i/>
                <w:iCs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i/>
                <w:iCs/>
                <w:color w:val="000000"/>
                <w:sz w:val="22"/>
              </w:rPr>
              <w:t>California sea lion abundance</w:t>
            </w:r>
            <w:r>
              <w:rPr>
                <w:rFonts w:asciiTheme="minorHAnsi" w:eastAsia="Times New Roman" w:hAnsiTheme="minorHAnsi" w:cstheme="minorHAnsi"/>
                <w:i/>
                <w:iCs/>
                <w:color w:val="000000"/>
                <w:sz w:val="22"/>
              </w:rPr>
              <w:t xml:space="preserve"> –</w:t>
            </w:r>
            <w:r w:rsidRPr="003B5279">
              <w:rPr>
                <w:rFonts w:ascii="Cambria Math" w:eastAsia="Times New Roman" w:hAnsi="Cambria Math" w:cstheme="minorHAnsi"/>
                <w:i/>
                <w:iCs/>
                <w:color w:val="000000"/>
                <w:sz w:val="22"/>
              </w:rPr>
              <w:t xml:space="preserve"> n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162C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8819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196D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2543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</w:p>
        </w:tc>
      </w:tr>
      <w:tr w:rsidR="003968EA" w:rsidRPr="006715D6" w14:paraId="61906346" w14:textId="77777777" w:rsidTr="00762FC1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E673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Winter haulout count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7D2D" w14:textId="1E7983CF" w:rsidR="003968EA" w:rsidRPr="006715D6" w:rsidRDefault="005C59B6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Negative binomial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1869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7804" w14:textId="77777777" w:rsidR="003968EA" w:rsidRPr="006715D6" w:rsidRDefault="003968EA" w:rsidP="00762FC1">
            <w:pPr>
              <w:spacing w:line="48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153.62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25AB" w14:textId="346D8A2F" w:rsidR="003968EA" w:rsidRPr="006715D6" w:rsidRDefault="005C59B6" w:rsidP="00762FC1">
            <w:pPr>
              <w:spacing w:line="48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4.86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E065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This study</w:t>
            </w:r>
          </w:p>
        </w:tc>
      </w:tr>
      <w:tr w:rsidR="003968EA" w:rsidRPr="006715D6" w14:paraId="60C5AF37" w14:textId="77777777" w:rsidTr="00762FC1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536F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Spring haulout count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D5D0" w14:textId="21A8E7EF" w:rsidR="003968EA" w:rsidRPr="006715D6" w:rsidRDefault="005C59B6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Negative binomial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7C94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28E2" w14:textId="77777777" w:rsidR="003968EA" w:rsidRPr="006715D6" w:rsidRDefault="003968EA" w:rsidP="00762FC1">
            <w:pPr>
              <w:spacing w:line="48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419.33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4E42" w14:textId="0D3395F5" w:rsidR="003968EA" w:rsidRPr="006715D6" w:rsidRDefault="005C59B6" w:rsidP="00762FC1">
            <w:pPr>
              <w:spacing w:line="48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4.09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D986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This study</w:t>
            </w:r>
          </w:p>
        </w:tc>
      </w:tr>
      <w:tr w:rsidR="003968EA" w:rsidRPr="006715D6" w14:paraId="0549A394" w14:textId="77777777" w:rsidTr="00762FC1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B10B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Summer haulout count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A13B" w14:textId="29CBDF63" w:rsidR="003968EA" w:rsidRPr="006715D6" w:rsidRDefault="005C59B6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Negative binomial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0AAE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A288" w14:textId="77777777" w:rsidR="003968EA" w:rsidRPr="006715D6" w:rsidRDefault="003968EA" w:rsidP="00762FC1">
            <w:pPr>
              <w:spacing w:line="48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349.3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15C6" w14:textId="000966E2" w:rsidR="003968EA" w:rsidRPr="006715D6" w:rsidRDefault="005C59B6" w:rsidP="00762FC1">
            <w:pPr>
              <w:spacing w:line="48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0.61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02A7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This study</w:t>
            </w:r>
          </w:p>
        </w:tc>
      </w:tr>
      <w:tr w:rsidR="003968EA" w:rsidRPr="006715D6" w14:paraId="76E2163A" w14:textId="77777777" w:rsidTr="00762FC1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0F3F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Fall haulout count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E3B7" w14:textId="41F58808" w:rsidR="003968EA" w:rsidRPr="006715D6" w:rsidRDefault="005C59B6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Negative binomial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B8D2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4C38" w14:textId="77777777" w:rsidR="003968EA" w:rsidRPr="006715D6" w:rsidRDefault="003968EA" w:rsidP="00762FC1">
            <w:pPr>
              <w:spacing w:line="48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1573.62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EAF7" w14:textId="1B05CD56" w:rsidR="003968EA" w:rsidRPr="006715D6" w:rsidRDefault="005C59B6" w:rsidP="00762FC1">
            <w:pPr>
              <w:spacing w:line="48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3.13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F1DB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This study</w:t>
            </w:r>
          </w:p>
        </w:tc>
      </w:tr>
      <w:tr w:rsidR="003968EA" w:rsidRPr="006715D6" w14:paraId="4FC6C8A6" w14:textId="77777777" w:rsidTr="00762FC1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ADB3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Haulout count C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orrection factor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– </w:t>
            </w:r>
            <w:r w:rsidRPr="003B5279">
              <w:rPr>
                <w:rFonts w:ascii="Cambria Math" w:eastAsia="Times New Roman" w:hAnsi="Cambria Math" w:cstheme="minorHAnsi"/>
                <w:i/>
                <w:color w:val="000000"/>
                <w:sz w:val="22"/>
              </w:rPr>
              <w:t>k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84F7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Uniform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E8DF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1.77-2.13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977E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8680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D282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Lowry and Forney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,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 2005</w:t>
            </w:r>
          </w:p>
        </w:tc>
      </w:tr>
      <w:tr w:rsidR="003968EA" w:rsidRPr="006715D6" w14:paraId="22F6DD6F" w14:textId="77777777" w:rsidTr="00762FC1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C7939" w14:textId="77777777" w:rsidR="003968EA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Body w</w:t>
            </w:r>
            <w:r w:rsidRPr="006715D6">
              <w:rPr>
                <w:rFonts w:ascii="Calibri" w:eastAsia="Times New Roman" w:hAnsi="Calibri" w:cs="Calibri"/>
                <w:color w:val="000000"/>
                <w:sz w:val="22"/>
              </w:rPr>
              <w:t>eight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– </w:t>
            </w:r>
            <w:r w:rsidRPr="003B5279">
              <w:rPr>
                <w:rFonts w:ascii="Cambria Math" w:eastAsia="Times New Roman" w:hAnsi="Cambria Math" w:cs="Calibri"/>
                <w:i/>
                <w:color w:val="000000"/>
                <w:sz w:val="22"/>
              </w:rPr>
              <w:t>w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34F48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5533F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78CC7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="Calibri" w:eastAsia="Times New Roman" w:hAnsi="Calibri" w:cs="Calibri"/>
                <w:color w:val="000000"/>
                <w:sz w:val="22"/>
              </w:rPr>
              <w:t>252.9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 w:rsidRPr="006715D6">
              <w:rPr>
                <w:rFonts w:ascii="Calibri" w:eastAsia="Times New Roman" w:hAnsi="Calibri" w:cs="Calibri"/>
                <w:color w:val="000000"/>
                <w:sz w:val="22"/>
              </w:rPr>
              <w:t xml:space="preserve"> kg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06F8F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6715D6">
              <w:rPr>
                <w:rFonts w:ascii="Calibri" w:eastAsia="Times New Roman" w:hAnsi="Calibri" w:cs="Calibri"/>
                <w:color w:val="000000"/>
                <w:sz w:val="22"/>
              </w:rPr>
              <w:t>60.62 kg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47C71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="Calibri" w:eastAsia="Times New Roman" w:hAnsi="Calibri" w:cs="Calibri"/>
                <w:color w:val="000000"/>
                <w:sz w:val="22"/>
              </w:rPr>
              <w:t>Wright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6715D6">
              <w:rPr>
                <w:rFonts w:ascii="Calibri" w:eastAsia="Times New Roman" w:hAnsi="Calibri" w:cs="Calibri"/>
                <w:color w:val="000000"/>
                <w:sz w:val="22"/>
              </w:rPr>
              <w:t xml:space="preserve"> 2010, Gearin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6715D6">
              <w:rPr>
                <w:rFonts w:ascii="Calibri" w:eastAsia="Times New Roman" w:hAnsi="Calibri" w:cs="Calibri"/>
                <w:color w:val="000000"/>
                <w:sz w:val="22"/>
              </w:rPr>
              <w:t xml:space="preserve"> 2017</w:t>
            </w:r>
          </w:p>
        </w:tc>
      </w:tr>
      <w:tr w:rsidR="003968EA" w:rsidRPr="006715D6" w14:paraId="60EC111B" w14:textId="77777777" w:rsidTr="00762FC1">
        <w:trPr>
          <w:trHeight w:val="300"/>
        </w:trPr>
        <w:tc>
          <w:tcPr>
            <w:tcW w:w="6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B1D4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i/>
                <w:iCs/>
                <w:color w:val="000000"/>
                <w:sz w:val="22"/>
              </w:rPr>
              <w:t>Individual daily consumption</w:t>
            </w:r>
            <w:r>
              <w:rPr>
                <w:rFonts w:asciiTheme="minorHAnsi" w:eastAsia="Times New Roman" w:hAnsiTheme="minorHAnsi" w:cstheme="minorHAnsi"/>
                <w:i/>
                <w:iCs/>
                <w:color w:val="000000"/>
                <w:sz w:val="22"/>
              </w:rPr>
              <w:t xml:space="preserve"> of body weight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– </w:t>
            </w:r>
            <w:r w:rsidRPr="003B5279">
              <w:rPr>
                <w:rFonts w:ascii="Cambria Math" w:eastAsia="Times New Roman" w:hAnsi="Cambria Math" w:cstheme="minorHAnsi"/>
                <w:i/>
                <w:iCs/>
                <w:color w:val="000000"/>
                <w:sz w:val="22"/>
              </w:rPr>
              <w:t>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0F4B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A50F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</w:p>
        </w:tc>
      </w:tr>
      <w:tr w:rsidR="003968EA" w:rsidRPr="006715D6" w14:paraId="520F336C" w14:textId="77777777" w:rsidTr="00762FC1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1EC9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Sea lion of 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73-139 kg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E708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Uniform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C17F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6-7% </w:t>
            </w:r>
            <w:r w:rsidRPr="003B5279">
              <w:rPr>
                <w:rFonts w:ascii="Cambria Math" w:eastAsia="Times New Roman" w:hAnsi="Cambria Math" w:cs="Calibri"/>
                <w:i/>
                <w:color w:val="000000"/>
                <w:sz w:val="22"/>
              </w:rPr>
              <w:t>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09B0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9BFF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7799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proofErr w:type="spellStart"/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Winship</w:t>
            </w:r>
            <w:proofErr w:type="spellEnd"/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 et al.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,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 2006</w:t>
            </w:r>
          </w:p>
        </w:tc>
      </w:tr>
      <w:tr w:rsidR="003968EA" w:rsidRPr="006715D6" w14:paraId="79578854" w14:textId="77777777" w:rsidTr="00762FC1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A667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Sea lion of 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139-220 kg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9408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Uniform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F636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5-6% </w:t>
            </w:r>
            <w:r w:rsidRPr="003B5279">
              <w:rPr>
                <w:rFonts w:ascii="Cambria Math" w:eastAsia="Times New Roman" w:hAnsi="Cambria Math" w:cs="Calibri"/>
                <w:i/>
                <w:color w:val="000000"/>
                <w:sz w:val="22"/>
              </w:rPr>
              <w:t>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4079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270A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969A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proofErr w:type="spellStart"/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Winship</w:t>
            </w:r>
            <w:proofErr w:type="spellEnd"/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 et al.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,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 2006</w:t>
            </w:r>
          </w:p>
        </w:tc>
      </w:tr>
      <w:tr w:rsidR="003968EA" w:rsidRPr="006715D6" w14:paraId="5C99AA94" w14:textId="77777777" w:rsidTr="00762FC1">
        <w:trPr>
          <w:trHeight w:val="300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FE6B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Sea lion of 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220-318 kg</w:t>
            </w:r>
          </w:p>
        </w:tc>
        <w:tc>
          <w:tcPr>
            <w:tcW w:w="13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2B1C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Uniform</w:t>
            </w:r>
          </w:p>
        </w:tc>
        <w:tc>
          <w:tcPr>
            <w:tcW w:w="16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9BA7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4-5% </w:t>
            </w:r>
            <w:r w:rsidRPr="003B5279">
              <w:rPr>
                <w:rFonts w:ascii="Cambria Math" w:eastAsia="Times New Roman" w:hAnsi="Cambria Math" w:cs="Calibri"/>
                <w:i/>
                <w:color w:val="000000"/>
                <w:sz w:val="22"/>
              </w:rPr>
              <w:t>w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1E46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3DA4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B117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proofErr w:type="spellStart"/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Winship</w:t>
            </w:r>
            <w:proofErr w:type="spellEnd"/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 et al.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,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 2006</w:t>
            </w:r>
          </w:p>
        </w:tc>
      </w:tr>
      <w:tr w:rsidR="003968EA" w:rsidRPr="006715D6" w14:paraId="751C82B1" w14:textId="77777777" w:rsidTr="00762FC1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1C6E9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lastRenderedPageBreak/>
              <w:t xml:space="preserve">Sea lion of 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318-370 kg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895A3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FB3D72">
              <w:rPr>
                <w:rFonts w:asciiTheme="minorHAnsi" w:eastAsia="Times New Roman" w:hAnsiTheme="minorHAnsi" w:cstheme="minorHAnsi"/>
                <w:color w:val="000000"/>
                <w:sz w:val="22"/>
              </w:rPr>
              <w:t>Normal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16283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CFC53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4% </w:t>
            </w:r>
            <w:r w:rsidRPr="003B5279">
              <w:rPr>
                <w:rFonts w:ascii="Cambria Math" w:eastAsia="Times New Roman" w:hAnsi="Cambria Math" w:cs="Calibri"/>
                <w:i/>
                <w:color w:val="000000"/>
                <w:sz w:val="22"/>
              </w:rPr>
              <w:t>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8F9F5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FB3D72">
              <w:rPr>
                <w:rFonts w:asciiTheme="minorHAnsi" w:eastAsia="Times New Roman" w:hAnsiTheme="minorHAnsi" w:cstheme="minorHAnsi"/>
                <w:sz w:val="22"/>
              </w:rPr>
              <w:t xml:space="preserve">1% </w:t>
            </w:r>
            <w:r w:rsidRPr="003B5279">
              <w:rPr>
                <w:rFonts w:ascii="Cambria Math" w:eastAsia="Times New Roman" w:hAnsi="Cambria Math" w:cs="Calibri"/>
                <w:i/>
                <w:color w:val="000000"/>
                <w:sz w:val="22"/>
              </w:rPr>
              <w:t>w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A04F2" w14:textId="77777777" w:rsidR="003968EA" w:rsidRPr="006715D6" w:rsidRDefault="003968EA" w:rsidP="00762FC1">
            <w:pPr>
              <w:spacing w:line="48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proofErr w:type="spellStart"/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Winship</w:t>
            </w:r>
            <w:proofErr w:type="spellEnd"/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 et al.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,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 2006</w:t>
            </w:r>
          </w:p>
        </w:tc>
      </w:tr>
    </w:tbl>
    <w:p w14:paraId="61CEA4C7" w14:textId="77777777" w:rsidR="00F24CB2" w:rsidRDefault="00F24CB2"/>
    <w:p w14:paraId="4F945676" w14:textId="77777777" w:rsidR="003968EA" w:rsidRDefault="003968EA">
      <w:r>
        <w:t>Literature cited</w:t>
      </w:r>
    </w:p>
    <w:p w14:paraId="502BE168" w14:textId="77777777" w:rsidR="00CF635B" w:rsidRDefault="003968EA">
      <w:pPr>
        <w:rPr>
          <w:noProof/>
        </w:rPr>
      </w:pPr>
      <w:r w:rsidRPr="00AD27D9">
        <w:rPr>
          <w:noProof/>
        </w:rPr>
        <w:t xml:space="preserve">Gearin, P.J., Melin, S.R., Delong, R.L., Gosho, M.E., and Jeffries, S.J. </w:t>
      </w:r>
    </w:p>
    <w:p w14:paraId="08C5C37D" w14:textId="55F5C24D" w:rsidR="003968EA" w:rsidRDefault="003968EA">
      <w:r w:rsidRPr="00AD27D9">
        <w:rPr>
          <w:noProof/>
        </w:rPr>
        <w:t>2017. Migration patterns of adult male California sea lions (</w:t>
      </w:r>
      <w:r w:rsidRPr="00AD27D9">
        <w:rPr>
          <w:i/>
          <w:iCs/>
          <w:noProof/>
        </w:rPr>
        <w:t>Zalophus californianus</w:t>
      </w:r>
      <w:r w:rsidRPr="00AD27D9">
        <w:rPr>
          <w:noProof/>
        </w:rPr>
        <w:t>). NOAA Tech. Memo. NMFS-AFSC-346 29. https://doi.org/10.7289/V5/TM-AFSC-346.</w:t>
      </w:r>
    </w:p>
    <w:p w14:paraId="1A8B773A" w14:textId="77777777" w:rsidR="00CF635B" w:rsidRDefault="00CF635B">
      <w:pPr>
        <w:rPr>
          <w:noProof/>
        </w:rPr>
      </w:pPr>
    </w:p>
    <w:p w14:paraId="666C1FF0" w14:textId="5D121A65" w:rsidR="00CF635B" w:rsidRDefault="003968EA">
      <w:pPr>
        <w:rPr>
          <w:noProof/>
        </w:rPr>
      </w:pPr>
      <w:r w:rsidRPr="00AD27D9">
        <w:rPr>
          <w:noProof/>
        </w:rPr>
        <w:t xml:space="preserve">Lowry, M.S., and Forney, K.A. </w:t>
      </w:r>
    </w:p>
    <w:p w14:paraId="25E944FD" w14:textId="3E734007" w:rsidR="003968EA" w:rsidRDefault="003968EA">
      <w:r w:rsidRPr="00AD27D9">
        <w:rPr>
          <w:noProof/>
        </w:rPr>
        <w:t>2005. Abundance and distribution of California sea lions (</w:t>
      </w:r>
      <w:r w:rsidRPr="00AD27D9">
        <w:rPr>
          <w:i/>
          <w:iCs/>
          <w:noProof/>
        </w:rPr>
        <w:t>Zalophus californianus</w:t>
      </w:r>
      <w:r w:rsidRPr="00AD27D9">
        <w:rPr>
          <w:noProof/>
        </w:rPr>
        <w:t>) in central and northern California during 1998 and summer 1999. Fish. Bull. 103:331–343</w:t>
      </w:r>
    </w:p>
    <w:p w14:paraId="3B86BA67" w14:textId="77777777" w:rsidR="00CF635B" w:rsidRDefault="00CF635B">
      <w:pPr>
        <w:rPr>
          <w:noProof/>
        </w:rPr>
      </w:pPr>
    </w:p>
    <w:p w14:paraId="3548B8F9" w14:textId="41ECFBDA" w:rsidR="00CF635B" w:rsidRDefault="003968EA">
      <w:pPr>
        <w:rPr>
          <w:noProof/>
        </w:rPr>
      </w:pPr>
      <w:r w:rsidRPr="00AD27D9">
        <w:rPr>
          <w:noProof/>
        </w:rPr>
        <w:t xml:space="preserve">Winship, A.J., Hunter, A.M.J., Rosen, D.A.S., and Trites, A.W. </w:t>
      </w:r>
    </w:p>
    <w:p w14:paraId="010868B1" w14:textId="6691707D" w:rsidR="003968EA" w:rsidRDefault="003968EA">
      <w:r w:rsidRPr="00AD27D9">
        <w:rPr>
          <w:noProof/>
        </w:rPr>
        <w:t xml:space="preserve">2006. Food consumption by sea lions: Existing data and techniques. </w:t>
      </w:r>
      <w:r w:rsidRPr="00AD27D9">
        <w:rPr>
          <w:i/>
          <w:iCs/>
          <w:noProof/>
        </w:rPr>
        <w:t>In</w:t>
      </w:r>
      <w:r w:rsidRPr="00AD27D9">
        <w:rPr>
          <w:noProof/>
        </w:rPr>
        <w:t xml:space="preserve"> Sea Lions </w:t>
      </w:r>
      <w:r w:rsidR="00CF635B">
        <w:rPr>
          <w:noProof/>
        </w:rPr>
        <w:t xml:space="preserve">of the </w:t>
      </w:r>
      <w:r w:rsidRPr="00AD27D9">
        <w:rPr>
          <w:noProof/>
        </w:rPr>
        <w:t>World. p. 177–191. https://doi.org/10.4027/slw.2006.13.</w:t>
      </w:r>
    </w:p>
    <w:p w14:paraId="00D2BA55" w14:textId="77777777" w:rsidR="00CF635B" w:rsidRDefault="00CF635B">
      <w:pPr>
        <w:rPr>
          <w:noProof/>
        </w:rPr>
      </w:pPr>
    </w:p>
    <w:p w14:paraId="229AB5A6" w14:textId="16597463" w:rsidR="00CF635B" w:rsidRDefault="003968EA">
      <w:pPr>
        <w:rPr>
          <w:noProof/>
        </w:rPr>
      </w:pPr>
      <w:r w:rsidRPr="00AD27D9">
        <w:rPr>
          <w:noProof/>
        </w:rPr>
        <w:t xml:space="preserve">Wright, B.E., Tennis, M.J., and Brown, R.F. </w:t>
      </w:r>
    </w:p>
    <w:p w14:paraId="3AA50C6B" w14:textId="24376903" w:rsidR="003968EA" w:rsidRDefault="003968EA">
      <w:r w:rsidRPr="00AD27D9">
        <w:rPr>
          <w:noProof/>
        </w:rPr>
        <w:t>2010. Movements of male California sea lions captured in the Columbia River. Northwest Sci. 84:60–72. https://doi.org/10.3955/046.084.0107.</w:t>
      </w:r>
    </w:p>
    <w:sectPr w:rsidR="0039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EA"/>
    <w:rsid w:val="003968EA"/>
    <w:rsid w:val="005C59B6"/>
    <w:rsid w:val="00691CF8"/>
    <w:rsid w:val="00945EE6"/>
    <w:rsid w:val="00AB2744"/>
    <w:rsid w:val="00C63C7D"/>
    <w:rsid w:val="00CF635B"/>
    <w:rsid w:val="00F24CB2"/>
    <w:rsid w:val="00F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F30E"/>
  <w15:chartTrackingRefBased/>
  <w15:docId w15:val="{D4808951-8BCD-4687-B258-18AE70A9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8EA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396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68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68EA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Scordino</dc:creator>
  <cp:keywords/>
  <dc:description/>
  <cp:lastModifiedBy>Jonathan Scordino</cp:lastModifiedBy>
  <cp:revision>6</cp:revision>
  <dcterms:created xsi:type="dcterms:W3CDTF">2021-03-26T17:54:00Z</dcterms:created>
  <dcterms:modified xsi:type="dcterms:W3CDTF">2021-04-04T20:58:00Z</dcterms:modified>
</cp:coreProperties>
</file>