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6DD45" w14:textId="77777777" w:rsidR="00567383" w:rsidRDefault="00567383" w:rsidP="00567383">
      <w:pPr>
        <w:spacing w:line="480" w:lineRule="auto"/>
      </w:pPr>
      <w:r>
        <w:rPr>
          <w:rFonts w:eastAsiaTheme="minorEastAsia"/>
        </w:rPr>
        <w:t>S</w:t>
      </w:r>
      <w:r w:rsidR="00D21222">
        <w:rPr>
          <w:rFonts w:eastAsiaTheme="minorEastAsia"/>
        </w:rPr>
        <w:t>uppl.</w:t>
      </w:r>
      <w:r>
        <w:rPr>
          <w:rFonts w:eastAsiaTheme="minorEastAsia"/>
        </w:rPr>
        <w:t xml:space="preserve"> Table </w:t>
      </w:r>
      <w:r w:rsidR="00D21222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>
        <w:t xml:space="preserve">Parameters used in computing prey consumption of Steller sea lions for northwestern Washington, their sampling distribution, range, mean, standard deviation and source used for the data. Subtitles </w:t>
      </w:r>
      <w:proofErr w:type="gramStart"/>
      <w:r>
        <w:t>are printed</w:t>
      </w:r>
      <w:proofErr w:type="gramEnd"/>
      <w:r>
        <w:t xml:space="preserve"> in italic. </w:t>
      </w:r>
    </w:p>
    <w:p w14:paraId="21936095" w14:textId="77777777" w:rsidR="00567383" w:rsidRDefault="00567383" w:rsidP="00567383">
      <w:pPr>
        <w:spacing w:line="480" w:lineRule="auto"/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2078"/>
        <w:gridCol w:w="1276"/>
        <w:gridCol w:w="1680"/>
        <w:gridCol w:w="6"/>
        <w:gridCol w:w="1080"/>
        <w:gridCol w:w="1290"/>
        <w:gridCol w:w="6"/>
        <w:gridCol w:w="2034"/>
      </w:tblGrid>
      <w:tr w:rsidR="00567383" w:rsidRPr="0081480B" w14:paraId="258E15E9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CF6A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Parameter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FBCF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Distribution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1F89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 Range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AD28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μ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B9A26" w14:textId="1EBE604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s</w:t>
            </w:r>
            <w:r w:rsidRPr="006715D6">
              <w:rPr>
                <w:rFonts w:asciiTheme="minorHAnsi" w:eastAsia="Times New Roman" w:hAnsiTheme="minorHAnsi" w:cstheme="minorHAnsi"/>
                <w:color w:val="000000"/>
                <w:sz w:val="22"/>
              </w:rPr>
              <w:t>d</w:t>
            </w:r>
            <w:proofErr w:type="spellEnd"/>
            <w:r w:rsidR="00181AAB">
              <w:rPr>
                <w:rFonts w:asciiTheme="minorHAnsi" w:eastAsia="Times New Roman" w:hAnsiTheme="minorHAnsi" w:cstheme="minorHAnsi"/>
                <w:color w:val="000000"/>
                <w:sz w:val="22"/>
              </w:rPr>
              <w:t>/size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58F7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Source</w:t>
            </w:r>
          </w:p>
        </w:tc>
      </w:tr>
      <w:tr w:rsidR="00567383" w:rsidRPr="0081480B" w14:paraId="184C4507" w14:textId="77777777" w:rsidTr="00762FC1">
        <w:trPr>
          <w:trHeight w:val="300"/>
        </w:trPr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5646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Steller sea lion haulout non-pup count – 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91F9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CF6F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7DDC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2636B6DE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EAC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Winter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5200" w14:textId="2881357E" w:rsidR="00567383" w:rsidRPr="0081480B" w:rsidRDefault="00181AAB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A53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FE73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539.00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5DB8" w14:textId="021FFD64" w:rsidR="00567383" w:rsidRPr="0081480B" w:rsidRDefault="00181AAB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24.27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0A7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4BEB3A92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3B5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Spring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3B07" w14:textId="62B141E0" w:rsidR="00567383" w:rsidRPr="0081480B" w:rsidRDefault="00181AAB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1FA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5F01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644.69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7438" w14:textId="271C85C7" w:rsidR="00567383" w:rsidRPr="0081480B" w:rsidRDefault="00181AAB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18.87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4D6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428685FC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C31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165B" w14:textId="3C9782A1" w:rsidR="00567383" w:rsidRPr="0081480B" w:rsidRDefault="00181AAB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56D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96F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744.47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E40D" w14:textId="432911C0" w:rsidR="00567383" w:rsidRPr="0081480B" w:rsidRDefault="00181AAB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68.93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A09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31AB3EFD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EDF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DE6A" w14:textId="6042CFCF" w:rsidR="00567383" w:rsidRPr="0081480B" w:rsidRDefault="00181AAB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Negative binomial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544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A51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825.11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B64E" w14:textId="09A9A453" w:rsidR="00567383" w:rsidRPr="0081480B" w:rsidRDefault="00181AAB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6.38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C93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1B069F0F" w14:textId="77777777" w:rsidTr="00762FC1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3AF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Winter Demographics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p 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D5E6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829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F469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08D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4A60E067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C77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Juvenile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B88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76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40AC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40.60%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0C8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4.60%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959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0133ED6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B6C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835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A00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9E3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39.00%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B61D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10.40%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38B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2DAB6025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2C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CD6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BFE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3A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20.50%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A16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7.40%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E09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3109D6B8" w14:textId="77777777" w:rsidTr="00762FC1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A0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Spring Demographics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p 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5BE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8A3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CC3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9C2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4EE98878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140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Juvenile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344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84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2BC9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42.60%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7F49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9.80%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CF0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6A2DF688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506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C46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627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49F1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37.90%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190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9.90%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84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3134A63E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A0F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EA3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D1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C51A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19.50%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5250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7.10%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6EB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180D7B5A" w14:textId="77777777" w:rsidTr="00762FC1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617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Summer Demographics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p 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2F0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2B7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BAC7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507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7E0B4BC7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DE4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Juvenile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EE3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4BB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51A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40.80%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FD22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5.50%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079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3ECCCA2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1C8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% Adult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3F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9A4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ACAB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26.10%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FC07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5.50%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859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044E7994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99D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B6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7D2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B9C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33.00%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06D2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7.10%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85F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6B498F1D" w14:textId="77777777" w:rsidTr="00762FC1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C74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Fall Demographics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p 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F410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CF6C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3242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E785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035D8819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356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Juvenile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C9F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29B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799F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41.00%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9351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3.90%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59F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2B48F90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CF5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4506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8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39FA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38.30%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151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11.00%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1B6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790EB9DE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E9A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Adult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3AA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253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8590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20.70%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F16F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11.60%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D63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This study</w:t>
            </w:r>
          </w:p>
        </w:tc>
      </w:tr>
      <w:tr w:rsidR="00567383" w:rsidRPr="0081480B" w14:paraId="2B7F6783" w14:textId="77777777" w:rsidTr="00762FC1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7B3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Juvenile sex proportions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s 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2F9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7CF2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FA67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F486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5E9ABFB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D43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721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None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A41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86E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54.40%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7016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D4D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Wright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2017</w:t>
            </w:r>
          </w:p>
        </w:tc>
      </w:tr>
      <w:tr w:rsidR="00567383" w:rsidRPr="0081480B" w14:paraId="53BE0340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18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%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BE2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None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4D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D148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45.60%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A1EE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FB2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Wright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2017</w:t>
            </w:r>
          </w:p>
        </w:tc>
      </w:tr>
      <w:tr w:rsidR="00567383" w:rsidRPr="0081480B" w14:paraId="054C2C1B" w14:textId="77777777" w:rsidTr="00762FC1">
        <w:trPr>
          <w:trHeight w:val="300"/>
        </w:trPr>
        <w:tc>
          <w:tcPr>
            <w:tcW w:w="5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804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Haulout Count Correction Factors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k 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97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5D4E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46F7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59CCBAC1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A80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Fall, winter, 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spring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F26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04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67EB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2.78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5E76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C8A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Olesiuk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2018</w:t>
            </w:r>
          </w:p>
        </w:tc>
      </w:tr>
      <w:tr w:rsidR="00567383" w:rsidRPr="0081480B" w14:paraId="11C79F3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580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DD3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295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E392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1.48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046" w14:textId="77777777" w:rsidR="00567383" w:rsidRPr="0081480B" w:rsidRDefault="00567383" w:rsidP="00762FC1">
            <w:pPr>
              <w:spacing w:line="48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0.0831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D4C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Olesiuk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2018</w:t>
            </w:r>
          </w:p>
        </w:tc>
      </w:tr>
      <w:tr w:rsidR="00567383" w:rsidRPr="0081480B" w14:paraId="42FE73B0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5D5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Body Weight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– w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DAA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34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52E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6F0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088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4EC6DBBE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089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Juvenile female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968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18C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195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4C9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808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FF8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et al.,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567383" w:rsidRPr="0081480B" w14:paraId="232A70F2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E6B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Juvenile male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48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EF4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- 28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AA18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4E1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786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et al.,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567383" w:rsidRPr="0081480B" w14:paraId="4047F18A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AF6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Adult female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0B2A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0B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195 - 30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263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7D3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39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et al.,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567383" w:rsidRPr="0081480B" w14:paraId="0FD650F2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0B6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Adult male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76A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E76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- 681 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283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DC0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C77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et al.,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567383" w:rsidRPr="0081480B" w14:paraId="21F57AEA" w14:textId="77777777" w:rsidTr="00762FC1">
        <w:trPr>
          <w:trHeight w:val="300"/>
        </w:trPr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067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Male daily consumption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of body weight – c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DA8E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37B3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BE1F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2C19AAE4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19B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96-182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F2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898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8-9%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04B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BAE0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F2A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3FC99AAD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A58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182-310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D8F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F476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6-7%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3B5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743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F0A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61703C45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AE6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310-455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3B5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D40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5-6%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6B4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A4D5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61C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7845DC2B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1962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455-623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7C4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61B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C27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4%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BF6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1%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5F8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50867F9A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5B2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623-725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BE0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FA5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3-4%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0B7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939F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7D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27289107" w14:textId="77777777" w:rsidTr="00762FC1">
        <w:trPr>
          <w:trHeight w:val="300"/>
        </w:trPr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1A60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Female daily consumption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 of body weight –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B024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11B1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B17B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67383" w:rsidRPr="0081480B" w14:paraId="37BC4403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8F1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97-152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0FA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0B0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8-9%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0F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BAD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791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2EAD8158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01D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152-194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FA94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F46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7-8%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F2AF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EB6E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BC3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41174F56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CE01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194-223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FA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Uniform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AE9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6-7%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C287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8F8F" w14:textId="77777777" w:rsidR="00567383" w:rsidRPr="0081480B" w:rsidRDefault="00567383" w:rsidP="00762FC1">
            <w:pPr>
              <w:spacing w:line="48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249C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  <w:tr w:rsidR="00567383" w:rsidRPr="0081480B" w14:paraId="67A75103" w14:textId="77777777" w:rsidTr="00762FC1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B734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223-272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kg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341BE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Normal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DD7A9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74CBB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5%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76FB5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1%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w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5616D" w14:textId="77777777" w:rsidR="00567383" w:rsidRPr="0081480B" w:rsidRDefault="00567383" w:rsidP="00762FC1">
            <w:pPr>
              <w:spacing w:line="48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>Winship</w:t>
            </w:r>
            <w:proofErr w:type="spellEnd"/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et al.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,</w:t>
            </w:r>
            <w:r w:rsidRPr="0081480B">
              <w:rPr>
                <w:rFonts w:ascii="Calibri" w:eastAsia="Times New Roman" w:hAnsi="Calibri" w:cs="Calibri"/>
                <w:color w:val="000000"/>
                <w:sz w:val="22"/>
              </w:rPr>
              <w:t xml:space="preserve"> 2006</w:t>
            </w:r>
          </w:p>
        </w:tc>
      </w:tr>
    </w:tbl>
    <w:p w14:paraId="18DBC5B2" w14:textId="77777777" w:rsidR="00F24CB2" w:rsidRDefault="00567383">
      <w:r>
        <w:t>Literature cited:</w:t>
      </w:r>
    </w:p>
    <w:p w14:paraId="423BFCD4" w14:textId="77777777" w:rsidR="00567383" w:rsidRDefault="00567383"/>
    <w:p w14:paraId="125F2F94" w14:textId="77777777" w:rsidR="00D21222" w:rsidRDefault="00D21222">
      <w:pPr>
        <w:rPr>
          <w:noProof/>
        </w:rPr>
      </w:pPr>
      <w:r w:rsidRPr="00AD27D9">
        <w:rPr>
          <w:noProof/>
        </w:rPr>
        <w:t xml:space="preserve">Olesiuk, P.F. </w:t>
      </w:r>
    </w:p>
    <w:p w14:paraId="68B0FD15" w14:textId="77777777" w:rsidR="00D21222" w:rsidRDefault="00D21222">
      <w:r w:rsidRPr="00AD27D9">
        <w:rPr>
          <w:noProof/>
        </w:rPr>
        <w:t>2018. Recent trends in Abundance of Steller Sea Lions (Eumetopias jubatus) in British Columbia. Dep. Fish Ocean. Can. Sci. Advis. Secr. Res. Doc., Vol. 006</w:t>
      </w:r>
    </w:p>
    <w:p w14:paraId="68E9F0EF" w14:textId="77777777" w:rsidR="00567383" w:rsidRDefault="00567383"/>
    <w:p w14:paraId="71CCE6A6" w14:textId="77777777" w:rsidR="00D21222" w:rsidRDefault="00567383">
      <w:pPr>
        <w:rPr>
          <w:noProof/>
        </w:rPr>
      </w:pPr>
      <w:r w:rsidRPr="00AD27D9">
        <w:rPr>
          <w:noProof/>
        </w:rPr>
        <w:t xml:space="preserve">Winship, Arliss J, Trites, A.W., and Calkins, D.G. </w:t>
      </w:r>
    </w:p>
    <w:p w14:paraId="5CB968BC" w14:textId="77777777" w:rsidR="00567383" w:rsidRDefault="00567383">
      <w:r w:rsidRPr="00AD27D9">
        <w:rPr>
          <w:noProof/>
        </w:rPr>
        <w:t>2001. Growth in body size of the Steller sea lion (</w:t>
      </w:r>
      <w:r w:rsidRPr="00AD27D9">
        <w:rPr>
          <w:i/>
          <w:iCs/>
          <w:noProof/>
        </w:rPr>
        <w:t>Eumetopias jubatus</w:t>
      </w:r>
      <w:r w:rsidRPr="00AD27D9">
        <w:rPr>
          <w:noProof/>
        </w:rPr>
        <w:t>). J. Mammal. 82:500–519. https://doi.org/10.1644/1545-1542(2001)082&lt;0500:gibsot&gt;2.0.co;2.</w:t>
      </w:r>
    </w:p>
    <w:p w14:paraId="4FF3ED01" w14:textId="77777777" w:rsidR="00567383" w:rsidRDefault="00567383">
      <w:pPr>
        <w:rPr>
          <w:noProof/>
        </w:rPr>
      </w:pPr>
    </w:p>
    <w:p w14:paraId="5BD8311A" w14:textId="77777777" w:rsidR="00D21222" w:rsidRDefault="00567383">
      <w:pPr>
        <w:rPr>
          <w:noProof/>
        </w:rPr>
      </w:pPr>
      <w:r w:rsidRPr="00AD27D9">
        <w:rPr>
          <w:noProof/>
        </w:rPr>
        <w:t xml:space="preserve">Winship, A.J., Hunter, A.M.J., Rosen, D.A.S., and Trites, A.W. </w:t>
      </w:r>
    </w:p>
    <w:p w14:paraId="0FE0A850" w14:textId="295BC665" w:rsidR="00567383" w:rsidRDefault="00567383" w:rsidP="00D21222">
      <w:pPr>
        <w:rPr>
          <w:noProof/>
        </w:rPr>
      </w:pPr>
      <w:r w:rsidRPr="00AD27D9">
        <w:rPr>
          <w:noProof/>
        </w:rPr>
        <w:t>2006.</w:t>
      </w:r>
      <w:r w:rsidR="00D21222">
        <w:rPr>
          <w:noProof/>
        </w:rPr>
        <w:t xml:space="preserve"> </w:t>
      </w:r>
      <w:r w:rsidRPr="00AD27D9">
        <w:rPr>
          <w:noProof/>
        </w:rPr>
        <w:t xml:space="preserve">Food consumption by sea lions: Existing data and techniques. </w:t>
      </w:r>
      <w:r w:rsidRPr="00AD27D9">
        <w:rPr>
          <w:i/>
          <w:iCs/>
          <w:noProof/>
        </w:rPr>
        <w:t>In</w:t>
      </w:r>
      <w:r w:rsidRPr="00AD27D9">
        <w:rPr>
          <w:noProof/>
        </w:rPr>
        <w:t xml:space="preserve"> Sea Lions </w:t>
      </w:r>
      <w:r w:rsidR="00EA2BD4">
        <w:rPr>
          <w:noProof/>
        </w:rPr>
        <w:t xml:space="preserve">of the </w:t>
      </w:r>
      <w:bookmarkStart w:id="0" w:name="_GoBack"/>
      <w:bookmarkEnd w:id="0"/>
      <w:r w:rsidRPr="00AD27D9">
        <w:rPr>
          <w:noProof/>
        </w:rPr>
        <w:t xml:space="preserve">World. p. 177–191. </w:t>
      </w:r>
      <w:hyperlink r:id="rId4" w:history="1">
        <w:r w:rsidR="00D21222" w:rsidRPr="0053115C">
          <w:rPr>
            <w:rStyle w:val="Hyperlink"/>
            <w:noProof/>
          </w:rPr>
          <w:t>https://doi.org/10.4027/slw.2006.13</w:t>
        </w:r>
      </w:hyperlink>
      <w:r w:rsidRPr="00AD27D9">
        <w:rPr>
          <w:noProof/>
        </w:rPr>
        <w:t>.</w:t>
      </w:r>
    </w:p>
    <w:p w14:paraId="38A5ADD3" w14:textId="77777777" w:rsidR="00D21222" w:rsidRDefault="00D21222" w:rsidP="00D21222">
      <w:pPr>
        <w:rPr>
          <w:noProof/>
        </w:rPr>
      </w:pPr>
    </w:p>
    <w:p w14:paraId="470A4A4C" w14:textId="77777777" w:rsidR="00D21222" w:rsidRDefault="00D21222" w:rsidP="00D21222">
      <w:pPr>
        <w:rPr>
          <w:noProof/>
        </w:rPr>
      </w:pPr>
      <w:r w:rsidRPr="00AD27D9">
        <w:rPr>
          <w:noProof/>
        </w:rPr>
        <w:t xml:space="preserve">Wright, B.E., Brown, R.F., DeLong, R.L., Gearin, P.J., Riemer, S.D., Laake, J.L., and Scordino, J.J. </w:t>
      </w:r>
    </w:p>
    <w:p w14:paraId="70D12CDC" w14:textId="77777777" w:rsidR="00D21222" w:rsidRDefault="00D21222" w:rsidP="00D21222">
      <w:pPr>
        <w:rPr>
          <w:noProof/>
        </w:rPr>
      </w:pPr>
      <w:r w:rsidRPr="00AD27D9">
        <w:rPr>
          <w:noProof/>
        </w:rPr>
        <w:t>2017. Survival rates of Steller sea lions from Oregon and California. J. Mammal. 98:885–894. https://doi.org/10.1093/jmammal/gyx033.</w:t>
      </w:r>
    </w:p>
    <w:sectPr w:rsidR="00D2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B0"/>
    <w:rsid w:val="00181AAB"/>
    <w:rsid w:val="00567383"/>
    <w:rsid w:val="00655B83"/>
    <w:rsid w:val="00C63C7D"/>
    <w:rsid w:val="00CF43B0"/>
    <w:rsid w:val="00D21222"/>
    <w:rsid w:val="00EA2BD4"/>
    <w:rsid w:val="00F2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921"/>
  <w15:chartTrackingRefBased/>
  <w15:docId w15:val="{4F020676-8F0E-4EFF-BEED-667A375F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83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567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3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383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3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8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4027/slw.2006.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Scordino</dc:creator>
  <cp:keywords/>
  <dc:description/>
  <cp:lastModifiedBy>Jonathan Scordino</cp:lastModifiedBy>
  <cp:revision>5</cp:revision>
  <dcterms:created xsi:type="dcterms:W3CDTF">2021-03-26T18:02:00Z</dcterms:created>
  <dcterms:modified xsi:type="dcterms:W3CDTF">2021-03-29T23:16:00Z</dcterms:modified>
</cp:coreProperties>
</file>