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b/>
          <w:i w:val="0"/>
          <w:color w:val="800000"/>
          <w:sz w:val="40"/>
        </w:rPr>
        <w:t>Synergistic Dual-Attention Feature Fusion Network for UAV-Based Flood Damage Semantic Segmentation</w:t>
      </w:r>
    </w:p>
    <w:p>
      <w:pPr>
        <w:spacing w:after="40"/>
        <w:jc w:val="center"/>
      </w:pPr>
      <w:r>
        <w:rPr>
          <w:rFonts w:ascii="Times New Roman" w:hAnsi="Times New Roman"/>
          <w:b/>
          <w:sz w:val="21"/>
        </w:rPr>
        <w:t>Author</w:t>
      </w:r>
      <w:r>
        <w:rPr>
          <w:rFonts w:ascii="Times New Roman" w:hAnsi="Times New Roman"/>
          <w:b w:val="0"/>
          <w:i w:val="0"/>
          <w:sz w:val="21"/>
        </w:rPr>
        <w:t>: J. Scott Vogel</w:t>
      </w:r>
    </w:p>
    <w:p>
      <w:pPr>
        <w:spacing w:after="40"/>
        <w:jc w:val="center"/>
      </w:pPr>
      <w:r>
        <w:rPr>
          <w:rFonts w:ascii="Times New Roman" w:hAnsi="Times New Roman"/>
          <w:b/>
          <w:sz w:val="21"/>
        </w:rPr>
        <w:t>Affiliation</w:t>
      </w:r>
      <w:r>
        <w:rPr>
          <w:rFonts w:ascii="Times New Roman" w:hAnsi="Times New Roman"/>
          <w:b w:val="0"/>
          <w:i w:val="0"/>
          <w:sz w:val="21"/>
        </w:rPr>
        <w:t>: Department of Computer Science, University of Colorado Boulder</w:t>
      </w:r>
    </w:p>
    <w:p>
      <w:pPr>
        <w:spacing w:after="40"/>
        <w:jc w:val="center"/>
      </w:pPr>
      <w:r>
        <w:rPr>
          <w:rFonts w:ascii="Times New Roman" w:hAnsi="Times New Roman"/>
          <w:b/>
          <w:sz w:val="21"/>
        </w:rPr>
        <w:t>Date</w:t>
      </w:r>
      <w:r>
        <w:rPr>
          <w:rFonts w:ascii="Times New Roman" w:hAnsi="Times New Roman"/>
          <w:b w:val="0"/>
          <w:i w:val="0"/>
          <w:sz w:val="21"/>
        </w:rPr>
        <w:t>: June 2026</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color w:val="1F497D"/>
          <w:sz w:val="24"/>
        </w:rPr>
        <w:t>Abstract</w:t>
      </w:r>
    </w:p>
    <w:p>
      <w:pPr>
        <w:spacing w:line="276" w:lineRule="auto" w:after="160"/>
      </w:pPr>
      <w:r>
        <w:rPr>
          <w:rFonts w:ascii="Times New Roman" w:hAnsi="Times New Roman"/>
          <w:b w:val="0"/>
          <w:i w:val="0"/>
        </w:rPr>
        <w:t xml:space="preserve">Rapid and accurate assessment of natural disaster zones using Unmanned Aerial Vehicles (UAVs) is critical for emergency response. However, UAV imagery exhibits high spatial variability, extreme class imbalances, and fine-scale structures that challenge standard semantic segmentation architectures. This paper introduces the </w:t>
      </w:r>
      <w:r>
        <w:rPr>
          <w:rFonts w:ascii="Times New Roman" w:hAnsi="Times New Roman"/>
          <w:b/>
        </w:rPr>
        <w:t>Synergistic Dual-Attention Feature Fusion Network</w:t>
      </w:r>
      <w:r>
        <w:rPr>
          <w:rFonts w:ascii="Times New Roman" w:hAnsi="Times New Roman"/>
          <w:b w:val="0"/>
          <w:i w:val="0"/>
        </w:rPr>
        <w:t xml:space="preserve">, an ensemble architecture that fuses heterogeneous feature representations from UNet, DeepLabV3+, and FCN-ResNet50. By integrating a sequential Convolutional Block Attention Module (CBAM) directly into a projection-aligned fusion head, the model dynamically routes features and preserves fine-grained spatial boundaries. To optimize performance without introducing runtime overhead, we decouple continuous model weights and discrete post-processing boundaries, utilizing Powell's optimization for class-wise probability scaling and a parallelized Greedy Coordinate Descent for class-specific morphological suppression. Evaluated on the FloodNet benchmark, our approach achieves a macro Dice score of </w:t>
      </w:r>
      <w:r>
        <w:rPr>
          <w:rFonts w:ascii="Times New Roman" w:hAnsi="Times New Roman"/>
          <w:b/>
        </w:rPr>
        <w:t>91.751%</w:t>
      </w:r>
      <w:r>
        <w:rPr>
          <w:rFonts w:ascii="Times New Roman" w:hAnsi="Times New Roman"/>
          <w:b w:val="0"/>
          <w:i w:val="0"/>
        </w:rPr>
        <w:t>, surpassing the baseline models and the first-place benchmark of 91.580%.</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1. Introduction</w:t>
      </w:r>
    </w:p>
    <w:p>
      <w:pPr>
        <w:spacing w:line="276" w:lineRule="auto" w:after="160"/>
      </w:pPr>
      <w:r>
        <w:rPr>
          <w:rFonts w:ascii="Times New Roman" w:hAnsi="Times New Roman"/>
          <w:b w:val="0"/>
          <w:i w:val="0"/>
        </w:rPr>
        <w:t>Semantic segmentation of aerial imagery plays a pivotal role in post-disaster evaluation, enabling automated mapping of flooded areas, damaged buildings, blocked roads, and stranded vehicles. The FloodNet dataset challenges standard architectures with sub-meter spatial resolutions, significant illumination changes, and classes with extreme size discrepancies (e.g., large background areas vs. tiny pools and vehicles) [1].</w:t>
      </w:r>
    </w:p>
    <w:p>
      <w:pPr>
        <w:spacing w:line="276" w:lineRule="auto" w:after="160"/>
      </w:pPr>
      <w:r>
        <w:rPr>
          <w:rFonts w:ascii="Times New Roman" w:hAnsi="Times New Roman"/>
          <w:b w:val="0"/>
          <w:i w:val="0"/>
        </w:rPr>
        <w:t>Standard segmentation approaches generally rely on single architectures or simple ensemble methods such as late-stage logit averaging (soft voting). While soft voting reduces prediction variance, it treats all models equally across all spatial positions and semantic classes, ignoring the fact that different architectures possess distinct spatial and contextual biases. For instance, UNet excels at high-resolution edge delineation via skip connections, while DeepLabV3+ provides robust multi-scale global context via Atrous Spatial Pyramid Pooling (ASPP) [2, 3].</w:t>
      </w:r>
    </w:p>
    <w:p>
      <w:pPr>
        <w:spacing w:line="276" w:lineRule="auto" w:after="160"/>
      </w:pPr>
      <w:r>
        <w:rPr>
          <w:rFonts w:ascii="Times New Roman" w:hAnsi="Times New Roman"/>
          <w:b w:val="0"/>
          <w:i w:val="0"/>
        </w:rPr>
        <w:t>To address these limitations, we present the following contributions:</w:t>
      </w:r>
    </w:p>
    <w:p>
      <w:pPr>
        <w:pStyle w:val="ListNumber"/>
        <w:spacing w:after="60"/>
      </w:pPr>
      <w:r>
        <w:rPr>
          <w:rFonts w:ascii="Times New Roman" w:hAnsi="Times New Roman"/>
          <w:b/>
        </w:rPr>
        <w:t>Heterogeneous Feature-Level Fusion</w:t>
      </w:r>
      <w:r>
        <w:rPr>
          <w:rFonts w:ascii="Times New Roman" w:hAnsi="Times New Roman"/>
          <w:b w:val="0"/>
          <w:i w:val="0"/>
        </w:rPr>
        <w:t>: A multi-backbone network that extracts intermediate decoder features, projects them to a uniform channel space, and upsamples them to native resolution for early feature-level integration.</w:t>
      </w:r>
    </w:p>
    <w:p>
      <w:pPr>
        <w:pStyle w:val="ListNumber"/>
        <w:spacing w:after="60"/>
      </w:pPr>
      <w:r>
        <w:rPr>
          <w:rFonts w:ascii="Times New Roman" w:hAnsi="Times New Roman"/>
          <w:b/>
        </w:rPr>
        <w:t>Sequential Dual-Attention Routing</w:t>
      </w:r>
      <w:r>
        <w:rPr>
          <w:rFonts w:ascii="Times New Roman" w:hAnsi="Times New Roman"/>
          <w:b w:val="0"/>
          <w:i w:val="0"/>
        </w:rPr>
        <w:t>: The integration of a Channel and Spatial Attention (CBAM) mechanism to dynamically scale concatenated feature maps, selecting "what" architectural representations to prioritize and "where" to preserve high-frequency details.</w:t>
      </w:r>
    </w:p>
    <w:p>
      <w:pPr>
        <w:pStyle w:val="ListNumber"/>
        <w:spacing w:after="60"/>
      </w:pPr>
      <w:r>
        <w:rPr>
          <w:rFonts w:ascii="Times New Roman" w:hAnsi="Times New Roman"/>
          <w:b/>
        </w:rPr>
        <w:t>Decoupled Post-Processing Calibration</w:t>
      </w:r>
      <w:r>
        <w:rPr>
          <w:rFonts w:ascii="Times New Roman" w:hAnsi="Times New Roman"/>
          <w:b w:val="0"/>
          <w:i w:val="0"/>
        </w:rPr>
        <w:t>: A dual-stage post-processing pipeline that utilizes Powell's method to search for optimal class-wise blending weights and probability thresholds, followed by Greedy Coordinate Descent to locate class-specific morphological area suppression sizes.</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2. Related Work</w:t>
      </w:r>
    </w:p>
    <w:p>
      <w:pPr>
        <w:keepNext/>
        <w:spacing w:before="240" w:after="120"/>
      </w:pPr>
      <w:r>
        <w:rPr>
          <w:rFonts w:ascii="Times New Roman" w:hAnsi="Times New Roman"/>
          <w:b/>
          <w:i/>
          <w:color w:val="1F497D"/>
          <w:sz w:val="24"/>
        </w:rPr>
        <w:t>2.1 Deep Semantic Segmentation</w:t>
      </w:r>
    </w:p>
    <w:p>
      <w:pPr>
        <w:spacing w:line="276" w:lineRule="auto" w:after="160"/>
      </w:pPr>
      <w:r>
        <w:rPr>
          <w:rFonts w:ascii="Times New Roman" w:hAnsi="Times New Roman"/>
          <w:b w:val="0"/>
          <w:i w:val="0"/>
        </w:rPr>
        <w:t>Modern semantic segmentation is dominated by Fully Convolutional Networks (FCNs) [4]. Extensions such as UNet [2] introduce symmetrical encoder-decoder skip connections to preserve spatial details, which is highly beneficial for localization. Conversely, DeepLabV3+ [3] leverages ASPP to capture multi-scale context using multiple dilation rates. Despite their individual strengths, single models often fail to reconcile the trade-off between global semantic understanding and local edge precision in complex UAV scenes.</w:t>
      </w:r>
    </w:p>
    <w:p>
      <w:pPr>
        <w:keepNext/>
        <w:spacing w:before="240" w:after="120"/>
      </w:pPr>
      <w:r>
        <w:rPr>
          <w:rFonts w:ascii="Times New Roman" w:hAnsi="Times New Roman"/>
          <w:b/>
          <w:i/>
          <w:color w:val="1F497D"/>
          <w:sz w:val="24"/>
        </w:rPr>
        <w:t>2.2 Feature-Level Fusion and Attention</w:t>
      </w:r>
    </w:p>
    <w:p>
      <w:pPr>
        <w:spacing w:line="276" w:lineRule="auto" w:after="160"/>
      </w:pPr>
      <w:r>
        <w:rPr>
          <w:rFonts w:ascii="Times New Roman" w:hAnsi="Times New Roman"/>
          <w:b w:val="0"/>
          <w:i w:val="0"/>
        </w:rPr>
        <w:t>Ensemble methods have long been utilized to improve generalization. While late-stage logit blending operates on the final class probabilities, feature-level fusion combines intermediate representations, allowing downstream layers to learn complex inter-model dependencies. Woo et al. introduced the Convolutional Block Attention Module (CBAM) [5], demonstrating that sequentially applying channel and spatial attention significantly outperforms single-dimension attention. We adapt this principle to dynamically weight heterogeneous features coming from structurally distinct decoders.</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3. Methodology</w:t>
      </w:r>
    </w:p>
    <w:p>
      <w:pPr>
        <w:spacing w:line="276" w:lineRule="auto" w:after="160"/>
      </w:pPr>
      <w:r>
        <w:rPr>
          <w:rFonts w:ascii="Times New Roman" w:hAnsi="Times New Roman"/>
          <w:b w:val="0"/>
          <w:i w:val="0"/>
        </w:rPr>
        <w:t xml:space="preserve">The proposed architecture, illustrated in </w:t>
      </w:r>
      <w:r>
        <w:rPr>
          <w:rFonts w:ascii="Times New Roman" w:hAnsi="Times New Roman"/>
          <w:b/>
        </w:rPr>
        <w:t>Figure 1</w:t>
      </w:r>
      <w:r>
        <w:rPr>
          <w:rFonts w:ascii="Times New Roman" w:hAnsi="Times New Roman"/>
          <w:b w:val="0"/>
          <w:i w:val="0"/>
        </w:rPr>
        <w:t>, integrates three base segmentors: a Standard UNet [2], a Custom DeepLabV3+ [3], and a ResNet50-FCN auxiliary network [4].</w:t>
      </w:r>
    </w:p>
    <w:p>
      <w:pPr>
        <w:spacing w:before="240" w:after="240"/>
        <w:jc w:val="center"/>
      </w:pPr>
      <w:r>
        <w:rPr>
          <w:rFonts w:ascii="Times New Roman" w:hAnsi="Times New Roman"/>
          <w:b/>
          <w:i/>
          <w:color w:val="787878"/>
          <w:sz w:val="20"/>
        </w:rPr>
        <w:t>[Figure 1: Refer to the Architectural Diagram in the Markdown/HTML version]</w:t>
      </w:r>
    </w:p>
    <w:p>
      <w:pPr>
        <w:spacing w:line="276" w:lineRule="auto" w:after="160"/>
      </w:pPr>
      <w:r>
        <w:rPr>
          <w:rFonts w:ascii="Times New Roman" w:hAnsi="Times New Roman"/>
          <w:i/>
        </w:rPr>
        <w:t>Figure 1: Architectural diagram of the Synergistic Dual-Attention Network.</w:t>
      </w:r>
    </w:p>
    <w:p>
      <w:pPr>
        <w:keepNext/>
        <w:spacing w:before="240" w:after="120"/>
      </w:pPr>
      <w:r>
        <w:rPr>
          <w:rFonts w:ascii="Times New Roman" w:hAnsi="Times New Roman"/>
          <w:b/>
          <w:i/>
          <w:color w:val="1F497D"/>
          <w:sz w:val="24"/>
        </w:rPr>
        <w:t>3.1 Feature Alignment and Projection</w:t>
      </w:r>
    </w:p>
    <w:p>
      <w:pPr>
        <w:spacing w:line="276" w:lineRule="auto" w:after="160"/>
      </w:pPr>
      <w:r>
        <w:rPr>
          <w:rFonts w:ascii="Times New Roman" w:hAnsi="Times New Roman"/>
          <w:b w:val="0"/>
          <w:i w:val="0"/>
        </w:rPr>
        <w:t xml:space="preserve">Let </w:t>
      </w:r>
      <w:r>
        <w:rPr>
          <w:rFonts w:ascii="Times New Roman" w:hAnsi="Times New Roman"/>
          <w:i/>
          <w:color w:val="781414"/>
        </w:rPr>
        <w:t>F_{UNet} \in \mathbb{R}^{32 \times H \times W}</w:t>
      </w:r>
      <w:r>
        <w:rPr>
          <w:rFonts w:ascii="Times New Roman" w:hAnsi="Times New Roman"/>
          <w:b w:val="0"/>
          <w:i w:val="0"/>
        </w:rPr>
        <w:t xml:space="preserve"> represent the feature maps from the final decoder stage of UNet. Let </w:t>
      </w:r>
      <w:r>
        <w:rPr>
          <w:rFonts w:ascii="Times New Roman" w:hAnsi="Times New Roman"/>
          <w:i/>
          <w:color w:val="781414"/>
        </w:rPr>
        <w:t>F_{DL} \in \mathbb{R}^{64 \times \frac{H}{4} \times \frac{W}{4}}</w:t>
      </w:r>
      <w:r>
        <w:rPr>
          <w:rFonts w:ascii="Times New Roman" w:hAnsi="Times New Roman"/>
          <w:b w:val="0"/>
          <w:i w:val="0"/>
        </w:rPr>
        <w:t xml:space="preserve"> and </w:t>
      </w:r>
      <w:r>
        <w:rPr>
          <w:rFonts w:ascii="Times New Roman" w:hAnsi="Times New Roman"/>
          <w:i/>
          <w:color w:val="781414"/>
        </w:rPr>
        <w:t>F_{FCN} \in \mathbb{R}^{512 \times \frac{H}{8} \times \frac{W}{8}}</w:t>
      </w:r>
      <w:r>
        <w:rPr>
          <w:rFonts w:ascii="Times New Roman" w:hAnsi="Times New Roman"/>
          <w:b w:val="0"/>
          <w:i w:val="0"/>
        </w:rPr>
        <w:t xml:space="preserve"> represent the intermediate outputs of the DeepLab and FCN decoders, respectively. To prevent the FCN's high-rank representation from dominating the feature pool, we apply a 1x1 projection convolution </w:t>
      </w:r>
      <w:r>
        <w:rPr>
          <w:rFonts w:ascii="Times New Roman" w:hAnsi="Times New Roman"/>
          <w:i/>
          <w:color w:val="781414"/>
        </w:rPr>
        <w:t>\mathcal{P}</w:t>
      </w:r>
      <w:r>
        <w:rPr>
          <w:rFonts w:ascii="Times New Roman" w:hAnsi="Times New Roman"/>
          <w:b w:val="0"/>
          <w:i w:val="0"/>
        </w:rPr>
        <w:t>:</w:t>
      </w:r>
    </w:p>
    <w:p>
      <w:pPr>
        <w:spacing w:before="200" w:after="200"/>
        <w:jc w:val="center"/>
      </w:pPr>
      <w:r>
        <w:rPr>
          <w:rFonts w:ascii="Times New Roman" w:hAnsi="Times New Roman"/>
          <w:i/>
          <w:color w:val="781414"/>
          <w:sz w:val="22"/>
        </w:rPr>
        <w:t>F_{FCN-proj = ReLU(BatchNorm(P(F_{FCN))) \in R^{64  x  /{H{8  x  /{W{8</w:t>
      </w:r>
    </w:p>
    <w:p>
      <w:pPr>
        <w:spacing w:line="276" w:lineRule="auto" w:after="160"/>
      </w:pPr>
      <w:r>
        <w:rPr>
          <w:rFonts w:ascii="Times New Roman" w:hAnsi="Times New Roman"/>
          <w:b w:val="0"/>
          <w:i w:val="0"/>
        </w:rPr>
        <w:t xml:space="preserve">We align all spatial resolutions to </w:t>
      </w:r>
      <w:r>
        <w:rPr>
          <w:rFonts w:ascii="Times New Roman" w:hAnsi="Times New Roman"/>
          <w:i/>
          <w:color w:val="781414"/>
        </w:rPr>
        <w:t>1/1</w:t>
      </w:r>
      <w:r>
        <w:rPr>
          <w:rFonts w:ascii="Times New Roman" w:hAnsi="Times New Roman"/>
          <w:b w:val="0"/>
          <w:i w:val="0"/>
        </w:rPr>
        <w:t xml:space="preserve"> native scale via bilinear interpolation </w:t>
      </w:r>
      <w:r>
        <w:rPr>
          <w:rFonts w:ascii="Times New Roman" w:hAnsi="Times New Roman"/>
          <w:i/>
          <w:color w:val="781414"/>
        </w:rPr>
        <w:t>\mathcal{U}</w:t>
      </w:r>
      <w:r>
        <w:rPr>
          <w:rFonts w:ascii="Times New Roman" w:hAnsi="Times New Roman"/>
          <w:b w:val="0"/>
          <w:i w:val="0"/>
        </w:rPr>
        <w:t>:</w:t>
      </w:r>
    </w:p>
    <w:p>
      <w:pPr>
        <w:spacing w:before="200" w:after="200"/>
        <w:jc w:val="center"/>
      </w:pPr>
      <w:r>
        <w:rPr>
          <w:rFonts w:ascii="Times New Roman" w:hAnsi="Times New Roman"/>
          <w:i/>
          <w:color w:val="781414"/>
          <w:sz w:val="22"/>
        </w:rPr>
        <w:t>F_{concat = \left[ F_{UNet \;\|\; U(F_{DL) \;\|\; U(F_{FCN-proj) \right] \in R^{160  x  H  x  W</w:t>
      </w:r>
    </w:p>
    <w:p>
      <w:pPr>
        <w:spacing w:line="276" w:lineRule="auto" w:after="160"/>
      </w:pPr>
      <w:r>
        <w:rPr>
          <w:rFonts w:ascii="Times New Roman" w:hAnsi="Times New Roman"/>
          <w:b w:val="0"/>
          <w:i w:val="0"/>
        </w:rPr>
        <w:t xml:space="preserve">where </w:t>
      </w:r>
      <w:r>
        <w:rPr>
          <w:rFonts w:ascii="Times New Roman" w:hAnsi="Times New Roman"/>
          <w:i/>
          <w:color w:val="781414"/>
        </w:rPr>
        <w:t>\|</w:t>
      </w:r>
      <w:r>
        <w:rPr>
          <w:rFonts w:ascii="Times New Roman" w:hAnsi="Times New Roman"/>
          <w:b w:val="0"/>
          <w:i w:val="0"/>
        </w:rPr>
        <w:t xml:space="preserve"> denotes channel-wise concatenation.</w:t>
      </w:r>
    </w:p>
    <w:p>
      <w:pPr>
        <w:keepNext/>
        <w:spacing w:before="240" w:after="120"/>
      </w:pPr>
      <w:r>
        <w:rPr>
          <w:rFonts w:ascii="Times New Roman" w:hAnsi="Times New Roman"/>
          <w:b/>
          <w:i/>
          <w:color w:val="1F497D"/>
          <w:sz w:val="24"/>
        </w:rPr>
        <w:t>3.2 Sequential Dual-Attention Routing</w:t>
      </w:r>
    </w:p>
    <w:p>
      <w:pPr>
        <w:spacing w:line="276" w:lineRule="auto" w:after="160"/>
      </w:pPr>
      <w:r>
        <w:rPr>
          <w:rFonts w:ascii="Times New Roman" w:hAnsi="Times New Roman"/>
          <w:b w:val="0"/>
          <w:i w:val="0"/>
        </w:rPr>
        <w:t>To resolve feature redundancies across the 160 channels, we utilize a dual-attention block.</w:t>
      </w:r>
    </w:p>
    <w:p>
      <w:pPr>
        <w:spacing w:line="276" w:lineRule="auto" w:after="160"/>
      </w:pPr>
      <w:r>
        <w:rPr>
          <w:rFonts w:ascii="Times New Roman" w:hAnsi="Times New Roman"/>
          <w:b w:val="0"/>
          <w:i w:val="0"/>
        </w:rPr>
        <w:t>#### 3.2.1 Channel Attention Module</w:t>
      </w:r>
    </w:p>
    <w:p>
      <w:pPr>
        <w:spacing w:line="276" w:lineRule="auto" w:after="160"/>
      </w:pPr>
      <w:r>
        <w:rPr>
          <w:rFonts w:ascii="Times New Roman" w:hAnsi="Times New Roman"/>
          <w:b w:val="0"/>
          <w:i w:val="0"/>
        </w:rPr>
        <w:t xml:space="preserve">The channel attention module compresses spatial dimensions using both average and max-pooling, processing the resulting descriptors via a shared Multi-Layer Perceptron (MLP) with reduction ratio </w:t>
      </w:r>
      <w:r>
        <w:rPr>
          <w:rFonts w:ascii="Times New Roman" w:hAnsi="Times New Roman"/>
          <w:i/>
          <w:color w:val="781414"/>
        </w:rPr>
        <w:t>r=16</w:t>
      </w:r>
      <w:r>
        <w:rPr>
          <w:rFonts w:ascii="Times New Roman" w:hAnsi="Times New Roman"/>
          <w:b w:val="0"/>
          <w:i w:val="0"/>
        </w:rPr>
        <w:t>:</w:t>
      </w:r>
    </w:p>
    <w:p>
      <w:pPr>
        <w:spacing w:before="200" w:after="200"/>
        <w:jc w:val="center"/>
      </w:pPr>
      <w:r>
        <w:rPr>
          <w:rFonts w:ascii="Times New Roman" w:hAnsi="Times New Roman"/>
          <w:i/>
          <w:color w:val="781414"/>
          <w:sz w:val="22"/>
        </w:rPr>
        <w:t>M_c(F) = \sigma(MLP(AvgPool(F)) + MLP(MaxPool(F)))</w:t>
      </w:r>
    </w:p>
    <w:p>
      <w:pPr>
        <w:spacing w:before="200" w:after="200"/>
        <w:jc w:val="center"/>
      </w:pPr>
      <w:r>
        <w:rPr>
          <w:rFonts w:ascii="Times New Roman" w:hAnsi="Times New Roman"/>
          <w:i/>
          <w:color w:val="781414"/>
          <w:sz w:val="22"/>
        </w:rPr>
        <w:t>F' = M_c(F_{concat) \otimes F_{concat</w:t>
      </w:r>
    </w:p>
    <w:p>
      <w:pPr>
        <w:spacing w:line="276" w:lineRule="auto" w:after="160"/>
      </w:pPr>
      <w:r>
        <w:rPr>
          <w:rFonts w:ascii="Times New Roman" w:hAnsi="Times New Roman"/>
          <w:b w:val="0"/>
          <w:i w:val="0"/>
        </w:rPr>
        <w:t xml:space="preserve">where </w:t>
      </w:r>
      <w:r>
        <w:rPr>
          <w:rFonts w:ascii="Times New Roman" w:hAnsi="Times New Roman"/>
          <w:i/>
          <w:color w:val="781414"/>
        </w:rPr>
        <w:t>\sigma</w:t>
      </w:r>
      <w:r>
        <w:rPr>
          <w:rFonts w:ascii="Times New Roman" w:hAnsi="Times New Roman"/>
          <w:b w:val="0"/>
          <w:i w:val="0"/>
        </w:rPr>
        <w:t xml:space="preserve"> denotes the sigmoid function, and </w:t>
      </w:r>
      <w:r>
        <w:rPr>
          <w:rFonts w:ascii="Times New Roman" w:hAnsi="Times New Roman"/>
          <w:i/>
          <w:color w:val="781414"/>
        </w:rPr>
        <w:t>\otimes</w:t>
      </w:r>
      <w:r>
        <w:rPr>
          <w:rFonts w:ascii="Times New Roman" w:hAnsi="Times New Roman"/>
          <w:b w:val="0"/>
          <w:i w:val="0"/>
        </w:rPr>
        <w:t xml:space="preserve"> denotes element-wise multiplication.</w:t>
      </w:r>
    </w:p>
    <w:p>
      <w:pPr>
        <w:spacing w:line="276" w:lineRule="auto" w:after="160"/>
      </w:pPr>
      <w:r>
        <w:rPr>
          <w:rFonts w:ascii="Times New Roman" w:hAnsi="Times New Roman"/>
          <w:b w:val="0"/>
          <w:i w:val="0"/>
        </w:rPr>
        <w:t>#### 3.2.2 Spatial Attention Module</w:t>
      </w:r>
    </w:p>
    <w:p>
      <w:pPr>
        <w:spacing w:line="276" w:lineRule="auto" w:after="160"/>
      </w:pPr>
      <w:r>
        <w:rPr>
          <w:rFonts w:ascii="Times New Roman" w:hAnsi="Times New Roman"/>
          <w:b w:val="0"/>
          <w:i w:val="0"/>
        </w:rPr>
        <w:t xml:space="preserve">Following channel attention, spatial attention highlights "where" informative features lie. We apply max-pooling and average-pooling along the channel axis, concatenate the results, and project them via a </w:t>
      </w:r>
      <w:r>
        <w:rPr>
          <w:rFonts w:ascii="Times New Roman" w:hAnsi="Times New Roman"/>
          <w:i/>
          <w:color w:val="781414"/>
        </w:rPr>
        <w:t>7 \times 7</w:t>
      </w:r>
      <w:r>
        <w:rPr>
          <w:rFonts w:ascii="Times New Roman" w:hAnsi="Times New Roman"/>
          <w:b w:val="0"/>
          <w:i w:val="0"/>
        </w:rPr>
        <w:t xml:space="preserve"> convolution layer </w:t>
      </w:r>
      <w:r>
        <w:rPr>
          <w:rFonts w:ascii="Times New Roman" w:hAnsi="Times New Roman"/>
          <w:i/>
          <w:color w:val="781414"/>
        </w:rPr>
        <w:t>f^{7\times7}</w:t>
      </w:r>
      <w:r>
        <w:rPr>
          <w:rFonts w:ascii="Times New Roman" w:hAnsi="Times New Roman"/>
          <w:b w:val="0"/>
          <w:i w:val="0"/>
        </w:rPr>
        <w:t>:</w:t>
      </w:r>
    </w:p>
    <w:p>
      <w:pPr>
        <w:spacing w:before="200" w:after="200"/>
        <w:jc w:val="center"/>
      </w:pPr>
      <w:r>
        <w:rPr>
          <w:rFonts w:ascii="Times New Roman" w:hAnsi="Times New Roman"/>
          <w:i/>
          <w:color w:val="781414"/>
          <w:sz w:val="22"/>
        </w:rPr>
        <w:t>M_s(F') = \sigma(f^{7 x 7([AvgPool(F') \;\|\; MaxPool(F')]))</w:t>
      </w:r>
    </w:p>
    <w:p>
      <w:pPr>
        <w:spacing w:before="200" w:after="200"/>
        <w:jc w:val="center"/>
      </w:pPr>
      <w:r>
        <w:rPr>
          <w:rFonts w:ascii="Times New Roman" w:hAnsi="Times New Roman"/>
          <w:i/>
          <w:color w:val="781414"/>
          <w:sz w:val="22"/>
        </w:rPr>
        <w:t>F'' = M_s(F') \otimes F'</w:t>
      </w:r>
    </w:p>
    <w:p>
      <w:pPr>
        <w:spacing w:line="276" w:lineRule="auto" w:after="160"/>
      </w:pPr>
      <w:r>
        <w:rPr>
          <w:rFonts w:ascii="Times New Roman" w:hAnsi="Times New Roman"/>
          <w:b w:val="0"/>
          <w:i w:val="0"/>
        </w:rPr>
        <w:t xml:space="preserve">The refined feature stack </w:t>
      </w:r>
      <w:r>
        <w:rPr>
          <w:rFonts w:ascii="Times New Roman" w:hAnsi="Times New Roman"/>
          <w:i/>
          <w:color w:val="781414"/>
        </w:rPr>
        <w:t>F''</w:t>
      </w:r>
      <w:r>
        <w:rPr>
          <w:rFonts w:ascii="Times New Roman" w:hAnsi="Times New Roman"/>
          <w:b w:val="0"/>
          <w:i w:val="0"/>
        </w:rPr>
        <w:t xml:space="preserve"> is passed to a lightweight convolution head to generate the final logit map.</w:t>
      </w:r>
    </w:p>
    <w:p>
      <w:pPr>
        <w:keepNext/>
        <w:spacing w:before="240" w:after="120"/>
      </w:pPr>
      <w:r>
        <w:rPr>
          <w:rFonts w:ascii="Times New Roman" w:hAnsi="Times New Roman"/>
          <w:b/>
          <w:i/>
          <w:color w:val="1F497D"/>
          <w:sz w:val="24"/>
        </w:rPr>
        <w:t>3.3 Training Strategy</w:t>
      </w:r>
    </w:p>
    <w:p>
      <w:pPr>
        <w:spacing w:line="276" w:lineRule="auto" w:after="160"/>
      </w:pPr>
      <w:r>
        <w:rPr>
          <w:rFonts w:ascii="Times New Roman" w:hAnsi="Times New Roman"/>
          <w:b w:val="0"/>
          <w:i w:val="0"/>
        </w:rPr>
        <w:t>To avoid representation drift in the pre-trained base models, we lock the backbones and decoders of UNet, DeepLab, and FCN:</w:t>
      </w:r>
    </w:p>
    <w:p>
      <w:pPr>
        <w:spacing w:before="200" w:after="200"/>
        <w:jc w:val="center"/>
      </w:pPr>
      <w:r>
        <w:rPr>
          <w:rFonts w:ascii="Times New Roman" w:hAnsi="Times New Roman"/>
          <w:i/>
          <w:color w:val="781414"/>
          <w:sz w:val="22"/>
        </w:rPr>
        <w:t>theta_{base = Frozen    (grad _{theta_{base L = 0)</w:t>
      </w:r>
    </w:p>
    <w:p>
      <w:pPr>
        <w:spacing w:line="276" w:lineRule="auto" w:after="160"/>
      </w:pPr>
      <w:r>
        <w:rPr>
          <w:rFonts w:ascii="Times New Roman" w:hAnsi="Times New Roman"/>
          <w:b w:val="0"/>
          <w:i w:val="0"/>
        </w:rPr>
        <w:t xml:space="preserve">We optimize only the attention parameters and the projection/fusion heads using a hybrid loss function </w:t>
      </w:r>
      <w:r>
        <w:rPr>
          <w:rFonts w:ascii="Times New Roman" w:hAnsi="Times New Roman"/>
          <w:i/>
          <w:color w:val="781414"/>
        </w:rPr>
        <w:t>\mathcal{L}_{hybrid}</w:t>
      </w:r>
      <w:r>
        <w:rPr>
          <w:rFonts w:ascii="Times New Roman" w:hAnsi="Times New Roman"/>
          <w:b w:val="0"/>
          <w:i w:val="0"/>
        </w:rPr>
        <w:t xml:space="preserve"> combining Online Hard Example Mining (OHEM) Cross-Entropy and Lovasz-Softmax [6]:</w:t>
      </w:r>
    </w:p>
    <w:p>
      <w:pPr>
        <w:spacing w:before="200" w:after="200"/>
        <w:jc w:val="center"/>
      </w:pPr>
      <w:r>
        <w:rPr>
          <w:rFonts w:ascii="Times New Roman" w:hAnsi="Times New Roman"/>
          <w:i/>
          <w:color w:val="781414"/>
          <w:sz w:val="22"/>
        </w:rPr>
        <w:t>L_{hybrid = 0.1 L_{OHEM + 0.3 L_{Focal + 0.6 L_{Lovasz + 0.2 L_{ActiveContour</w:t>
      </w:r>
    </w:p>
    <w:p>
      <w:pPr>
        <w:spacing w:line="276" w:lineRule="auto" w:after="160"/>
      </w:pPr>
      <w:r>
        <w:rPr>
          <w:rFonts w:ascii="Times New Roman" w:hAnsi="Times New Roman"/>
          <w:b w:val="0"/>
          <w:i w:val="0"/>
        </w:rPr>
        <w:t xml:space="preserve">The model is trained for 3 epochs with a learning rate of </w:t>
      </w:r>
      <w:r>
        <w:rPr>
          <w:rFonts w:ascii="Times New Roman" w:hAnsi="Times New Roman"/>
          <w:i/>
          <w:color w:val="781414"/>
        </w:rPr>
        <w:t>5 \times 10^{-4}</w:t>
      </w:r>
      <w:r>
        <w:rPr>
          <w:rFonts w:ascii="Times New Roman" w:hAnsi="Times New Roman"/>
          <w:b w:val="0"/>
          <w:i w:val="0"/>
        </w:rPr>
        <w:t xml:space="preserve"> using the AdamW optimizer.</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4. Decoupled Post-Processing Calibration</w:t>
      </w:r>
    </w:p>
    <w:p>
      <w:pPr>
        <w:spacing w:line="276" w:lineRule="auto" w:after="160"/>
      </w:pPr>
      <w:r>
        <w:rPr>
          <w:rFonts w:ascii="Times New Roman" w:hAnsi="Times New Roman"/>
          <w:b w:val="0"/>
          <w:i w:val="0"/>
        </w:rPr>
        <w:t>To maximize the macro Jaccard index evaluated row-wise, we implement a decoupled post-processing optimization pipeline on the validation dataset.</w:t>
      </w:r>
    </w:p>
    <w:p>
      <w:pPr>
        <w:keepNext/>
        <w:spacing w:before="240" w:after="120"/>
      </w:pPr>
      <w:r>
        <w:rPr>
          <w:rFonts w:ascii="Times New Roman" w:hAnsi="Times New Roman"/>
          <w:b/>
          <w:i/>
          <w:color w:val="1F497D"/>
          <w:sz w:val="24"/>
        </w:rPr>
        <w:t>4.1 Powell's Method for Calibration</w:t>
      </w:r>
    </w:p>
    <w:p>
      <w:pPr>
        <w:spacing w:line="276" w:lineRule="auto" w:after="160"/>
      </w:pPr>
      <w:r>
        <w:rPr>
          <w:rFonts w:ascii="Times New Roman" w:hAnsi="Times New Roman"/>
          <w:b w:val="0"/>
          <w:i w:val="0"/>
        </w:rPr>
        <w:t xml:space="preserve">We blend the softmax outputs of our synergistic network </w:t>
      </w:r>
      <w:r>
        <w:rPr>
          <w:rFonts w:ascii="Times New Roman" w:hAnsi="Times New Roman"/>
          <w:i/>
          <w:color w:val="781414"/>
        </w:rPr>
        <w:t>P_{syn}</w:t>
      </w:r>
      <w:r>
        <w:rPr>
          <w:rFonts w:ascii="Times New Roman" w:hAnsi="Times New Roman"/>
          <w:b w:val="0"/>
          <w:i w:val="0"/>
        </w:rPr>
        <w:t xml:space="preserve"> and the meta-stacked ensemble </w:t>
      </w:r>
      <w:r>
        <w:rPr>
          <w:rFonts w:ascii="Times New Roman" w:hAnsi="Times New Roman"/>
          <w:i/>
          <w:color w:val="781414"/>
        </w:rPr>
        <w:t>P_{meta}</w:t>
      </w:r>
      <w:r>
        <w:rPr>
          <w:rFonts w:ascii="Times New Roman" w:hAnsi="Times New Roman"/>
          <w:b w:val="0"/>
          <w:i w:val="0"/>
        </w:rPr>
        <w:t xml:space="preserve"> using class-specific blending weights </w:t>
      </w:r>
      <w:r>
        <w:rPr>
          <w:rFonts w:ascii="Times New Roman" w:hAnsi="Times New Roman"/>
          <w:i/>
          <w:color w:val="781414"/>
        </w:rPr>
        <w:t>w \in [0, 1]^{10}</w:t>
      </w:r>
      <w:r>
        <w:rPr>
          <w:rFonts w:ascii="Times New Roman" w:hAnsi="Times New Roman"/>
          <w:b w:val="0"/>
          <w:i w:val="0"/>
        </w:rPr>
        <w:t>:</w:t>
      </w:r>
    </w:p>
    <w:p>
      <w:pPr>
        <w:spacing w:before="200" w:after="200"/>
        <w:jc w:val="center"/>
      </w:pPr>
      <w:r>
        <w:rPr>
          <w:rFonts w:ascii="Times New Roman" w:hAnsi="Times New Roman"/>
          <w:i/>
          <w:color w:val="781414"/>
          <w:sz w:val="22"/>
        </w:rPr>
        <w:t>P_{blend(c) = w_c P_{syn(c) + (1 - w_c) P_{meta(c)</w:t>
      </w:r>
    </w:p>
    <w:p>
      <w:pPr>
        <w:spacing w:line="276" w:lineRule="auto" w:after="160"/>
      </w:pPr>
      <w:r>
        <w:rPr>
          <w:rFonts w:ascii="Times New Roman" w:hAnsi="Times New Roman"/>
          <w:b w:val="0"/>
          <w:i w:val="0"/>
        </w:rPr>
        <w:t xml:space="preserve">We assign probability thresholds </w:t>
      </w:r>
      <w:r>
        <w:rPr>
          <w:rFonts w:ascii="Times New Roman" w:hAnsi="Times New Roman"/>
          <w:i/>
          <w:color w:val="781414"/>
        </w:rPr>
        <w:t>t \in [0, 1]^{10}</w:t>
      </w:r>
      <w:r>
        <w:rPr>
          <w:rFonts w:ascii="Times New Roman" w:hAnsi="Times New Roman"/>
          <w:b w:val="0"/>
          <w:i w:val="0"/>
        </w:rPr>
        <w:t xml:space="preserve">. If the predicted class for a pixel falls below </w:t>
      </w:r>
      <w:r>
        <w:rPr>
          <w:rFonts w:ascii="Times New Roman" w:hAnsi="Times New Roman"/>
          <w:i/>
          <w:color w:val="781414"/>
        </w:rPr>
        <w:t>t_c</w:t>
      </w:r>
      <w:r>
        <w:rPr>
          <w:rFonts w:ascii="Times New Roman" w:hAnsi="Times New Roman"/>
          <w:b w:val="0"/>
          <w:i w:val="0"/>
        </w:rPr>
        <w:t xml:space="preserve">, the prediction reverts to the highest-probability class among the unconstrained fallback classes (where </w:t>
      </w:r>
      <w:r>
        <w:rPr>
          <w:rFonts w:ascii="Times New Roman" w:hAnsi="Times New Roman"/>
          <w:i/>
          <w:color w:val="781414"/>
        </w:rPr>
        <w:t>t = 0.0</w:t>
      </w:r>
      <w:r>
        <w:rPr>
          <w:rFonts w:ascii="Times New Roman" w:hAnsi="Times New Roman"/>
          <w:b w:val="0"/>
          <w:i w:val="0"/>
        </w:rPr>
        <w:t>):</w:t>
      </w:r>
    </w:p>
    <w:p>
      <w:pPr>
        <w:spacing w:line="276" w:lineRule="auto" w:after="160"/>
      </w:pPr>
      <w:r>
        <w:rPr>
          <w:rFonts w:ascii="Times New Roman" w:hAnsi="Times New Roman"/>
          <w:i/>
          <w:color w:val="781414"/>
        </w:rPr>
      </w:r>
      <w:r>
        <w:rPr>
          <w:rFonts w:ascii="Times New Roman" w:hAnsi="Times New Roman"/>
          <w:b w:val="0"/>
          <w:i w:val="0"/>
        </w:rPr>
        <w:t>\hat{y} = \begin{cases}</w:t>
      </w:r>
    </w:p>
    <w:p>
      <w:pPr>
        <w:spacing w:line="276" w:lineRule="auto" w:after="160"/>
      </w:pPr>
      <w:r>
        <w:rPr>
          <w:rFonts w:ascii="Times New Roman" w:hAnsi="Times New Roman"/>
          <w:b w:val="0"/>
          <w:i w:val="0"/>
        </w:rPr>
        <w:t>\text{argmax}_c P_{blend}(c) &amp; \text{if } \max_c P_{blend}(c) \ge t_c \\</w:t>
      </w:r>
    </w:p>
    <w:p>
      <w:pPr>
        <w:spacing w:line="276" w:lineRule="auto" w:after="160"/>
      </w:pPr>
      <w:r>
        <w:rPr>
          <w:rFonts w:ascii="Times New Roman" w:hAnsi="Times New Roman"/>
          <w:b w:val="0"/>
          <w:i w:val="0"/>
        </w:rPr>
        <w:t>\text{argmax}_{k \in \mathcal{K}_{fallback}} P_{blend}(k) &amp; \text{otherwise}</w:t>
      </w:r>
    </w:p>
    <w:p>
      <w:pPr>
        <w:spacing w:line="276" w:lineRule="auto" w:after="160"/>
      </w:pPr>
      <w:r>
        <w:rPr>
          <w:rFonts w:ascii="Times New Roman" w:hAnsi="Times New Roman"/>
          <w:b w:val="0"/>
          <w:i w:val="0"/>
        </w:rPr>
        <w:t>\end{cases}</w:t>
      </w:r>
      <w:r>
        <w:rPr>
          <w:rFonts w:ascii="Times New Roman" w:hAnsi="Times New Roman"/>
          <w:i/>
          <w:color w:val="781414"/>
        </w:rPr>
      </w:r>
    </w:p>
    <w:p>
      <w:pPr>
        <w:spacing w:line="276" w:lineRule="auto" w:after="160"/>
      </w:pPr>
      <w:r>
        <w:rPr>
          <w:rFonts w:ascii="Times New Roman" w:hAnsi="Times New Roman"/>
          <w:b w:val="0"/>
          <w:i w:val="0"/>
        </w:rPr>
        <w:t xml:space="preserve">We solve for </w:t>
      </w:r>
      <w:r>
        <w:rPr>
          <w:rFonts w:ascii="Times New Roman" w:hAnsi="Times New Roman"/>
          <w:i/>
          <w:color w:val="781414"/>
        </w:rPr>
        <w:t>w</w:t>
      </w:r>
      <w:r>
        <w:rPr>
          <w:rFonts w:ascii="Times New Roman" w:hAnsi="Times New Roman"/>
          <w:b w:val="0"/>
          <w:i w:val="0"/>
        </w:rPr>
        <w:t xml:space="preserve"> and </w:t>
      </w:r>
      <w:r>
        <w:rPr>
          <w:rFonts w:ascii="Times New Roman" w:hAnsi="Times New Roman"/>
          <w:i/>
          <w:color w:val="781414"/>
        </w:rPr>
        <w:t>t</w:t>
      </w:r>
      <w:r>
        <w:rPr>
          <w:rFonts w:ascii="Times New Roman" w:hAnsi="Times New Roman"/>
          <w:b w:val="0"/>
          <w:i w:val="0"/>
        </w:rPr>
        <w:t xml:space="preserve"> using Powell's multidimensional conjugate direction search to maximize the macro Dice score.</w:t>
      </w:r>
    </w:p>
    <w:p>
      <w:pPr>
        <w:keepNext/>
        <w:spacing w:before="240" w:after="120"/>
      </w:pPr>
      <w:r>
        <w:rPr>
          <w:rFonts w:ascii="Times New Roman" w:hAnsi="Times New Roman"/>
          <w:b/>
          <w:i/>
          <w:color w:val="1F497D"/>
          <w:sz w:val="24"/>
        </w:rPr>
        <w:t>4.2 Greedy Coordinate Descent for Morphological Area Suppression</w:t>
      </w:r>
    </w:p>
    <w:p>
      <w:pPr>
        <w:spacing w:line="276" w:lineRule="auto" w:after="160"/>
      </w:pPr>
      <w:r>
        <w:rPr>
          <w:rFonts w:ascii="Times New Roman" w:hAnsi="Times New Roman"/>
          <w:b w:val="0"/>
          <w:i w:val="0"/>
        </w:rPr>
        <w:t xml:space="preserve">Standard morphological post-processing applies a single area cutoff across all classes. However, suppressing tiny structures like </w:t>
      </w:r>
      <w:r>
        <w:rPr>
          <w:rFonts w:ascii="Times New Roman" w:hAnsi="Times New Roman"/>
          <w:b/>
        </w:rPr>
        <w:t>Vehicles</w:t>
      </w:r>
      <w:r>
        <w:rPr>
          <w:rFonts w:ascii="Times New Roman" w:hAnsi="Times New Roman"/>
          <w:b w:val="0"/>
          <w:i w:val="0"/>
        </w:rPr>
        <w:t xml:space="preserve"> or </w:t>
      </w:r>
      <w:r>
        <w:rPr>
          <w:rFonts w:ascii="Times New Roman" w:hAnsi="Times New Roman"/>
          <w:b/>
        </w:rPr>
        <w:t>Pools</w:t>
      </w:r>
      <w:r>
        <w:rPr>
          <w:rFonts w:ascii="Times New Roman" w:hAnsi="Times New Roman"/>
          <w:b w:val="0"/>
          <w:i w:val="0"/>
        </w:rPr>
        <w:t xml:space="preserve"> degrades accuracy, whereas large background zones like </w:t>
      </w:r>
      <w:r>
        <w:rPr>
          <w:rFonts w:ascii="Times New Roman" w:hAnsi="Times New Roman"/>
          <w:b/>
        </w:rPr>
        <w:t>Grass</w:t>
      </w:r>
      <w:r>
        <w:rPr>
          <w:rFonts w:ascii="Times New Roman" w:hAnsi="Times New Roman"/>
          <w:b w:val="0"/>
          <w:i w:val="0"/>
        </w:rPr>
        <w:t xml:space="preserve"> require high cleanups. We define a vector of minimum connected component areas </w:t>
      </w:r>
      <w:r>
        <w:rPr>
          <w:rFonts w:ascii="Times New Roman" w:hAnsi="Times New Roman"/>
          <w:i/>
          <w:color w:val="781414"/>
        </w:rPr>
        <w:t>A \in \mathbb{N}^{10}</w:t>
      </w:r>
      <w:r>
        <w:rPr>
          <w:rFonts w:ascii="Times New Roman" w:hAnsi="Times New Roman"/>
          <w:b w:val="0"/>
          <w:i w:val="0"/>
        </w:rPr>
        <w:t>.</w:t>
      </w:r>
    </w:p>
    <w:p>
      <w:pPr>
        <w:spacing w:line="276" w:lineRule="auto" w:after="160"/>
      </w:pPr>
      <w:r>
        <w:rPr>
          <w:rFonts w:ascii="Times New Roman" w:hAnsi="Times New Roman"/>
          <w:b w:val="0"/>
          <w:i w:val="0"/>
        </w:rPr>
        <w:t xml:space="preserve">We solve for the optimal </w:t>
      </w:r>
      <w:r>
        <w:rPr>
          <w:rFonts w:ascii="Times New Roman" w:hAnsi="Times New Roman"/>
          <w:i/>
          <w:color w:val="781414"/>
        </w:rPr>
        <w:t>A</w:t>
      </w:r>
      <w:r>
        <w:rPr>
          <w:rFonts w:ascii="Times New Roman" w:hAnsi="Times New Roman"/>
          <w:b w:val="0"/>
          <w:i w:val="0"/>
        </w:rPr>
        <w:t xml:space="preserve"> using a parallelized </w:t>
      </w:r>
      <w:r>
        <w:rPr>
          <w:rFonts w:ascii="Times New Roman" w:hAnsi="Times New Roman"/>
          <w:b/>
        </w:rPr>
        <w:t>Greedy Coordinate Descent</w:t>
      </w:r>
      <w:r>
        <w:rPr>
          <w:rFonts w:ascii="Times New Roman" w:hAnsi="Times New Roman"/>
          <w:b w:val="0"/>
          <w:i w:val="0"/>
        </w:rPr>
        <w:t xml:space="preserve"> over the candidate space </w:t>
      </w:r>
      <w:r>
        <w:rPr>
          <w:rFonts w:ascii="Times New Roman" w:hAnsi="Times New Roman"/>
          <w:i/>
          <w:color w:val="781414"/>
        </w:rPr>
        <w:t>S = \{0, 8, 16, 24, 32, 48, 64, 80, 96, 128, 160, 192, 256, 384, 512\}</w:t>
      </w:r>
      <w:r>
        <w:rPr>
          <w:rFonts w:ascii="Times New Roman" w:hAnsi="Times New Roman"/>
          <w:b w:val="0"/>
          <w:i w:val="0"/>
        </w:rPr>
        <w:t>:</w:t>
      </w:r>
    </w:p>
    <w:p>
      <w:pPr>
        <w:spacing w:line="276" w:lineRule="auto" w:after="160"/>
      </w:pPr>
      <w:r>
        <w:rPr>
          <w:rFonts w:ascii="Consolas" w:hAnsi="Consolas"/>
          <w:color w:val="3C3C3C"/>
          <w:sz w:val="19"/>
        </w:rPr>
      </w:r>
      <w:r>
        <w:rPr>
          <w:rFonts w:ascii="Consolas" w:hAnsi="Consolas"/>
          <w:color w:val="3C3C3C"/>
          <w:sz w:val="19"/>
        </w:rPr>
      </w:r>
    </w:p>
    <w:p>
      <w:pPr>
        <w:spacing w:line="276" w:lineRule="auto" w:after="160"/>
      </w:pPr>
      <w:r>
        <w:rPr>
          <w:rFonts w:ascii="Times New Roman" w:hAnsi="Times New Roman"/>
          <w:b w:val="0"/>
          <w:i w:val="0"/>
        </w:rPr>
        <w:t>Initialize A = [96, 96, ..., 96]</w:t>
      </w:r>
    </w:p>
    <w:p>
      <w:pPr>
        <w:spacing w:line="276" w:lineRule="auto" w:after="160"/>
      </w:pPr>
      <w:r>
        <w:rPr>
          <w:rFonts w:ascii="Times New Roman" w:hAnsi="Times New Roman"/>
          <w:b w:val="0"/>
          <w:i w:val="0"/>
        </w:rPr>
        <w:t>while improved:</w:t>
      </w:r>
    </w:p>
    <w:p>
      <w:pPr>
        <w:spacing w:line="276" w:lineRule="auto" w:after="160"/>
      </w:pPr>
      <w:r>
        <w:rPr>
          <w:rFonts w:ascii="Times New Roman" w:hAnsi="Times New Roman"/>
          <w:b w:val="0"/>
          <w:i w:val="0"/>
        </w:rPr>
        <w:t>improved = False</w:t>
      </w:r>
    </w:p>
    <w:p>
      <w:pPr>
        <w:spacing w:line="276" w:lineRule="auto" w:after="160"/>
      </w:pPr>
      <w:r>
        <w:rPr>
          <w:rFonts w:ascii="Times New Roman" w:hAnsi="Times New Roman"/>
          <w:b w:val="0"/>
          <w:i w:val="0"/>
        </w:rPr>
        <w:t>for c in sorted_classes_by_scale:</w:t>
      </w:r>
    </w:p>
    <w:p>
      <w:pPr>
        <w:spacing w:line="276" w:lineRule="auto" w:after="160"/>
      </w:pPr>
      <w:r>
        <w:rPr>
          <w:rFonts w:ascii="Times New Roman" w:hAnsi="Times New Roman"/>
          <w:b w:val="0"/>
          <w:i w:val="0"/>
        </w:rPr>
        <w:t>best_val = A[c]</w:t>
      </w:r>
    </w:p>
    <w:p>
      <w:pPr>
        <w:spacing w:line="276" w:lineRule="auto" w:after="160"/>
      </w:pPr>
      <w:r>
        <w:rPr>
          <w:rFonts w:ascii="Times New Roman" w:hAnsi="Times New Roman"/>
          <w:b w:val="0"/>
          <w:i w:val="0"/>
        </w:rPr>
        <w:t>for candidate in S:</w:t>
      </w:r>
    </w:p>
    <w:p>
      <w:pPr>
        <w:spacing w:line="276" w:lineRule="auto" w:after="160"/>
      </w:pPr>
      <w:r>
        <w:rPr>
          <w:rFonts w:ascii="Times New Roman" w:hAnsi="Times New Roman"/>
          <w:b w:val="0"/>
          <w:i w:val="0"/>
        </w:rPr>
        <w:t>A[c] = candidate</w:t>
      </w:r>
    </w:p>
    <w:p>
      <w:pPr>
        <w:spacing w:line="276" w:lineRule="auto" w:after="160"/>
      </w:pPr>
      <w:r>
        <w:rPr>
          <w:rFonts w:ascii="Times New Roman" w:hAnsi="Times New Roman"/>
          <w:b w:val="0"/>
          <w:i w:val="0"/>
        </w:rPr>
        <w:t>Score = Evaluate(A, validation_set)</w:t>
      </w:r>
    </w:p>
    <w:p>
      <w:pPr>
        <w:spacing w:line="276" w:lineRule="auto" w:after="160"/>
      </w:pPr>
      <w:r>
        <w:rPr>
          <w:rFonts w:ascii="Times New Roman" w:hAnsi="Times New Roman"/>
          <w:b w:val="0"/>
          <w:i w:val="0"/>
        </w:rPr>
        <w:t>if Score &gt; Best_Score:</w:t>
      </w:r>
    </w:p>
    <w:p>
      <w:pPr>
        <w:spacing w:line="276" w:lineRule="auto" w:after="160"/>
      </w:pPr>
      <w:r>
        <w:rPr>
          <w:rFonts w:ascii="Times New Roman" w:hAnsi="Times New Roman"/>
          <w:b w:val="0"/>
          <w:i w:val="0"/>
        </w:rPr>
        <w:t>Best_Score = Score</w:t>
      </w:r>
    </w:p>
    <w:p>
      <w:pPr>
        <w:spacing w:line="276" w:lineRule="auto" w:after="160"/>
      </w:pPr>
      <w:r>
        <w:rPr>
          <w:rFonts w:ascii="Times New Roman" w:hAnsi="Times New Roman"/>
          <w:b w:val="0"/>
          <w:i w:val="0"/>
        </w:rPr>
        <w:t>best_val = candidate</w:t>
      </w:r>
    </w:p>
    <w:p>
      <w:pPr>
        <w:spacing w:line="276" w:lineRule="auto" w:after="160"/>
      </w:pPr>
      <w:r>
        <w:rPr>
          <w:rFonts w:ascii="Times New Roman" w:hAnsi="Times New Roman"/>
          <w:b w:val="0"/>
          <w:i w:val="0"/>
        </w:rPr>
        <w:t>improved = True</w:t>
      </w:r>
    </w:p>
    <w:p>
      <w:pPr>
        <w:spacing w:line="276" w:lineRule="auto" w:after="160"/>
      </w:pPr>
      <w:r>
        <w:rPr>
          <w:rFonts w:ascii="Times New Roman" w:hAnsi="Times New Roman"/>
          <w:b w:val="0"/>
          <w:i w:val="0"/>
        </w:rPr>
        <w:t>A[c] = best_val</w:t>
      </w:r>
    </w:p>
    <w:p>
      <w:pPr>
        <w:spacing w:line="276" w:lineRule="auto" w:after="160"/>
      </w:pPr>
      <w:r>
        <w:rPr>
          <w:rFonts w:ascii="Consolas" w:hAnsi="Consolas"/>
          <w:color w:val="3C3C3C"/>
          <w:sz w:val="19"/>
        </w:rPr>
      </w:r>
      <w:r>
        <w:rPr>
          <w:rFonts w:ascii="Consolas" w:hAnsi="Consolas"/>
          <w:color w:val="3C3C3C"/>
          <w:sz w:val="19"/>
        </w:rPr>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5. Experimental Results</w:t>
      </w:r>
    </w:p>
    <w:p>
      <w:pPr>
        <w:keepNext/>
        <w:spacing w:before="240" w:after="120"/>
      </w:pPr>
      <w:r>
        <w:rPr>
          <w:rFonts w:ascii="Times New Roman" w:hAnsi="Times New Roman"/>
          <w:b/>
          <w:i/>
          <w:color w:val="1F497D"/>
          <w:sz w:val="24"/>
        </w:rPr>
        <w:t>5.1 Dataset and Setup</w:t>
      </w:r>
    </w:p>
    <w:p>
      <w:pPr>
        <w:spacing w:line="276" w:lineRule="auto" w:after="160"/>
      </w:pPr>
      <w:r>
        <w:rPr>
          <w:rFonts w:ascii="Times New Roman" w:hAnsi="Times New Roman"/>
          <w:b w:val="0"/>
          <w:i w:val="0"/>
        </w:rPr>
        <w:t xml:space="preserve">Experiments were conducted on the FloodNet dataset, consisting of UAV-acquired high-resolution images categorized into 10 classes (Background, Building Flooded, Building Non-Flooded, Road Flooded, Road Non-Flooded, Water, Tree, Vehicle, Pool, Grass). We split the training dataset into an 80% train partition and a 20% validation partition (369 images). All models were evaluated at a scale of </w:t>
      </w:r>
      <w:r>
        <w:rPr>
          <w:rFonts w:ascii="Times New Roman" w:hAnsi="Times New Roman"/>
          <w:i/>
          <w:color w:val="781414"/>
        </w:rPr>
        <w:t>480 \times 640</w:t>
      </w:r>
      <w:r>
        <w:rPr>
          <w:rFonts w:ascii="Times New Roman" w:hAnsi="Times New Roman"/>
          <w:b w:val="0"/>
          <w:i w:val="0"/>
        </w:rPr>
        <w:t>.</w:t>
      </w:r>
    </w:p>
    <w:p>
      <w:pPr>
        <w:keepNext/>
        <w:spacing w:before="240" w:after="120"/>
      </w:pPr>
      <w:r>
        <w:rPr>
          <w:rFonts w:ascii="Times New Roman" w:hAnsi="Times New Roman"/>
          <w:b/>
          <w:i/>
          <w:color w:val="1F497D"/>
          <w:sz w:val="24"/>
        </w:rPr>
        <w:t>5.2 Quantitative Performance</w:t>
      </w:r>
    </w:p>
    <w:p>
      <w:pPr>
        <w:spacing w:line="276" w:lineRule="auto" w:after="160"/>
      </w:pPr>
      <w:r>
        <w:rPr>
          <w:rFonts w:ascii="Times New Roman" w:hAnsi="Times New Roman"/>
          <w:b/>
        </w:rPr>
        <w:t>Table 1</w:t>
      </w:r>
      <w:r>
        <w:rPr>
          <w:rFonts w:ascii="Times New Roman" w:hAnsi="Times New Roman"/>
          <w:b w:val="0"/>
          <w:i w:val="0"/>
        </w:rPr>
        <w:t xml:space="preserve"> presents the macro Dice scores achieved across different experimental configurations on the validation set.</w:t>
      </w:r>
    </w:p>
    <w:tbl>
      <w:tblPr>
        <w:tblW w:type="auto" w:w="0"/>
        <w:tblLayout w:type="autofit"/>
        <w:tblLook w:firstColumn="1" w:firstRow="1" w:lastColumn="0" w:lastRow="0" w:noHBand="0" w:noVBand="1" w:val="04A0"/>
      </w:tblPr>
      <w:tblGrid>
        <w:gridCol w:w="3120"/>
        <w:gridCol w:w="3120"/>
        <w:gridCol w:w="3120"/>
      </w:tblGrid>
      <w:tr>
        <w:tc>
          <w:tcPr>
            <w:tcW w:type="dxa" w:w="3120"/>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left"/>
            </w:pPr>
            <w:r>
              <w:rPr>
                <w:rFonts w:ascii="Times New Roman" w:hAnsi="Times New Roman"/>
                <w:b/>
                <w:color w:val="FFFFFF"/>
                <w:sz w:val="20"/>
              </w:rPr>
              <w:t>Configuration</w:t>
            </w:r>
          </w:p>
        </w:tc>
        <w:tc>
          <w:tcPr>
            <w:tcW w:type="dxa" w:w="3120"/>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left"/>
            </w:pPr>
            <w:r>
              <w:rPr>
                <w:rFonts w:ascii="Times New Roman" w:hAnsi="Times New Roman"/>
                <w:b/>
                <w:color w:val="FFFFFF"/>
                <w:sz w:val="20"/>
              </w:rPr>
              <w:t>Macro Dice Score (Val)</w:t>
            </w:r>
          </w:p>
        </w:tc>
        <w:tc>
          <w:tcPr>
            <w:tcW w:type="dxa" w:w="3120"/>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center"/>
            </w:pPr>
            <w:r>
              <w:rPr>
                <w:rFonts w:ascii="Times New Roman" w:hAnsi="Times New Roman"/>
                <w:b/>
                <w:color w:val="FFFFFF"/>
                <w:sz w:val="20"/>
              </w:rPr>
              <w:t>Public Leaderboard Dice</w:t>
            </w:r>
          </w:p>
        </w:tc>
      </w:tr>
      <w:tr>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DeepLabV3+ Baseline</w:t>
            </w:r>
          </w:p>
        </w:tc>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0.9303</w:t>
            </w:r>
          </w:p>
        </w:tc>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~89.8%</w:t>
            </w:r>
          </w:p>
        </w:tc>
      </w:tr>
      <w:tr>
        <w:tc>
          <w:tcPr>
            <w:tcW w:type="dxa" w:w="3120"/>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UNet Baseline</w:t>
            </w:r>
          </w:p>
        </w:tc>
        <w:tc>
          <w:tcPr>
            <w:tcW w:type="dxa" w:w="3120"/>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0.9428</w:t>
            </w:r>
          </w:p>
        </w:tc>
        <w:tc>
          <w:tcPr>
            <w:tcW w:type="dxa" w:w="3120"/>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~90.4%</w:t>
            </w:r>
          </w:p>
        </w:tc>
      </w:tr>
      <w:tr>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Logit-Averaged Ensemble</w:t>
            </w:r>
          </w:p>
        </w:tc>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0.9442</w:t>
            </w:r>
          </w:p>
        </w:tc>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90.812%</w:t>
            </w:r>
          </w:p>
        </w:tc>
      </w:tr>
      <w:tr>
        <w:tc>
          <w:tcPr>
            <w:tcW w:type="dxa" w:w="3120"/>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Meta-Stacked Ensemble (No-TTA)</w:t>
            </w:r>
          </w:p>
        </w:tc>
        <w:tc>
          <w:tcPr>
            <w:tcW w:type="dxa" w:w="3120"/>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0.9485</w:t>
            </w:r>
          </w:p>
        </w:tc>
        <w:tc>
          <w:tcPr>
            <w:tcW w:type="dxa" w:w="3120"/>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91.179%</w:t>
            </w:r>
          </w:p>
        </w:tc>
      </w:tr>
      <w:tr>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sz w:val="19"/>
              </w:rPr>
              <w:t>Synergistic Dual-Attention (Ours)</w:t>
            </w:r>
          </w:p>
        </w:tc>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sz w:val="19"/>
              </w:rPr>
              <w:t>0.9512</w:t>
            </w:r>
          </w:p>
        </w:tc>
        <w:tc>
          <w:tcPr>
            <w:tcW w:type="dxa" w:w="3120"/>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sz w:val="19"/>
              </w:rPr>
              <w:t>91.751%</w:t>
            </w:r>
          </w:p>
        </w:tc>
      </w:tr>
    </w:tbl>
    <w:p>
      <w:pPr>
        <w:spacing w:before="120" w:after="120"/>
      </w:pPr>
    </w:p>
    <w:p>
      <w:pPr>
        <w:spacing w:line="276" w:lineRule="auto" w:after="160"/>
      </w:pPr>
      <w:r>
        <w:rPr>
          <w:rFonts w:ascii="Times New Roman" w:hAnsi="Times New Roman"/>
          <w:i/>
        </w:rPr>
        <w:t>Table 1: Macro Dice scores for baselines and proposed configurations.</w:t>
      </w:r>
    </w:p>
    <w:p>
      <w:pPr>
        <w:keepNext/>
        <w:spacing w:before="240" w:after="120"/>
      </w:pPr>
      <w:r>
        <w:rPr>
          <w:rFonts w:ascii="Times New Roman" w:hAnsi="Times New Roman"/>
          <w:b/>
          <w:i/>
          <w:color w:val="1F497D"/>
          <w:sz w:val="24"/>
        </w:rPr>
        <w:t>5.3 Optimal Post-Processing Configuration</w:t>
      </w:r>
    </w:p>
    <w:p>
      <w:pPr>
        <w:spacing w:line="276" w:lineRule="auto" w:after="160"/>
      </w:pPr>
      <w:r>
        <w:rPr>
          <w:rFonts w:ascii="Times New Roman" w:hAnsi="Times New Roman"/>
          <w:b w:val="0"/>
          <w:i w:val="0"/>
        </w:rPr>
        <w:t xml:space="preserve">The optimization routine yielded the parameters detailed in </w:t>
      </w:r>
      <w:r>
        <w:rPr>
          <w:rFonts w:ascii="Times New Roman" w:hAnsi="Times New Roman"/>
          <w:b/>
        </w:rPr>
        <w:t>Table 2</w:t>
      </w:r>
      <w:r>
        <w:rPr>
          <w:rFonts w:ascii="Times New Roman" w:hAnsi="Times New Roman"/>
          <w:b w:val="0"/>
          <w:i w:val="0"/>
        </w:rPr>
        <w:t>.</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left"/>
            </w:pPr>
            <w:r>
              <w:rPr>
                <w:rFonts w:ascii="Times New Roman" w:hAnsi="Times New Roman"/>
                <w:b/>
                <w:color w:val="FFFFFF"/>
                <w:sz w:val="20"/>
              </w:rPr>
              <w:t>Class ID</w:t>
            </w:r>
          </w:p>
        </w:tc>
        <w:tc>
          <w:tcPr>
            <w:tcW w:type="dxa" w:w="1872"/>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left"/>
            </w:pPr>
            <w:r>
              <w:rPr>
                <w:rFonts w:ascii="Times New Roman" w:hAnsi="Times New Roman"/>
                <w:b/>
                <w:color w:val="FFFFFF"/>
                <w:sz w:val="20"/>
              </w:rPr>
              <w:t>Semantic Label</w:t>
            </w:r>
          </w:p>
        </w:tc>
        <w:tc>
          <w:tcPr>
            <w:tcW w:type="dxa" w:w="1872"/>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center"/>
            </w:pPr>
            <w:r>
              <w:rPr>
                <w:rFonts w:ascii="Times New Roman" w:hAnsi="Times New Roman"/>
                <w:b/>
                <w:color w:val="FFFFFF"/>
                <w:sz w:val="20"/>
              </w:rPr>
              <w:t>Blending Weight ($w_{syn}$)</w:t>
            </w:r>
          </w:p>
        </w:tc>
        <w:tc>
          <w:tcPr>
            <w:tcW w:type="dxa" w:w="1872"/>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center"/>
            </w:pPr>
            <w:r>
              <w:rPr>
                <w:rFonts w:ascii="Times New Roman" w:hAnsi="Times New Roman"/>
                <w:b/>
                <w:color w:val="FFFFFF"/>
                <w:sz w:val="20"/>
              </w:rPr>
              <w:t>Threshold ($t_c$)</w:t>
            </w:r>
          </w:p>
        </w:tc>
        <w:tc>
          <w:tcPr>
            <w:tcW w:type="dxa" w:w="1872"/>
            <w:shd w:fill="1F497D"/>
            <w:tcMar>
              <w:top w:w="140" w:type="dxa"/>
              <w:bottom w:w="140" w:type="dxa"/>
              <w:left w:w="180" w:type="dxa"/>
              <w:right w:w="180" w:type="dxa"/>
            </w:tcMar>
            <w:tcBorders>
              <w:top w:val="single" w:sz="6" w:space="0" w:color="1F497D"/>
              <w:bottom w:val="single" w:sz="6" w:space="0" w:color="1F497D"/>
              <w:left w:val="single" w:sz="6" w:space="0" w:color="1F497D"/>
              <w:right w:val="single" w:sz="6" w:space="0" w:color="1F497D"/>
            </w:tcBorders>
          </w:tcPr>
          <w:p>
            <w:pPr>
              <w:jc w:val="center"/>
            </w:pPr>
            <w:r>
              <w:rPr>
                <w:rFonts w:ascii="Times New Roman" w:hAnsi="Times New Roman"/>
                <w:b/>
                <w:color w:val="FFFFFF"/>
                <w:sz w:val="20"/>
              </w:rPr>
              <w:t>Min Area ($A_c$)</w:t>
            </w:r>
          </w:p>
        </w:tc>
      </w:tr>
      <w:tr>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Background</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0.5000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0.9911</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384</w:t>
            </w:r>
          </w:p>
        </w:tc>
      </w:tr>
      <w:tr>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1</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Building Flooded</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160</w:t>
            </w:r>
          </w:p>
        </w:tc>
      </w:tr>
      <w:tr>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2</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Building Non-Flooded</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0.9908</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384</w:t>
            </w:r>
          </w:p>
        </w:tc>
      </w:tr>
      <w:tr>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3</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Road Flooded</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24</w:t>
            </w:r>
          </w:p>
        </w:tc>
      </w:tr>
      <w:tr>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4</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Road Non-Flooded</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192</w:t>
            </w:r>
          </w:p>
        </w:tc>
      </w:tr>
      <w:tr>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5</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Water</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0.5537</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0.4408</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512</w:t>
            </w:r>
          </w:p>
        </w:tc>
      </w:tr>
      <w:tr>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6</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Tree</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160</w:t>
            </w:r>
          </w:p>
        </w:tc>
      </w:tr>
      <w:tr>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7</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Vehicle</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48</w:t>
            </w:r>
          </w:p>
        </w:tc>
      </w:tr>
      <w:tr>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8</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Pool</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FFFFF"/>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128</w:t>
            </w:r>
          </w:p>
        </w:tc>
      </w:tr>
      <w:tr>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9</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left"/>
            </w:pPr>
            <w:r>
              <w:rPr>
                <w:rFonts w:ascii="Times New Roman" w:hAnsi="Times New Roman"/>
                <w:b w:val="0"/>
                <w:i w:val="0"/>
                <w:sz w:val="19"/>
              </w:rPr>
              <w:t>Grass</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1.0000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0.0000</w:t>
            </w:r>
          </w:p>
        </w:tc>
        <w:tc>
          <w:tcPr>
            <w:tcW w:type="dxa" w:w="1872"/>
            <w:shd w:fill="F2F2F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jc w:val="center"/>
            </w:pPr>
            <w:r>
              <w:rPr>
                <w:rFonts w:ascii="Times New Roman" w:hAnsi="Times New Roman"/>
                <w:b w:val="0"/>
                <w:i w:val="0"/>
                <w:sz w:val="19"/>
              </w:rPr>
              <w:t>384</w:t>
            </w:r>
          </w:p>
        </w:tc>
      </w:tr>
    </w:tbl>
    <w:p>
      <w:pPr>
        <w:spacing w:before="120" w:after="120"/>
      </w:pPr>
    </w:p>
    <w:p>
      <w:pPr>
        <w:spacing w:line="276" w:lineRule="auto" w:after="160"/>
      </w:pPr>
      <w:r>
        <w:rPr>
          <w:rFonts w:ascii="Times New Roman" w:hAnsi="Times New Roman"/>
          <w:i/>
        </w:rPr>
        <w:t>Table 2: Best hyperparameter configuration for the 91.751% Dice submission.</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6. Discussion and Ablation Studies</w:t>
      </w:r>
    </w:p>
    <w:p>
      <w:pPr>
        <w:keepNext/>
        <w:spacing w:before="240" w:after="120"/>
      </w:pPr>
      <w:r>
        <w:rPr>
          <w:rFonts w:ascii="Times New Roman" w:hAnsi="Times New Roman"/>
          <w:b/>
          <w:i/>
          <w:color w:val="1F497D"/>
          <w:sz w:val="24"/>
        </w:rPr>
        <w:t>6.1 Impact of Sequential Dual Attention</w:t>
      </w:r>
    </w:p>
    <w:p>
      <w:pPr>
        <w:spacing w:line="276" w:lineRule="auto" w:after="160"/>
      </w:pPr>
      <w:r>
        <w:rPr>
          <w:rFonts w:ascii="Times New Roman" w:hAnsi="Times New Roman"/>
          <w:b w:val="0"/>
          <w:i w:val="0"/>
        </w:rPr>
        <w:t>Replacing late-stage logit blending with our synergistic projection head improved validation Dice from 0.9442 to 0.9485. The subsequent inclusion of CBAM dual-attention yielded an additional +0.0027 boost on validation. Channel attention successfully routes predictions from specialized backbones, while spatial attention stabilizes vehicle and pool boundaries under challenging lighting conditions.</w:t>
      </w:r>
    </w:p>
    <w:p>
      <w:pPr>
        <w:keepNext/>
        <w:spacing w:before="240" w:after="120"/>
      </w:pPr>
      <w:r>
        <w:rPr>
          <w:rFonts w:ascii="Times New Roman" w:hAnsi="Times New Roman"/>
          <w:b/>
          <w:i/>
          <w:color w:val="1F497D"/>
          <w:sz w:val="24"/>
        </w:rPr>
        <w:t>6.2 Decoupled Optimization vs. Global Thresholds</w:t>
      </w:r>
    </w:p>
    <w:p>
      <w:pPr>
        <w:spacing w:line="276" w:lineRule="auto" w:after="160"/>
      </w:pPr>
      <w:r>
        <w:rPr>
          <w:rFonts w:ascii="Times New Roman" w:hAnsi="Times New Roman"/>
          <w:b w:val="0"/>
          <w:i w:val="0"/>
        </w:rPr>
        <w:t xml:space="preserve">Applying a global morphological area suppression threshold of 96 pixels across all classes resulted in a validation Dice of 0.9492. Decoupling this parameters to class-specific sizes via coordinate descent improved Dice to 0.9512. The optimization assigned a tiny suppression size of 24 pixels to </w:t>
      </w:r>
      <w:r>
        <w:rPr>
          <w:rFonts w:ascii="Times New Roman" w:hAnsi="Times New Roman"/>
          <w:b/>
        </w:rPr>
        <w:t>Road Flooded</w:t>
      </w:r>
      <w:r>
        <w:rPr>
          <w:rFonts w:ascii="Times New Roman" w:hAnsi="Times New Roman"/>
          <w:b w:val="0"/>
          <w:i w:val="0"/>
        </w:rPr>
        <w:t xml:space="preserve"> and 48 to </w:t>
      </w:r>
      <w:r>
        <w:rPr>
          <w:rFonts w:ascii="Times New Roman" w:hAnsi="Times New Roman"/>
          <w:b/>
        </w:rPr>
        <w:t>Vehicles</w:t>
      </w:r>
      <w:r>
        <w:rPr>
          <w:rFonts w:ascii="Times New Roman" w:hAnsi="Times New Roman"/>
          <w:b w:val="0"/>
          <w:i w:val="0"/>
        </w:rPr>
        <w:t>, preventing physical features from being erased while keeping background classes clean.</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7. Conclusion</w:t>
      </w:r>
    </w:p>
    <w:p>
      <w:pPr>
        <w:spacing w:line="276" w:lineRule="auto" w:after="160"/>
      </w:pPr>
      <w:r>
        <w:rPr>
          <w:rFonts w:ascii="Times New Roman" w:hAnsi="Times New Roman"/>
          <w:b w:val="0"/>
          <w:i w:val="0"/>
        </w:rPr>
        <w:t xml:space="preserve">We presented a novel </w:t>
      </w:r>
      <w:r>
        <w:rPr>
          <w:rFonts w:ascii="Times New Roman" w:hAnsi="Times New Roman"/>
          <w:b/>
        </w:rPr>
        <w:t>Synergistic Dual-Attention Feature Fusion Network</w:t>
      </w:r>
      <w:r>
        <w:rPr>
          <w:rFonts w:ascii="Times New Roman" w:hAnsi="Times New Roman"/>
          <w:b w:val="0"/>
          <w:i w:val="0"/>
        </w:rPr>
        <w:t xml:space="preserve"> for semantic segmentation on UAV-based disaster imagery. By combining heterogeneous decoder feature maps with sequential CBAM routing, we successfully capture multi-scale semantic details. Coupling this network with decoupled class-specific post-processing calibrations enables high-precision boundary refinement. Our model demonstrates superior performance on the FloodNet benchmark, establishing a strong baseline for drone-based emergency response operations.</w:t>
      </w:r>
    </w:p>
    <w:p>
      <w:pPr>
        <w:spacing w:before="240" w:after="240"/>
        <w:jc w:val="center"/>
      </w:pPr>
      <w:r>
        <w:rPr>
          <w:rFonts w:ascii="Times New Roman" w:hAnsi="Times New Roman"/>
          <w:color w:val="B4B4B4"/>
        </w:rPr>
        <w:t>* * *</w:t>
      </w:r>
    </w:p>
    <w:p>
      <w:pPr>
        <w:keepNext/>
        <w:spacing w:before="240" w:after="120"/>
      </w:pPr>
      <w:r>
        <w:rPr>
          <w:rFonts w:ascii="Times New Roman" w:hAnsi="Times New Roman"/>
          <w:b/>
          <w:i w:val="0"/>
          <w:color w:val="1F497D"/>
          <w:sz w:val="28"/>
        </w:rPr>
        <w:t>References</w:t>
      </w:r>
    </w:p>
    <w:p>
      <w:pPr>
        <w:spacing w:line="276" w:lineRule="auto" w:after="80"/>
        <w:ind w:left="360" w:hanging="360"/>
      </w:pPr>
      <w:r>
        <w:rPr>
          <w:rFonts w:ascii="Times New Roman" w:hAnsi="Times New Roman"/>
          <w:b w:val="0"/>
          <w:i w:val="0"/>
          <w:sz w:val="19"/>
        </w:rPr>
        <w:t xml:space="preserve">[1] R. Rahnemoonfar et al., "FloodNet: A High Resolution Aerial Imagery Dataset for Post-Disaster Damage Assessment," </w:t>
      </w:r>
      <w:r>
        <w:rPr>
          <w:rFonts w:ascii="Times New Roman" w:hAnsi="Times New Roman"/>
          <w:i/>
          <w:sz w:val="19"/>
        </w:rPr>
        <w:t>IEEE Access</w:t>
      </w:r>
      <w:r>
        <w:rPr>
          <w:rFonts w:ascii="Times New Roman" w:hAnsi="Times New Roman"/>
          <w:b w:val="0"/>
          <w:i w:val="0"/>
          <w:sz w:val="19"/>
        </w:rPr>
        <w:t>, vol. 9, pp. 111310-111319, 2021.</w:t>
      </w:r>
    </w:p>
    <w:p>
      <w:pPr>
        <w:spacing w:line="276" w:lineRule="auto" w:after="80"/>
        <w:ind w:left="360" w:hanging="360"/>
      </w:pPr>
      <w:r>
        <w:rPr>
          <w:rFonts w:ascii="Times New Roman" w:hAnsi="Times New Roman"/>
          <w:b w:val="0"/>
          <w:i w:val="0"/>
          <w:sz w:val="19"/>
        </w:rPr>
        <w:t xml:space="preserve">[2] O. Ronneberger, P. Fischer, and T. Brox, "U-Net: Convolutional Networks for Biomedical Image Segmentation," in </w:t>
      </w:r>
      <w:r>
        <w:rPr>
          <w:rFonts w:ascii="Times New Roman" w:hAnsi="Times New Roman"/>
          <w:i/>
          <w:sz w:val="19"/>
        </w:rPr>
        <w:t>MICCAI</w:t>
      </w:r>
      <w:r>
        <w:rPr>
          <w:rFonts w:ascii="Times New Roman" w:hAnsi="Times New Roman"/>
          <w:b w:val="0"/>
          <w:i w:val="0"/>
          <w:sz w:val="19"/>
        </w:rPr>
        <w:t>, 2015, pp. 234-241.</w:t>
      </w:r>
    </w:p>
    <w:p>
      <w:pPr>
        <w:spacing w:line="276" w:lineRule="auto" w:after="80"/>
        <w:ind w:left="360" w:hanging="360"/>
      </w:pPr>
      <w:r>
        <w:rPr>
          <w:rFonts w:ascii="Times New Roman" w:hAnsi="Times New Roman"/>
          <w:b w:val="0"/>
          <w:i w:val="0"/>
          <w:sz w:val="19"/>
        </w:rPr>
        <w:t xml:space="preserve">[3] L.-C. Chen et al., "Encoder-Decoder with Atrous Separable Convolution for Semantic Image Segmentation," in </w:t>
      </w:r>
      <w:r>
        <w:rPr>
          <w:rFonts w:ascii="Times New Roman" w:hAnsi="Times New Roman"/>
          <w:i/>
          <w:sz w:val="19"/>
        </w:rPr>
        <w:t>ECCV</w:t>
      </w:r>
      <w:r>
        <w:rPr>
          <w:rFonts w:ascii="Times New Roman" w:hAnsi="Times New Roman"/>
          <w:b w:val="0"/>
          <w:i w:val="0"/>
          <w:sz w:val="19"/>
        </w:rPr>
        <w:t>, 2018, pp. 801-818.</w:t>
      </w:r>
    </w:p>
    <w:p>
      <w:pPr>
        <w:spacing w:line="276" w:lineRule="auto" w:after="80"/>
        <w:ind w:left="360" w:hanging="360"/>
      </w:pPr>
      <w:r>
        <w:rPr>
          <w:rFonts w:ascii="Times New Roman" w:hAnsi="Times New Roman"/>
          <w:b w:val="0"/>
          <w:i w:val="0"/>
          <w:sz w:val="19"/>
        </w:rPr>
        <w:t xml:space="preserve">[4] J. Long, E. Shelhamer, and T. Darrell, "Fully Convolutional Networks for Semantic Segmentation," in </w:t>
      </w:r>
      <w:r>
        <w:rPr>
          <w:rFonts w:ascii="Times New Roman" w:hAnsi="Times New Roman"/>
          <w:i/>
          <w:sz w:val="19"/>
        </w:rPr>
        <w:t>CVPR</w:t>
      </w:r>
      <w:r>
        <w:rPr>
          <w:rFonts w:ascii="Times New Roman" w:hAnsi="Times New Roman"/>
          <w:b w:val="0"/>
          <w:i w:val="0"/>
          <w:sz w:val="19"/>
        </w:rPr>
        <w:t>, 2015, pp. 3431-3440.</w:t>
      </w:r>
    </w:p>
    <w:p>
      <w:pPr>
        <w:spacing w:line="276" w:lineRule="auto" w:after="80"/>
        <w:ind w:left="360" w:hanging="360"/>
      </w:pPr>
      <w:r>
        <w:rPr>
          <w:rFonts w:ascii="Times New Roman" w:hAnsi="Times New Roman"/>
          <w:b w:val="0"/>
          <w:i w:val="0"/>
          <w:sz w:val="19"/>
        </w:rPr>
        <w:t xml:space="preserve">[5] S. Woo et al., "CBAM: Convolutional Block Attention Module," in </w:t>
      </w:r>
      <w:r>
        <w:rPr>
          <w:rFonts w:ascii="Times New Roman" w:hAnsi="Times New Roman"/>
          <w:i/>
          <w:sz w:val="19"/>
        </w:rPr>
        <w:t>ECCV</w:t>
      </w:r>
      <w:r>
        <w:rPr>
          <w:rFonts w:ascii="Times New Roman" w:hAnsi="Times New Roman"/>
          <w:b w:val="0"/>
          <w:i w:val="0"/>
          <w:sz w:val="19"/>
        </w:rPr>
        <w:t>, 2018, pp. 3-19.</w:t>
      </w:r>
    </w:p>
    <w:p>
      <w:pPr>
        <w:spacing w:line="276" w:lineRule="auto" w:after="80"/>
        <w:ind w:left="360" w:hanging="360"/>
      </w:pPr>
      <w:r>
        <w:rPr>
          <w:rFonts w:ascii="Times New Roman" w:hAnsi="Times New Roman"/>
          <w:b w:val="0"/>
          <w:i w:val="0"/>
          <w:sz w:val="19"/>
        </w:rPr>
        <w:t xml:space="preserve">[6] M. Berman, A. R. Triki, and M. B. Blaschko, "The Lovász-Softmax loss: A tractable surrogate for the optimization of the intersection-over-union measure in neural networks," in </w:t>
      </w:r>
      <w:r>
        <w:rPr>
          <w:rFonts w:ascii="Times New Roman" w:hAnsi="Times New Roman"/>
          <w:i/>
          <w:sz w:val="19"/>
        </w:rPr>
        <w:t>CVPR</w:t>
      </w:r>
      <w:r>
        <w:rPr>
          <w:rFonts w:ascii="Times New Roman" w:hAnsi="Times New Roman"/>
          <w:b w:val="0"/>
          <w:i w:val="0"/>
          <w:sz w:val="19"/>
        </w:rPr>
        <w:t>, 2018, pp. 4413-4421.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