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ASG Airlines</w:t>
        <w:br/>
        <w:t>End-to-End Data Engineering Case Study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Solution walkthrough and delivery documentation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Objective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Turn inconsistent airline operational workbook data into trustworthy flight, booking, payment, and KPI data for Power BI while preserving audit evidence and preventing passenger PII from reaching serving tables.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Architecture and data flow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production target uses ADLS Gen2, Data Factory, Databricks/Delta, Key Vault, Entra ID, Azure Monitor, and Power BI. This submission provides an equivalent local pandas implementation for reproducibility without an Azure subscription.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Purpose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Output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Raw/Bronze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Restricted immutable source evidence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Original workbook and ingestion metadata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Curated/Silver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Normalize, validate, recalculate, and protect PII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Safe flights, bookings, payments, passengers_safe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Quarantine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Preserve rejected records with reason codes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Reason-coded invalid/suspicious rows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Gold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Analytics-ready facts, dimensions, and aggregates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Power BI serving tables</w:t>
            </w:r>
          </w:p>
        </w:tc>
      </w:tr>
    </w:tbl>
    <w:p/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Data flow: source workbook → profile → normalize and validate → curated safe data plus quarantine → Gold facts/dimensions/KPIs → Power BI semantic model.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Data model and grain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Table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Grain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Key analytical fields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fact_flight_operations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One valid flight operation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flight_id, airline, route, duration_minutes, overnight_flag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fact_bookings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One valid booking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booking_id, passenger_key_hash, flight_id, status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fact_payments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One payment row with a valid booking reference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payment_id, booking_id, amount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dim_flight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One row per flight_id for relationship integrity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flight_id, airline, route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dim_airline / dim_route / dim_date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One row per dimension member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airline, route, departure_date</w:t>
            </w:r>
          </w:p>
        </w:tc>
      </w:tr>
    </w:tbl>
    <w:p/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Power BI relationships are single-direction: dim_airline → dim_flight; dim_route → dim_flight; dim_flight → both fact_flight_operations and fact_bookings; fact_bookings → fact_payments. No fact-to-fact or bidirectional relationships are used.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Source profile and current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Metric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Flights / bookings / payments / passengers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1,020 / 1,000 / 1,000 / 1,039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Malformed flight IDs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273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Missing airline values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41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Missing payment amounts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78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Missing booking statuses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45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Source overnight flights / transformed flags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124 / 125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Duplicate source flight rows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 exact duplicate rows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Transformation and data-quality rules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Normalize column names, trim text, and convert blank strings to nulls.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Validate flight IDs against ^[A-Z]{2}[0-9]{3}; never guess a replacement for malformed IDs.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Parse timestamps and add one day when arrival precedes departure, then calculate duration_minutes from adjusted timestamps.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Flag null, non-positive, or over-24-hour durations; retain rejected records in quarantine.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Accept only CONFIRMED, CANCELLED, and PENDING booking statuses; preserve cancelled bookings for analysis.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Keep missing payment amounts null and exclude them from payment totals.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Write quality results with dataset, rule, and failed-record counts.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PII protection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Raw passenger fields are restricted to raw storage. passengers_safe contains only passenger_key_hash, age_band, and gender. Curated and Gold bookings use passenger_key_hash and remove passenger_id, passport_number, emergency-contact fields, email, phone, Aadhaar, and names. Power BI receives only Gold and quality outputs.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local test suite includes a regression test that fails if raw booking PII reappears in the curated output.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KPI definitions and reconciled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KPI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Definition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Total flights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Valid Gold flight-operation rows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747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Average duration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Mean recalculated duration_minutes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164.1 minutes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Median duration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Median recalculated duration_minutes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164 minutes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Valid bookings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Allowed status and valid flight reference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679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Cancellation rate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Cancelled valid bookings / all valid bookings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33.7%</w:t>
            </w:r>
          </w:p>
        </w:tc>
      </w:tr>
      <w:tr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Payment total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Sum of non-null amounts for valid booking references</w:t>
            </w:r>
          </w:p>
        </w:tc>
        <w:tc>
          <w:tcPr>
            <w:tcW w:type="dxa" w:w="3312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5,419,385.34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Power BI report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report contains five pages: Executive Overview, Duration Analysis, Route Performance, Airline Trends, and Data Quality &amp; Anomalies. Slicers use dimensions and all visuals exclude passenger PII. After the safe-schema change, the PBIX must be refreshed and stale PII fields removed before delivery.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Executive Overview: six KPI cards, airline and route traffic, and operational slicers.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Duration Analysis: duration distribution, airline/route averages, same-day versus overnight, and flight detail.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Route Performance: route traffic, duration, source/destination matrix, booking volume, and slicers.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Airline Trends: flight volume, duration, booking status, cancellation rate, and payment totals.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Data Quality &amp; Anomalies: quality cards, failures by rule, missing fields, quarantine counts, and detail tables.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9. Testing and reproducibility</w:t>
      </w:r>
    </w:p>
    <w:p>
      <w:pPr>
        <w:spacing w:after="10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Run the project with Python 3.11 and uv: uv sync; uv run pytest; uv run python src/profile.py; uv run python src/transform.py; uv run python src/gold.py. The current automated suite passes 4 tests, including overnight adjustment, PII-safe passenger output, PII-safe booking output, and Gold KPI reconciliation.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10. Security, deployment, and limitations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Use managed identities, Key Vault, Entra ID groups, layer-specific ADLS permissions, and Azure Monitor in production.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Keep raw workbooks and PBIX files outside source control; .gitignore excludes raw workbooks, generated local data, and PBIX artifacts.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The current implementation is local batch pandas, not a deployed Azure pipeline. Production next steps are ADF orchestration, run metadata/checksums, CI/CD, monitoring, and scheduled Power BI refresh.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11.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Deliverable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Status / action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Working pipeline and tests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Complete; 4 tests pass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Cleaned and Gold datasets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Complete; regenerated after PII fix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Power BI report and screenshots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Complete locally; refresh PBIX after safe-schema change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README and walkthrough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Complete in Markdown and this Word document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Original workbook / raw PII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Keep restricted; exclude from submission archive</w:t>
            </w:r>
          </w:p>
        </w:tc>
      </w:tr>
      <w:tr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Final package</w:t>
            </w:r>
          </w:p>
        </w:tc>
        <w:tc>
          <w:tcPr>
            <w:tcW w:type="dxa" w:w="4968"/>
            <w:vAlign w:val="center"/>
            <w:shd w:fill="clear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Rebuild ZIP only after refreshed PBIX is saved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