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918500">
      <w:pPr>
        <w:spacing w:before="156" w:beforeLines="50" w:after="156" w:afterLines="50" w:line="300" w:lineRule="auto"/>
        <w:ind w:firstLine="723"/>
        <w:jc w:val="center"/>
        <w:rPr>
          <w:rFonts w:ascii="楷体_GB2312" w:hAnsi="宋体" w:eastAsia="楷体_GB2312"/>
          <w:b/>
          <w:sz w:val="36"/>
          <w:szCs w:val="36"/>
        </w:rPr>
      </w:pPr>
      <w:bookmarkStart w:id="0" w:name="_Toc167681064"/>
    </w:p>
    <w:p w14:paraId="58928EDF">
      <w:pPr>
        <w:spacing w:before="156" w:beforeLines="50" w:after="156" w:afterLines="50" w:line="300" w:lineRule="auto"/>
        <w:ind w:firstLine="723"/>
        <w:rPr>
          <w:rFonts w:ascii="楷体_GB2312" w:hAnsi="宋体" w:eastAsia="楷体_GB2312"/>
          <w:b/>
          <w:sz w:val="36"/>
          <w:szCs w:val="36"/>
        </w:rPr>
      </w:pPr>
      <w:r>
        <w:rPr>
          <w:rFonts w:hint="eastAsia" w:ascii="楷体_GB2312" w:hAnsi="宋体" w:eastAsia="楷体_GB2312"/>
          <w:b/>
          <w:sz w:val="36"/>
          <w:szCs w:val="36"/>
        </w:rPr>
        <w:t xml:space="preserve"> </w:t>
      </w:r>
      <w:r>
        <w:rPr>
          <w:rFonts w:ascii="楷体_GB2312" w:hAnsi="宋体" w:eastAsia="楷体_GB2312"/>
          <w:b/>
          <w:sz w:val="36"/>
          <w:szCs w:val="36"/>
        </w:rPr>
        <w:t xml:space="preserve">                      </w:t>
      </w:r>
    </w:p>
    <w:p w14:paraId="0E26146E">
      <w:pPr>
        <w:spacing w:before="156" w:beforeLines="50" w:after="156" w:afterLines="50" w:line="300" w:lineRule="auto"/>
        <w:ind w:firstLine="723"/>
        <w:jc w:val="center"/>
        <w:rPr>
          <w:rFonts w:ascii="楷体_GB2312" w:hAnsi="宋体" w:eastAsia="楷体_GB2312"/>
          <w:b/>
          <w:sz w:val="36"/>
          <w:szCs w:val="36"/>
        </w:rPr>
      </w:pPr>
    </w:p>
    <w:bookmarkEnd w:id="0"/>
    <w:p w14:paraId="09850A34">
      <w:pPr>
        <w:spacing w:before="156" w:beforeLines="50" w:after="156" w:afterLines="50" w:line="300" w:lineRule="auto"/>
        <w:ind w:firstLine="960"/>
        <w:jc w:val="center"/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  <w:lang w:val="en-US" w:eastAsia="zh-CN"/>
        </w:rPr>
        <w:t>智慧充电站运营管理系统</w:t>
      </w:r>
    </w:p>
    <w:p w14:paraId="752D53CD">
      <w:pPr>
        <w:spacing w:before="156" w:beforeLines="50" w:after="156" w:afterLines="50" w:line="300" w:lineRule="auto"/>
        <w:ind w:firstLine="960"/>
        <w:jc w:val="center"/>
        <w:rPr>
          <w:rFonts w:ascii="楷体_GB2312" w:hAnsi="宋体" w:eastAsia="楷体_GB2312"/>
          <w:b/>
          <w:sz w:val="48"/>
          <w:szCs w:val="48"/>
        </w:rPr>
      </w:pPr>
      <w:r>
        <w:rPr>
          <w:rFonts w:hint="eastAsia" w:ascii="微软雅黑" w:hAnsi="微软雅黑" w:eastAsia="微软雅黑" w:cs="微软雅黑"/>
          <w:b/>
          <w:sz w:val="48"/>
          <w:szCs w:val="48"/>
        </w:rPr>
        <w:t>使用说明书</w:t>
      </w:r>
    </w:p>
    <w:p w14:paraId="62EB0E9E">
      <w:pPr>
        <w:spacing w:before="156" w:beforeLines="50" w:after="156" w:afterLines="50" w:line="300" w:lineRule="auto"/>
        <w:ind w:firstLine="560"/>
        <w:jc w:val="center"/>
        <w:rPr>
          <w:rFonts w:ascii="楷体_GB2312" w:hAnsi="宋体" w:eastAsia="楷体_GB2312"/>
          <w:sz w:val="28"/>
          <w:szCs w:val="28"/>
        </w:rPr>
      </w:pPr>
      <w:r>
        <w:rPr>
          <w:rFonts w:hint="eastAsia" w:ascii="楷体_GB2312" w:hAnsi="宋体" w:eastAsia="楷体_GB2312"/>
          <w:sz w:val="28"/>
          <w:szCs w:val="28"/>
        </w:rPr>
        <w:t>版本：[1.</w:t>
      </w:r>
      <w:r>
        <w:rPr>
          <w:rFonts w:ascii="楷体_GB2312" w:hAnsi="宋体" w:eastAsia="楷体_GB2312"/>
          <w:sz w:val="28"/>
          <w:szCs w:val="28"/>
        </w:rPr>
        <w:t>0</w:t>
      </w:r>
      <w:r>
        <w:rPr>
          <w:rFonts w:hint="eastAsia" w:ascii="楷体_GB2312" w:hAnsi="宋体" w:eastAsia="楷体_GB2312"/>
          <w:sz w:val="28"/>
          <w:szCs w:val="28"/>
        </w:rPr>
        <w:t>]</w:t>
      </w:r>
    </w:p>
    <w:p w14:paraId="34946F3B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28A74E27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2A8D3141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4C8910A5">
      <w:pPr>
        <w:spacing w:before="156" w:beforeLines="50" w:after="156" w:afterLines="50" w:line="300" w:lineRule="auto"/>
        <w:ind w:left="0" w:leftChars="0" w:firstLine="0" w:firstLineChars="0"/>
        <w:rPr>
          <w:rFonts w:ascii="楷体_GB2312" w:hAnsi="宋体" w:eastAsia="楷体_GB2312"/>
        </w:rPr>
      </w:pP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  <w:r>
        <w:rPr>
          <w:rFonts w:ascii="楷体_GB2312" w:hAnsi="宋体" w:eastAsia="楷体_GB2312"/>
        </w:rPr>
        <w:br w:type="textWrapping"/>
      </w:r>
    </w:p>
    <w:p w14:paraId="246D65A0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5293B270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69B8B8A4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54DAE876">
      <w:pPr>
        <w:spacing w:before="156" w:beforeLines="50" w:after="156" w:afterLines="50" w:line="300" w:lineRule="auto"/>
        <w:ind w:firstLine="480"/>
        <w:rPr>
          <w:rFonts w:ascii="楷体_GB2312" w:hAnsi="宋体" w:eastAsia="楷体_GB2312"/>
        </w:rPr>
      </w:pPr>
    </w:p>
    <w:p w14:paraId="727A6ECD">
      <w:pPr>
        <w:spacing w:before="156" w:beforeLines="50" w:after="156" w:afterLines="50" w:line="300" w:lineRule="auto"/>
        <w:ind w:firstLine="560"/>
        <w:jc w:val="center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等线" w:hAnsi="等线" w:eastAsia="等线" w:cs="MS Mincho"/>
          <w:b/>
          <w:sz w:val="28"/>
          <w:szCs w:val="28"/>
        </w:rPr>
        <w:t>江苏鼎驰电子科技有限公司</w:t>
      </w:r>
    </w:p>
    <w:p w14:paraId="70B3F3E1">
      <w:pPr>
        <w:spacing w:before="156" w:beforeLines="50" w:after="156" w:afterLines="50" w:line="300" w:lineRule="auto"/>
        <w:ind w:firstLine="562"/>
        <w:jc w:val="center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版权所有  侵权必究</w:t>
      </w:r>
      <w:bookmarkStart w:id="1" w:name="_top"/>
      <w:bookmarkEnd w:id="1"/>
    </w:p>
    <w:p w14:paraId="581B03CB">
      <w:pPr>
        <w:ind w:firstLine="480"/>
      </w:pPr>
    </w:p>
    <w:tbl>
      <w:tblPr>
        <w:tblStyle w:val="16"/>
        <w:tblW w:w="0" w:type="auto"/>
        <w:tblInd w:w="0" w:type="dxa"/>
        <w:tblBorders>
          <w:top w:val="double" w:color="auto" w:sz="4" w:space="0"/>
          <w:left w:val="double" w:color="auto" w:sz="4" w:space="0"/>
          <w:bottom w:val="double" w:color="auto" w:sz="4" w:space="0"/>
          <w:right w:val="double" w:color="auto" w:sz="4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79"/>
        <w:gridCol w:w="1201"/>
        <w:gridCol w:w="1515"/>
        <w:gridCol w:w="1003"/>
        <w:gridCol w:w="263"/>
        <w:gridCol w:w="2715"/>
      </w:tblGrid>
      <w:tr w14:paraId="5740DFA0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restart"/>
            <w:vAlign w:val="center"/>
          </w:tcPr>
          <w:p w14:paraId="5A0E681A">
            <w:pPr>
              <w:spacing w:before="156" w:beforeLines="50" w:after="156" w:afterLines="50" w:line="300" w:lineRule="auto"/>
              <w:ind w:firstLine="240" w:firstLineChars="100"/>
              <w:rPr>
                <w:rFonts w:hint="eastAsia" w:ascii="楷体_GB2312" w:eastAsia="等线"/>
                <w:b/>
                <w:lang w:eastAsia="zh-CN"/>
              </w:rPr>
            </w:pPr>
            <w:r>
              <w:rPr>
                <w:rFonts w:hint="eastAsia" w:ascii="楷体_GB2312" w:eastAsia="等线"/>
                <w:b/>
                <w:lang w:val="en-US" w:eastAsia="zh-CN"/>
              </w:rPr>
              <w:t>智慧充电站运营管理系统</w:t>
            </w:r>
          </w:p>
        </w:tc>
        <w:tc>
          <w:tcPr>
            <w:tcW w:w="2781" w:type="dxa"/>
            <w:gridSpan w:val="3"/>
          </w:tcPr>
          <w:p w14:paraId="76FDE005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版本</w:t>
            </w:r>
          </w:p>
        </w:tc>
        <w:tc>
          <w:tcPr>
            <w:tcW w:w="2715" w:type="dxa"/>
          </w:tcPr>
          <w:p w14:paraId="7F108D2F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密级</w:t>
            </w:r>
          </w:p>
        </w:tc>
      </w:tr>
      <w:tr w14:paraId="51D9810E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continue"/>
          </w:tcPr>
          <w:p w14:paraId="47F7A4BD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</w:p>
        </w:tc>
        <w:tc>
          <w:tcPr>
            <w:tcW w:w="2781" w:type="dxa"/>
            <w:gridSpan w:val="3"/>
          </w:tcPr>
          <w:p w14:paraId="1B8076C6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1.</w:t>
            </w:r>
            <w:r>
              <w:rPr>
                <w:rFonts w:ascii="楷体_GB2312" w:eastAsia="楷体_GB2312"/>
                <w:b/>
              </w:rPr>
              <w:t>0</w:t>
            </w:r>
          </w:p>
        </w:tc>
        <w:tc>
          <w:tcPr>
            <w:tcW w:w="2715" w:type="dxa"/>
          </w:tcPr>
          <w:p w14:paraId="623D0418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内部公开</w:t>
            </w:r>
          </w:p>
        </w:tc>
      </w:tr>
      <w:tr w14:paraId="21BB3E3A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2780" w:type="dxa"/>
            <w:gridSpan w:val="2"/>
            <w:vMerge w:val="continue"/>
          </w:tcPr>
          <w:p w14:paraId="094CFCB1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</w:p>
        </w:tc>
        <w:tc>
          <w:tcPr>
            <w:tcW w:w="2781" w:type="dxa"/>
            <w:gridSpan w:val="3"/>
          </w:tcPr>
          <w:p w14:paraId="6577F0F4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文档编号：01</w:t>
            </w:r>
          </w:p>
        </w:tc>
        <w:tc>
          <w:tcPr>
            <w:tcW w:w="2715" w:type="dxa"/>
          </w:tcPr>
          <w:p w14:paraId="26B62395">
            <w:pPr>
              <w:spacing w:before="156" w:beforeLines="50" w:after="156" w:afterLines="50" w:line="300" w:lineRule="auto"/>
              <w:ind w:firstLine="482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共 页</w:t>
            </w:r>
          </w:p>
        </w:tc>
      </w:tr>
      <w:tr w14:paraId="1BD3A12C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1CD84FA1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拟 制</w:t>
            </w:r>
          </w:p>
        </w:tc>
        <w:tc>
          <w:tcPr>
            <w:tcW w:w="2716" w:type="dxa"/>
            <w:gridSpan w:val="2"/>
          </w:tcPr>
          <w:p w14:paraId="14C57EA4">
            <w:pPr>
              <w:spacing w:before="156" w:beforeLines="50" w:after="156" w:afterLines="50" w:line="300" w:lineRule="auto"/>
              <w:ind w:firstLine="480"/>
              <w:jc w:val="center"/>
              <w:rPr>
                <w:rFonts w:hint="default" w:ascii="楷体_GB2312" w:eastAsia="楷体_GB2312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Cs w:val="28"/>
                <w:lang w:val="en-US" w:eastAsia="zh-CN"/>
              </w:rPr>
              <w:t>王严</w:t>
            </w:r>
          </w:p>
        </w:tc>
        <w:tc>
          <w:tcPr>
            <w:tcW w:w="1003" w:type="dxa"/>
          </w:tcPr>
          <w:p w14:paraId="5E658BF9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201582C0">
            <w:pPr>
              <w:spacing w:before="156" w:beforeLines="50" w:after="156" w:afterLines="50" w:line="300" w:lineRule="auto"/>
              <w:ind w:firstLine="480"/>
              <w:rPr>
                <w:rFonts w:hint="default" w:ascii="楷体_GB2312" w:eastAsia="楷体_GB2312"/>
                <w:szCs w:val="28"/>
                <w:lang w:val="en-US" w:eastAsia="zh-CN"/>
              </w:rPr>
            </w:pPr>
            <w:r>
              <w:rPr>
                <w:rFonts w:hint="eastAsia" w:ascii="楷体_GB2312" w:eastAsia="楷体_GB2312"/>
                <w:szCs w:val="28"/>
                <w:lang w:eastAsia="zh-CN"/>
              </w:rPr>
              <w:t>2025</w:t>
            </w:r>
            <w:r>
              <w:rPr>
                <w:rFonts w:hint="eastAsia" w:ascii="楷体_GB2312" w:eastAsia="楷体_GB2312"/>
                <w:szCs w:val="28"/>
              </w:rPr>
              <w:t>-</w:t>
            </w:r>
            <w:r>
              <w:rPr>
                <w:rFonts w:hint="eastAsia" w:ascii="楷体_GB2312" w:eastAsia="楷体_GB2312"/>
                <w:szCs w:val="28"/>
                <w:lang w:val="en-US" w:eastAsia="zh-CN"/>
              </w:rPr>
              <w:t>09</w:t>
            </w:r>
            <w:r>
              <w:rPr>
                <w:rFonts w:ascii="楷体_GB2312" w:eastAsia="楷体_GB2312"/>
                <w:szCs w:val="28"/>
              </w:rPr>
              <w:t>-</w:t>
            </w:r>
            <w:r>
              <w:rPr>
                <w:rFonts w:hint="eastAsia" w:ascii="楷体_GB2312" w:eastAsia="楷体_GB2312"/>
                <w:szCs w:val="28"/>
                <w:lang w:val="en-US" w:eastAsia="zh-CN"/>
              </w:rPr>
              <w:t>06</w:t>
            </w:r>
          </w:p>
        </w:tc>
      </w:tr>
      <w:tr w14:paraId="6A2340D3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5D9C7629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审 核</w:t>
            </w:r>
          </w:p>
        </w:tc>
        <w:tc>
          <w:tcPr>
            <w:tcW w:w="2716" w:type="dxa"/>
            <w:gridSpan w:val="2"/>
          </w:tcPr>
          <w:p w14:paraId="119BAA41">
            <w:pPr>
              <w:spacing w:before="156" w:beforeLines="50" w:after="156" w:afterLines="50" w:line="300" w:lineRule="auto"/>
              <w:ind w:firstLine="480"/>
              <w:jc w:val="center"/>
              <w:rPr>
                <w:rFonts w:ascii="楷体_GB2312" w:eastAsia="楷体_GB2312"/>
                <w:szCs w:val="28"/>
              </w:rPr>
            </w:pPr>
          </w:p>
        </w:tc>
        <w:tc>
          <w:tcPr>
            <w:tcW w:w="1003" w:type="dxa"/>
          </w:tcPr>
          <w:p w14:paraId="25FDC68A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0BDB1030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  <w:szCs w:val="28"/>
              </w:rPr>
            </w:pPr>
          </w:p>
        </w:tc>
      </w:tr>
      <w:tr w14:paraId="1CC679C6">
        <w:tblPrEx>
          <w:tblBorders>
            <w:top w:val="double" w:color="auto" w:sz="4" w:space="0"/>
            <w:left w:val="double" w:color="auto" w:sz="4" w:space="0"/>
            <w:bottom w:val="double" w:color="auto" w:sz="4" w:space="0"/>
            <w:right w:val="double" w:color="auto" w:sz="4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579" w:type="dxa"/>
          </w:tcPr>
          <w:p w14:paraId="30D8B904">
            <w:pPr>
              <w:spacing w:before="156" w:beforeLines="50" w:after="156" w:afterLines="50" w:line="300" w:lineRule="auto"/>
              <w:ind w:firstLine="482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批 准</w:t>
            </w:r>
          </w:p>
        </w:tc>
        <w:tc>
          <w:tcPr>
            <w:tcW w:w="2716" w:type="dxa"/>
            <w:gridSpan w:val="2"/>
          </w:tcPr>
          <w:p w14:paraId="71010E6F">
            <w:pPr>
              <w:spacing w:before="156" w:beforeLines="50" w:after="156" w:afterLines="50" w:line="300" w:lineRule="auto"/>
              <w:ind w:firstLine="480"/>
              <w:jc w:val="center"/>
              <w:rPr>
                <w:rFonts w:ascii="楷体_GB2312" w:eastAsia="楷体_GB2312"/>
                <w:szCs w:val="28"/>
              </w:rPr>
            </w:pPr>
          </w:p>
        </w:tc>
        <w:tc>
          <w:tcPr>
            <w:tcW w:w="1003" w:type="dxa"/>
          </w:tcPr>
          <w:p w14:paraId="59CE349E">
            <w:pPr>
              <w:spacing w:before="156" w:beforeLines="50" w:after="156" w:afterLines="50" w:line="300" w:lineRule="auto"/>
              <w:ind w:firstLine="0" w:firstLineChars="0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时 间</w:t>
            </w:r>
          </w:p>
        </w:tc>
        <w:tc>
          <w:tcPr>
            <w:tcW w:w="2978" w:type="dxa"/>
            <w:gridSpan w:val="2"/>
          </w:tcPr>
          <w:p w14:paraId="0AFE1445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  <w:szCs w:val="28"/>
              </w:rPr>
            </w:pPr>
          </w:p>
        </w:tc>
      </w:tr>
    </w:tbl>
    <w:p w14:paraId="7B11F0C8">
      <w:pPr>
        <w:spacing w:before="156" w:beforeLines="50" w:after="156" w:afterLines="50" w:line="300" w:lineRule="auto"/>
        <w:ind w:firstLine="562"/>
        <w:jc w:val="center"/>
        <w:rPr>
          <w:rFonts w:ascii="楷体_GB2312" w:eastAsia="楷体_GB2312"/>
          <w:b/>
          <w:sz w:val="28"/>
          <w:szCs w:val="28"/>
        </w:rPr>
      </w:pPr>
    </w:p>
    <w:p w14:paraId="3554D1B1">
      <w:pPr>
        <w:spacing w:before="156" w:beforeLines="50" w:after="156" w:afterLines="50" w:line="300" w:lineRule="auto"/>
        <w:ind w:firstLine="562"/>
        <w:jc w:val="center"/>
        <w:rPr>
          <w:rFonts w:ascii="楷体_GB2312" w:eastAsia="楷体_GB2312"/>
          <w:b/>
          <w:sz w:val="28"/>
          <w:szCs w:val="28"/>
        </w:rPr>
      </w:pPr>
      <w:r>
        <w:rPr>
          <w:rFonts w:hint="eastAsia" w:ascii="楷体_GB2312" w:eastAsia="楷体_GB2312"/>
          <w:b/>
          <w:sz w:val="28"/>
          <w:szCs w:val="28"/>
        </w:rPr>
        <w:t>修订记录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52"/>
        <w:gridCol w:w="1312"/>
        <w:gridCol w:w="3798"/>
        <w:gridCol w:w="1734"/>
      </w:tblGrid>
      <w:tr w14:paraId="0497A2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  <w:shd w:val="clear" w:color="auto" w:fill="A6A6A6"/>
          </w:tcPr>
          <w:p w14:paraId="06E3E909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日期</w:t>
            </w:r>
          </w:p>
        </w:tc>
        <w:tc>
          <w:tcPr>
            <w:tcW w:w="1312" w:type="dxa"/>
            <w:shd w:val="clear" w:color="auto" w:fill="A6A6A6"/>
          </w:tcPr>
          <w:p w14:paraId="55077C8D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修订版本</w:t>
            </w:r>
          </w:p>
        </w:tc>
        <w:tc>
          <w:tcPr>
            <w:tcW w:w="3798" w:type="dxa"/>
            <w:shd w:val="clear" w:color="auto" w:fill="A6A6A6"/>
          </w:tcPr>
          <w:p w14:paraId="11706809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描述</w:t>
            </w:r>
          </w:p>
        </w:tc>
        <w:tc>
          <w:tcPr>
            <w:tcW w:w="1734" w:type="dxa"/>
            <w:shd w:val="clear" w:color="auto" w:fill="A6A6A6"/>
          </w:tcPr>
          <w:p w14:paraId="0F51ADF4">
            <w:pPr>
              <w:spacing w:before="156" w:beforeLines="50" w:after="156" w:afterLines="50" w:line="300" w:lineRule="auto"/>
              <w:ind w:firstLine="0" w:firstLineChars="0"/>
              <w:jc w:val="center"/>
              <w:rPr>
                <w:rFonts w:ascii="楷体_GB2312" w:eastAsia="楷体_GB2312"/>
                <w:b/>
              </w:rPr>
            </w:pPr>
            <w:r>
              <w:rPr>
                <w:rFonts w:hint="eastAsia" w:ascii="楷体_GB2312" w:eastAsia="楷体_GB2312"/>
                <w:b/>
              </w:rPr>
              <w:t>编写</w:t>
            </w:r>
          </w:p>
        </w:tc>
      </w:tr>
      <w:tr w14:paraId="33A386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5D67FE18">
            <w:pPr>
              <w:pStyle w:val="29"/>
              <w:widowControl w:val="0"/>
              <w:spacing w:before="156" w:beforeLines="50" w:after="156" w:afterLines="50"/>
              <w:rPr>
                <w:rFonts w:hint="default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szCs w:val="28"/>
                <w:lang w:eastAsia="zh-CN"/>
              </w:rPr>
              <w:t>2025</w:t>
            </w:r>
            <w:r>
              <w:rPr>
                <w:rFonts w:hint="eastAsia" w:ascii="楷体_GB2312" w:eastAsia="楷体_GB2312"/>
                <w:sz w:val="24"/>
                <w:szCs w:val="28"/>
              </w:rPr>
              <w:t>-</w:t>
            </w:r>
            <w:r>
              <w:rPr>
                <w:rFonts w:hint="eastAsia" w:ascii="楷体_GB2312" w:eastAsia="楷体_GB2312"/>
                <w:sz w:val="24"/>
                <w:szCs w:val="28"/>
                <w:lang w:val="en-US" w:eastAsia="zh-CN"/>
              </w:rPr>
              <w:t>09</w:t>
            </w:r>
            <w:r>
              <w:rPr>
                <w:rFonts w:ascii="楷体_GB2312" w:eastAsia="楷体_GB2312"/>
                <w:sz w:val="24"/>
                <w:szCs w:val="28"/>
              </w:rPr>
              <w:t>-</w:t>
            </w:r>
            <w:r>
              <w:rPr>
                <w:rFonts w:hint="eastAsia" w:ascii="楷体_GB2312" w:eastAsia="楷体_GB2312"/>
                <w:sz w:val="24"/>
                <w:szCs w:val="28"/>
                <w:lang w:val="en-US" w:eastAsia="zh-CN"/>
              </w:rPr>
              <w:t>07</w:t>
            </w:r>
          </w:p>
        </w:tc>
        <w:tc>
          <w:tcPr>
            <w:tcW w:w="1312" w:type="dxa"/>
          </w:tcPr>
          <w:p w14:paraId="03AED73A">
            <w:pPr>
              <w:pStyle w:val="29"/>
              <w:widowControl w:val="0"/>
              <w:spacing w:before="156" w:beforeLines="50" w:after="156" w:afterLines="50"/>
              <w:ind w:firstLine="504"/>
              <w:jc w:val="center"/>
              <w:rPr>
                <w:rFonts w:ascii="楷体_GB2312" w:hAnsi="宋体" w:eastAsia="楷体_GB2312"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</w:rPr>
              <w:t>1.0</w:t>
            </w:r>
          </w:p>
        </w:tc>
        <w:tc>
          <w:tcPr>
            <w:tcW w:w="3798" w:type="dxa"/>
          </w:tcPr>
          <w:p w14:paraId="4561363E">
            <w:pPr>
              <w:pStyle w:val="29"/>
              <w:widowControl w:val="0"/>
              <w:spacing w:before="156" w:beforeLines="50" w:after="156" w:afterLines="50"/>
              <w:ind w:firstLine="1200" w:firstLineChars="500"/>
              <w:jc w:val="both"/>
              <w:rPr>
                <w:rFonts w:ascii="楷体_GB2312" w:hAnsi="宋体" w:eastAsia="楷体_GB2312"/>
                <w:color w:val="000000"/>
                <w:sz w:val="24"/>
                <w:szCs w:val="24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</w:rPr>
              <w:t>正式发布</w:t>
            </w:r>
          </w:p>
        </w:tc>
        <w:tc>
          <w:tcPr>
            <w:tcW w:w="1734" w:type="dxa"/>
          </w:tcPr>
          <w:p w14:paraId="3C2BAC4D">
            <w:pPr>
              <w:pStyle w:val="29"/>
              <w:widowControl w:val="0"/>
              <w:spacing w:before="156" w:beforeLines="50" w:after="156" w:afterLines="50"/>
              <w:ind w:firstLine="480"/>
              <w:jc w:val="both"/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</w:pP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Hans"/>
              </w:rPr>
              <w:t>李</w:t>
            </w:r>
            <w:r>
              <w:rPr>
                <w:rFonts w:hint="eastAsia" w:ascii="楷体_GB2312" w:hAnsi="宋体" w:eastAsia="楷体_GB2312"/>
                <w:color w:val="000000"/>
                <w:sz w:val="24"/>
                <w:szCs w:val="24"/>
                <w:lang w:val="en-US" w:eastAsia="zh-CN"/>
              </w:rPr>
              <w:t>稳</w:t>
            </w:r>
          </w:p>
        </w:tc>
      </w:tr>
      <w:tr w14:paraId="37AD7E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9" w:hRule="atLeast"/>
        </w:trPr>
        <w:tc>
          <w:tcPr>
            <w:tcW w:w="1452" w:type="dxa"/>
          </w:tcPr>
          <w:p w14:paraId="5CAD14DC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312" w:type="dxa"/>
          </w:tcPr>
          <w:p w14:paraId="67CDA1A3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3798" w:type="dxa"/>
          </w:tcPr>
          <w:p w14:paraId="7F9B3620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734" w:type="dxa"/>
          </w:tcPr>
          <w:p w14:paraId="327ECA7B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</w:tr>
      <w:tr w14:paraId="230D5B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6C743E88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312" w:type="dxa"/>
          </w:tcPr>
          <w:p w14:paraId="795E87EB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3798" w:type="dxa"/>
          </w:tcPr>
          <w:p w14:paraId="2D391FEE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  <w:tc>
          <w:tcPr>
            <w:tcW w:w="1734" w:type="dxa"/>
          </w:tcPr>
          <w:p w14:paraId="4403CC14">
            <w:pPr>
              <w:spacing w:before="156" w:beforeLines="50" w:after="156" w:afterLines="50"/>
              <w:ind w:firstLine="480"/>
              <w:rPr>
                <w:rFonts w:ascii="楷体_GB2312" w:hAnsi="宋体" w:eastAsia="楷体_GB2312"/>
                <w:color w:val="000000"/>
              </w:rPr>
            </w:pPr>
          </w:p>
        </w:tc>
      </w:tr>
      <w:tr w14:paraId="5A1DA7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7C99F08D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312" w:type="dxa"/>
          </w:tcPr>
          <w:p w14:paraId="4BD18962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3798" w:type="dxa"/>
          </w:tcPr>
          <w:p w14:paraId="1A1541CE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734" w:type="dxa"/>
          </w:tcPr>
          <w:p w14:paraId="6C98E8A7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</w:rPr>
            </w:pPr>
          </w:p>
        </w:tc>
      </w:tr>
      <w:tr w14:paraId="5511F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</w:trPr>
        <w:tc>
          <w:tcPr>
            <w:tcW w:w="1452" w:type="dxa"/>
          </w:tcPr>
          <w:p w14:paraId="5A9E2B95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312" w:type="dxa"/>
          </w:tcPr>
          <w:p w14:paraId="0429520D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3798" w:type="dxa"/>
          </w:tcPr>
          <w:p w14:paraId="3858B5E9">
            <w:pPr>
              <w:spacing w:before="156" w:beforeLines="50" w:after="156" w:afterLines="50" w:line="300" w:lineRule="auto"/>
              <w:ind w:firstLine="480"/>
              <w:rPr>
                <w:rFonts w:ascii="楷体_GB2312" w:hAnsi="宋体" w:eastAsia="楷体_GB2312"/>
              </w:rPr>
            </w:pPr>
          </w:p>
        </w:tc>
        <w:tc>
          <w:tcPr>
            <w:tcW w:w="1734" w:type="dxa"/>
          </w:tcPr>
          <w:p w14:paraId="7BF2A970">
            <w:pPr>
              <w:spacing w:before="156" w:beforeLines="50" w:after="156" w:afterLines="50" w:line="300" w:lineRule="auto"/>
              <w:ind w:firstLine="480"/>
              <w:rPr>
                <w:rFonts w:ascii="楷体_GB2312" w:eastAsia="楷体_GB2312"/>
              </w:rPr>
            </w:pPr>
          </w:p>
        </w:tc>
      </w:tr>
    </w:tbl>
    <w:p w14:paraId="1A678980">
      <w:pPr>
        <w:widowControl/>
        <w:spacing w:line="240" w:lineRule="auto"/>
        <w:ind w:firstLine="0" w:firstLineChars="0"/>
        <w:rPr>
          <w:rFonts w:ascii="宋体" w:hAnsi="宋体"/>
          <w:b/>
          <w:bCs/>
          <w:kern w:val="44"/>
          <w:szCs w:val="44"/>
        </w:rPr>
      </w:pPr>
      <w:r>
        <w:br w:type="page"/>
      </w:r>
    </w:p>
    <w:p w14:paraId="246E034D">
      <w:pPr>
        <w:pStyle w:val="2"/>
      </w:pPr>
      <w:r>
        <w:rPr>
          <w:rFonts w:hint="eastAsia"/>
          <w:lang w:val="en-US" w:eastAsia="zh-CN"/>
        </w:rPr>
        <w:t>运营仪表盘</w:t>
      </w:r>
    </w:p>
    <w:p w14:paraId="693D06BE">
      <w:pPr>
        <w:ind w:firstLine="480"/>
      </w:pPr>
      <w:r>
        <w:rPr>
          <w:rFonts w:hint="eastAsia"/>
        </w:rPr>
        <w:t>展示充电站运营核心数据概览、趋势图表及实时状态，为运营人员提供全局数据视图。</w:t>
      </w:r>
    </w:p>
    <w:p w14:paraId="01542A9A">
      <w:pPr>
        <w:ind w:left="0" w:leftChars="0" w:firstLine="0" w:firstLineChars="0"/>
        <w:jc w:val="left"/>
      </w:pPr>
      <w:r>
        <w:drawing>
          <wp:inline distT="0" distB="0" distL="114300" distR="114300">
            <wp:extent cx="5250180" cy="2621280"/>
            <wp:effectExtent l="0" t="0" r="7620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8EE73">
      <w:pPr>
        <w:ind w:firstLine="480"/>
        <w:rPr>
          <w:rFonts w:hint="eastAsia"/>
        </w:rPr>
      </w:pPr>
      <w:r>
        <w:rPr>
          <w:rFonts w:hint="eastAsia"/>
        </w:rPr>
        <w:t>数据概览查看：页面顶部 4 个统计卡片分别展示「运营中充电站数量」「总充电桩数量」「本月营收」「设备利用率」，实时呈现核心指标。</w:t>
      </w:r>
    </w:p>
    <w:p w14:paraId="676033EF">
      <w:pPr>
        <w:ind w:firstLine="480"/>
        <w:rPr>
          <w:rFonts w:hint="eastAsia"/>
        </w:rPr>
      </w:pPr>
      <w:r>
        <w:rPr>
          <w:rFonts w:hint="eastAsia"/>
        </w:rPr>
        <w:t>趋势图表分析：</w:t>
      </w:r>
    </w:p>
    <w:p w14:paraId="66EB36F1">
      <w:pPr>
        <w:ind w:firstLine="480"/>
        <w:rPr>
          <w:rFonts w:hint="eastAsia"/>
        </w:rPr>
      </w:pPr>
      <w:r>
        <w:rPr>
          <w:rFonts w:hint="eastAsia"/>
        </w:rPr>
        <w:t>「近 30 天充电量与营收趋势」折线图：左侧 Y 轴为充电量（度），右侧 Y 轴为营收（元），X 轴为时间节点，可查看 30 天内两项数据变化趋势。</w:t>
      </w:r>
    </w:p>
    <w:p w14:paraId="73C89C98">
      <w:pPr>
        <w:ind w:firstLine="480"/>
        <w:rPr>
          <w:rFonts w:hint="eastAsia"/>
        </w:rPr>
      </w:pPr>
      <w:r>
        <w:rPr>
          <w:rFonts w:hint="eastAsia"/>
        </w:rPr>
        <w:t>「充电桩状态分布」饼图：展示空闲、充电中、故障三类充电桩数量占比，点击饼图区块可查看具体数值。</w:t>
      </w:r>
    </w:p>
    <w:p w14:paraId="42CD1F72">
      <w:pPr>
        <w:ind w:firstLine="480"/>
        <w:rPr>
          <w:rFonts w:hint="eastAsia"/>
        </w:rPr>
      </w:pPr>
      <w:r>
        <w:rPr>
          <w:rFonts w:hint="eastAsia"/>
        </w:rPr>
        <w:t>实时状态管理：</w:t>
      </w:r>
    </w:p>
    <w:p w14:paraId="4A76A58E">
      <w:pPr>
        <w:ind w:firstLine="480"/>
        <w:rPr>
          <w:rFonts w:hint="eastAsia"/>
        </w:rPr>
      </w:pPr>
      <w:r>
        <w:rPr>
          <w:rFonts w:hint="eastAsia"/>
        </w:rPr>
        <w:t>「充电站实时状态」表格展示各充电站名称、地址、桩数、运营状态、今日营收等信息。</w:t>
      </w:r>
    </w:p>
    <w:p w14:paraId="74F64DF9">
      <w:pPr>
        <w:ind w:firstLine="480"/>
        <w:rPr>
          <w:rFonts w:hint="eastAsia"/>
        </w:rPr>
      </w:pPr>
      <w:r>
        <w:rPr>
          <w:rFonts w:hint="eastAsia"/>
        </w:rPr>
        <w:t>点击「刷新数据」按钮可更新实时状态数据；点击「详情」按钮可查看该充电站详细运营数据。</w:t>
      </w:r>
    </w:p>
    <w:p w14:paraId="7E45ECDE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充电站管理</w:t>
      </w:r>
    </w:p>
    <w:p w14:paraId="725B733D">
      <w:pPr>
        <w:ind w:firstLine="48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管理充电站基础信息，支持充电站的查询、添加、编辑、删除操作。</w:t>
      </w:r>
      <w:r>
        <w:drawing>
          <wp:inline distT="0" distB="0" distL="114300" distR="114300">
            <wp:extent cx="5250180" cy="2621280"/>
            <wp:effectExtent l="0" t="0" r="7620" b="7620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14106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查询充电站：在搜索框输入充电站名称，点击「搜索」按钮，表格筛选显示匹配结果。</w:t>
      </w:r>
    </w:p>
    <w:p w14:paraId="1A991E27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添加充电站：点击「添加充电站」按钮，弹出添加表单（注：当前版本为静态界面，实际部署后需填写名称、地址、桩数量、运营时间、联系人、电话等信息，提交后新增至列表）。</w:t>
      </w:r>
    </w:p>
    <w:p w14:paraId="29E5261C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编辑充电站：点击表格操作列「编辑」按钮，弹出编辑表单，修改对应信息后保存。</w:t>
      </w:r>
    </w:p>
    <w:p w14:paraId="524206A3">
      <w:pPr>
        <w:ind w:firstLine="48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删除充电站：点击表格操作列「删除」按钮，弹出确认提示框，确认后删除该充电站信息。</w:t>
      </w:r>
    </w:p>
    <w:p w14:paraId="1C87250E">
      <w:pPr>
        <w:ind w:firstLine="480"/>
        <w:rPr>
          <w:rFonts w:hint="default"/>
          <w:lang w:val="en-US" w:eastAsia="zh-CN"/>
        </w:rPr>
      </w:pPr>
    </w:p>
    <w:p w14:paraId="322AF4BD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充电桩管理</w:t>
      </w:r>
    </w:p>
    <w:p w14:paraId="1A44E064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管理充电桩设备信息，支持按充电站筛选、添加、编辑、报修操作。</w:t>
      </w:r>
    </w:p>
    <w:p w14:paraId="7161F3D0">
      <w:r>
        <w:drawing>
          <wp:inline distT="0" distB="0" distL="114300" distR="114300">
            <wp:extent cx="5250180" cy="2621280"/>
            <wp:effectExtent l="0" t="0" r="7620" b="7620"/>
            <wp:docPr id="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D8136D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筛选充电桩：在下拉框选择目标充电站，点击「筛选」按钮，表格显示该充电站下所有充电桩。</w:t>
      </w:r>
    </w:p>
    <w:p w14:paraId="4E3D56A5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添加充电桩：点击「添加充电桩」按钮，填写设备编号、所属充电站、桩类型、功率、接口类型、安装时间等信息，提交后新增至列表。</w:t>
      </w:r>
    </w:p>
    <w:p w14:paraId="37AFBD22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编辑充电桩：点击「编辑」按钮，修改充电桩基础信息（如接口类型、安装时间等），保存生效。</w:t>
      </w:r>
    </w:p>
    <w:p w14:paraId="732BB950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充电桩报修：点击「报修」按钮，弹出报修表单，填写故障类型、故障描述等信息，提交后生成运维工单（联动运维管理模块）。</w:t>
      </w:r>
    </w:p>
    <w:p w14:paraId="3A185DB5">
      <w:pPr>
        <w:rPr>
          <w:rFonts w:hint="default"/>
          <w:lang w:eastAsia="zh-Hans"/>
        </w:rPr>
      </w:pPr>
    </w:p>
    <w:p w14:paraId="4849BDBD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订单管理</w:t>
      </w:r>
      <w:bookmarkStart w:id="2" w:name="_GoBack"/>
      <w:bookmarkEnd w:id="2"/>
    </w:p>
    <w:p w14:paraId="23370007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管理充电订单全生命周期，支持订单查询、筛选、详情查看、退款、结束充电、重新支付等操作。</w:t>
      </w:r>
    </w:p>
    <w:p w14:paraId="2192A778">
      <w:pPr>
        <w:ind w:left="0" w:leftChars="0" w:firstLine="0" w:firstLineChars="0"/>
      </w:pPr>
      <w:r>
        <w:drawing>
          <wp:inline distT="0" distB="0" distL="114300" distR="114300">
            <wp:extent cx="5250180" cy="2621280"/>
            <wp:effectExtent l="0" t="0" r="7620" b="762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06D5D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订单查询：输入订单号 / 用户手机号，点击「搜索」按钮筛选订单；或通过「订单状态」下拉框、日期区间筛选目标订单。</w:t>
      </w:r>
    </w:p>
    <w:p w14:paraId="2EC2C47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订单操作：</w:t>
      </w:r>
    </w:p>
    <w:p w14:paraId="380ECC6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已完成订单：点击「详情」查看充电时长、费用明细等；点击「退款」可发起订单退款流程。</w:t>
      </w:r>
    </w:p>
    <w:p w14:paraId="78A573E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充电中订单：点击「结束充电」可手动终止当前充电流程，生成结算账单。</w:t>
      </w:r>
    </w:p>
    <w:p w14:paraId="09EF17C5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支付失败订单：点击「重新支付」可触发用户端支付提醒，或手动完成支付操作。</w:t>
      </w:r>
    </w:p>
    <w:p w14:paraId="004F83C2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用户管理</w:t>
      </w:r>
    </w:p>
    <w:p w14:paraId="3144022B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管理平台注册用户信息，支持用户查询、添加、编辑、启用 / 禁用操作。</w:t>
      </w:r>
    </w:p>
    <w:p w14:paraId="254C801A">
      <w:pPr>
        <w:ind w:left="0" w:leftChars="0" w:firstLine="0" w:firstLineChars="0"/>
      </w:pPr>
      <w:r>
        <w:drawing>
          <wp:inline distT="0" distB="0" distL="114300" distR="114300">
            <wp:extent cx="5250180" cy="2621280"/>
            <wp:effectExtent l="0" t="0" r="7620" b="7620"/>
            <wp:docPr id="13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2629F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用户查询：输入用户名 / 手机号，点击「搜索」按钮筛选用户列表。</w:t>
      </w:r>
    </w:p>
    <w:p w14:paraId="0AF119F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添加用户：点击「添加用户」按钮，填写用户 ID、用户名、手机号、用户类型等信息，提交后新增用户。</w:t>
      </w:r>
    </w:p>
    <w:p w14:paraId="15E35C86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编辑用户：点击「编辑」按钮，修改用户基础信息（如手机号、用户类型），保存生效。</w:t>
      </w:r>
    </w:p>
    <w:p w14:paraId="4351AFFE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账户状态管理：</w:t>
      </w:r>
    </w:p>
    <w:p w14:paraId="642792D0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正常用户：点击「禁用」按钮，将账户状态改为禁用，用户无法登录使用系统。</w:t>
      </w:r>
    </w:p>
    <w:p w14:paraId="78115ACD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禁用用户：点击「启用」按钮，恢复账户正常使用权限。</w:t>
      </w:r>
    </w:p>
    <w:p w14:paraId="7CC51831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运维管理</w:t>
      </w:r>
    </w:p>
    <w:p w14:paraId="1B05C88F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管理充电桩运维工单，支持工单新建、筛选、接单、完成、关闭等操作。</w:t>
      </w:r>
    </w:p>
    <w:p w14:paraId="7406D906">
      <w:r>
        <w:drawing>
          <wp:inline distT="0" distB="0" distL="114300" distR="114300">
            <wp:extent cx="5250180" cy="2621280"/>
            <wp:effectExtent l="0" t="0" r="7620" b="7620"/>
            <wp:docPr id="1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EF2FC">
      <w:pPr>
        <w:rPr>
          <w:rFonts w:hint="eastAsia"/>
        </w:rPr>
      </w:pPr>
      <w:r>
        <w:rPr>
          <w:rFonts w:hint="eastAsia"/>
        </w:rPr>
        <w:t>工单筛选：通过「工单状态」下拉框（待处理 / 处理中 / 已完成 / 已关闭）筛选对应状态工单。</w:t>
      </w:r>
    </w:p>
    <w:p w14:paraId="6236DD69">
      <w:pPr>
        <w:rPr>
          <w:rFonts w:hint="eastAsia"/>
        </w:rPr>
      </w:pPr>
      <w:r>
        <w:rPr>
          <w:rFonts w:hint="eastAsia"/>
        </w:rPr>
        <w:t>新建工单：点击「新建工单」按钮，填写故障设备、所属充电站、故障类型、上报时间等信息，提交后生成新工单。</w:t>
      </w:r>
    </w:p>
    <w:p w14:paraId="4349605E">
      <w:pPr>
        <w:rPr>
          <w:rFonts w:hint="eastAsia"/>
        </w:rPr>
      </w:pPr>
      <w:r>
        <w:rPr>
          <w:rFonts w:hint="eastAsia"/>
        </w:rPr>
        <w:t>工单处理：</w:t>
      </w:r>
    </w:p>
    <w:p w14:paraId="4AE83871">
      <w:pPr>
        <w:rPr>
          <w:rFonts w:hint="eastAsia"/>
        </w:rPr>
      </w:pPr>
      <w:r>
        <w:rPr>
          <w:rFonts w:hint="eastAsia"/>
        </w:rPr>
        <w:t>待处理工单：点击「接单」按钮，工单状态转为「处理中」，并绑定处理人。</w:t>
      </w:r>
    </w:p>
    <w:p w14:paraId="52CD39D2">
      <w:pPr>
        <w:rPr>
          <w:rFonts w:hint="eastAsia"/>
        </w:rPr>
      </w:pPr>
      <w:r>
        <w:rPr>
          <w:rFonts w:hint="eastAsia"/>
        </w:rPr>
        <w:t>处理中工单：点击「完成」按钮，填写维修结果后，工单状态转为「已完成」。</w:t>
      </w:r>
    </w:p>
    <w:p w14:paraId="0DEE5949">
      <w:pPr>
        <w:rPr>
          <w:rFonts w:hint="eastAsia"/>
        </w:rPr>
      </w:pPr>
      <w:r>
        <w:rPr>
          <w:rFonts w:hint="eastAsia"/>
        </w:rPr>
        <w:t>已完成工单：点击「关闭」按钮，工单归档，结束全流程。</w:t>
      </w:r>
    </w:p>
    <w:p w14:paraId="0EA2D22F">
      <w:pPr>
        <w:rPr>
          <w:rFonts w:hint="default"/>
          <w:lang w:eastAsia="zh-Hans"/>
        </w:rPr>
      </w:pPr>
      <w:r>
        <w:rPr>
          <w:rFonts w:hint="eastAsia"/>
        </w:rPr>
        <w:t>工单详情：点击「详情」按钮，查看工单完整信息（故障描述、处理记录、维修凭证等）。</w:t>
      </w:r>
    </w:p>
    <w:p w14:paraId="5692B56A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数据分析</w:t>
      </w:r>
    </w:p>
    <w:p w14:paraId="35E87AFB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多维度分析充电站运营数据，通过图表直观展示营收、充电时段、故障类型、月度充电量等数据。</w:t>
      </w:r>
    </w:p>
    <w:p w14:paraId="5CC95C55">
      <w:r>
        <w:drawing>
          <wp:inline distT="0" distB="0" distL="114300" distR="114300">
            <wp:extent cx="5250180" cy="2621280"/>
            <wp:effectExtent l="0" t="0" r="7620" b="7620"/>
            <wp:docPr id="15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DAD6DA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各充电站营收对比：柱状图展示不同充电站月度营收数值，可直观对比各站点运营效益。</w:t>
      </w:r>
    </w:p>
    <w:p w14:paraId="6DED1FD4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用户充电时段分布：饼图展示 06:00-10:00、10:00-14:00 等 5 个时段的充电量占比，辅助调整运营策略。</w:t>
      </w:r>
    </w:p>
    <w:p w14:paraId="70A4A1A5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设备故障类型统计：柱状图展示充电枪故障、通讯故障等故障类型的发生次数，指导运维重点。</w:t>
      </w:r>
    </w:p>
    <w:p w14:paraId="57535A40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月度充电量趋势：折线图展示近 5 个月充电量变化趋势，预测后续运营负荷。</w:t>
      </w:r>
    </w:p>
    <w:p w14:paraId="43304F7D">
      <w:pPr>
        <w:rPr>
          <w:rFonts w:hint="default"/>
          <w:lang w:eastAsia="zh-Hans"/>
        </w:rPr>
      </w:pPr>
    </w:p>
    <w:p w14:paraId="3D138866">
      <w:pPr>
        <w:pStyle w:val="2"/>
        <w:bidi w:val="0"/>
        <w:rPr>
          <w:rFonts w:hint="default"/>
          <w:lang w:eastAsia="zh-Hans"/>
        </w:rPr>
      </w:pPr>
      <w:r>
        <w:rPr>
          <w:rFonts w:hint="eastAsia"/>
          <w:lang w:val="en-US" w:eastAsia="zh-Hans"/>
        </w:rPr>
        <w:t>系统设置</w:t>
      </w:r>
    </w:p>
    <w:p w14:paraId="3646FB2D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配置系统基础参数及角色权限，保障系统安全合规运行。</w:t>
      </w:r>
    </w:p>
    <w:p w14:paraId="2FFCBFE2">
      <w:r>
        <w:drawing>
          <wp:inline distT="0" distB="0" distL="114300" distR="114300">
            <wp:extent cx="5250180" cy="2621280"/>
            <wp:effectExtent l="0" t="0" r="7620" b="7620"/>
            <wp:docPr id="16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50180" cy="2621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2CE3F9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基础设置：</w:t>
      </w:r>
    </w:p>
    <w:p w14:paraId="4FA1D879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修改系统名称、默认收费标准、数据备份周期、异常预警阈值、客服电话等参数，点击「保存设置」生效。</w:t>
      </w:r>
    </w:p>
    <w:p w14:paraId="18B62B58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异常预警阈值：设置设备故障数≥N 时触发系统预警，提醒运维人员处理。</w:t>
      </w:r>
    </w:p>
    <w:p w14:paraId="74B37F92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角色权限管理：</w:t>
      </w:r>
    </w:p>
    <w:p w14:paraId="0AECF4D5">
      <w:pPr>
        <w:rPr>
          <w:rFonts w:hint="default"/>
          <w:lang w:eastAsia="zh-Hans"/>
        </w:rPr>
      </w:pPr>
      <w:r>
        <w:rPr>
          <w:rFonts w:hint="default"/>
          <w:lang w:eastAsia="zh-Hans"/>
        </w:rPr>
        <w:t>查看超级管理员、运营管理员、运维人员三类角色的可访问模块及操作权限。</w:t>
      </w:r>
    </w:p>
    <w:p w14:paraId="4214E072">
      <w:pPr>
        <w:rPr>
          <w:rFonts w:hint="default"/>
          <w:lang w:val="en-US" w:eastAsia="zh-CN"/>
        </w:rPr>
      </w:pPr>
      <w:r>
        <w:rPr>
          <w:rFonts w:hint="default"/>
          <w:lang w:eastAsia="zh-Hans"/>
        </w:rPr>
        <w:t>点击「编辑权限」按钮，调整角色可访问模块（如新增 / 移除运营管理员对「数据分析」模块的访问权限）。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MS Mincho">
    <w:altName w:val="Yu Gothic UI"/>
    <w:panose1 w:val="02020609040205080304"/>
    <w:charset w:val="80"/>
    <w:family w:val="modern"/>
    <w:pitch w:val="default"/>
    <w:sig w:usb0="00000000" w:usb1="00000000" w:usb2="08000012" w:usb3="00000000" w:csb0="0002009F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7F138">
    <w:pPr>
      <w:pStyle w:val="13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BF77271">
    <w:pPr>
      <w:pStyle w:val="13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E1CD85">
    <w:pPr>
      <w:pStyle w:val="13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  <w:ind w:firstLine="480"/>
      </w:pPr>
      <w:r>
        <w:separator/>
      </w:r>
    </w:p>
  </w:footnote>
  <w:footnote w:type="continuationSeparator" w:id="1">
    <w:p>
      <w:pPr>
        <w:spacing w:line="36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FA108">
    <w:pPr>
      <w:pStyle w:val="14"/>
      <w:ind w:firstLine="360"/>
      <w:jc w:val="left"/>
      <w:rPr>
        <w:rFonts w:hint="default"/>
        <w:lang w:val="en-US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7" name="文本框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B50F18">
                          <w:pPr>
                            <w:pStyle w:val="1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5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LNJWO7QAAAABQEAAA8AAAAAAAAAAQAgAAAAIgAAAGRycy9kb3ducmV2LnhtbFBLAQIU&#10;ABQAAAAIAIdO4kBbnGJKNAIAAGQEAAAOAAAAAAAAAAEAIAAAAB8BAABkcnMvZTJvRG9jLnhtbFBL&#10;BQYAAAAABgAGAFkBAADF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B50F18">
                    <w:pPr>
                      <w:pStyle w:val="1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18"/>
        <w:lang w:val="en-US" w:eastAsia="zh-CN"/>
      </w:rPr>
      <w:t>智慧充电站运营管理系统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F27B83">
    <w:pPr>
      <w:pStyle w:val="14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E5FC1BE">
    <w:pPr>
      <w:pStyle w:val="14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7796D41"/>
    <w:multiLevelType w:val="multilevel"/>
    <w:tmpl w:val="37796D41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 w:eastAsia="宋体"/>
        <w:b/>
        <w:i w:val="0"/>
        <w:sz w:val="24"/>
      </w:rPr>
    </w:lvl>
    <w:lvl w:ilvl="1" w:tentative="0">
      <w:start w:val="1"/>
      <w:numFmt w:val="decimal"/>
      <w:lvlText w:val="%1.%2"/>
      <w:lvlJc w:val="left"/>
      <w:pPr>
        <w:ind w:left="992" w:hanging="567"/>
      </w:pPr>
      <w:rPr>
        <w:rFonts w:hint="eastAsia" w:eastAsia="宋体"/>
        <w:b/>
        <w:i w:val="0"/>
        <w:sz w:val="24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 w:eastAsia="宋体"/>
        <w:b/>
        <w:i w:val="0"/>
        <w:sz w:val="24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 w:eastAsia="宋体"/>
        <w:b/>
        <w:i w:val="0"/>
        <w:sz w:val="24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 w:eastAsia="宋体"/>
        <w:b/>
        <w:i w:val="0"/>
        <w:sz w:val="24"/>
      </w:rPr>
    </w:lvl>
    <w:lvl w:ilvl="5" w:tentative="0">
      <w:start w:val="1"/>
      <w:numFmt w:val="decimal"/>
      <w:pStyle w:val="8"/>
      <w:lvlText w:val="%1.%2.%3.%4.%5.%6"/>
      <w:lvlJc w:val="left"/>
      <w:pPr>
        <w:ind w:left="3260" w:hanging="1134"/>
      </w:pPr>
      <w:rPr>
        <w:rFonts w:hint="eastAsia" w:eastAsia="宋体"/>
        <w:b/>
        <w:i w:val="0"/>
        <w:sz w:val="24"/>
      </w:rPr>
    </w:lvl>
    <w:lvl w:ilvl="6" w:tentative="0">
      <w:start w:val="1"/>
      <w:numFmt w:val="decimal"/>
      <w:pStyle w:val="9"/>
      <w:lvlText w:val="%1.%2.%3.%4.%5.%6.%7"/>
      <w:lvlJc w:val="left"/>
      <w:pPr>
        <w:ind w:left="3827" w:hanging="1276"/>
      </w:pPr>
      <w:rPr>
        <w:rFonts w:hint="eastAsia" w:eastAsia="宋体"/>
        <w:b/>
        <w:i w:val="0"/>
        <w:sz w:val="24"/>
      </w:rPr>
    </w:lvl>
    <w:lvl w:ilvl="7" w:tentative="0">
      <w:start w:val="1"/>
      <w:numFmt w:val="decimal"/>
      <w:pStyle w:val="10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">
    <w:nsid w:val="65746763"/>
    <w:multiLevelType w:val="multilevel"/>
    <w:tmpl w:val="65746763"/>
    <w:lvl w:ilvl="0" w:tentative="0">
      <w:start w:val="1"/>
      <w:numFmt w:val="decimal"/>
      <w:pStyle w:val="2"/>
      <w:lvlText w:val="%1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1" w:tentative="0">
      <w:start w:val="1"/>
      <w:numFmt w:val="decimal"/>
      <w:pStyle w:val="3"/>
      <w:lvlText w:val="%1.%2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2" w:tentative="0">
      <w:start w:val="1"/>
      <w:numFmt w:val="decimal"/>
      <w:pStyle w:val="4"/>
      <w:lvlText w:val="%1.%2.%3"/>
      <w:lvlJc w:val="left"/>
      <w:pPr>
        <w:ind w:left="0" w:firstLine="0"/>
      </w:pPr>
      <w:rPr>
        <w:rFonts w:hint="eastAsia" w:ascii="宋体" w:hAnsi="宋体" w:eastAsia="宋体"/>
        <w:b/>
        <w:i w:val="0"/>
        <w:sz w:val="24"/>
      </w:rPr>
    </w:lvl>
    <w:lvl w:ilvl="3" w:tentative="0">
      <w:start w:val="1"/>
      <w:numFmt w:val="decimal"/>
      <w:pStyle w:val="5"/>
      <w:lvlText w:val="%1.%2.%3.%4"/>
      <w:lvlJc w:val="left"/>
      <w:pPr>
        <w:ind w:left="1984" w:hanging="1984"/>
      </w:pPr>
      <w:rPr>
        <w:rFonts w:hint="eastAsia" w:ascii="宋体" w:hAnsi="宋体" w:eastAsia="宋体"/>
        <w:b/>
        <w:i w:val="0"/>
        <w:sz w:val="24"/>
      </w:rPr>
    </w:lvl>
    <w:lvl w:ilvl="4" w:tentative="0">
      <w:start w:val="1"/>
      <w:numFmt w:val="decimal"/>
      <w:pStyle w:val="7"/>
      <w:lvlText w:val="%1.%2.%3.%4.%5"/>
      <w:lvlJc w:val="left"/>
      <w:pPr>
        <w:ind w:left="2551" w:hanging="2551"/>
      </w:pPr>
      <w:rPr>
        <w:rFonts w:hint="eastAsia" w:ascii="宋体" w:hAnsi="宋体" w:eastAsia="宋体"/>
        <w:b/>
        <w:i w:val="0"/>
        <w:sz w:val="24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Y4YWM2ZWQ5M2JjY2Q1MDJmYzIxN2IwMTliMTY5ZTMifQ=="/>
  </w:docVars>
  <w:rsids>
    <w:rsidRoot w:val="002137E6"/>
    <w:rsid w:val="00012B3E"/>
    <w:rsid w:val="000177C7"/>
    <w:rsid w:val="00035360"/>
    <w:rsid w:val="000371C6"/>
    <w:rsid w:val="000371F4"/>
    <w:rsid w:val="000512FF"/>
    <w:rsid w:val="00062D55"/>
    <w:rsid w:val="00064BD8"/>
    <w:rsid w:val="0008563F"/>
    <w:rsid w:val="00096368"/>
    <w:rsid w:val="000A2113"/>
    <w:rsid w:val="000B25B2"/>
    <w:rsid w:val="000D04C1"/>
    <w:rsid w:val="00157B74"/>
    <w:rsid w:val="001660B8"/>
    <w:rsid w:val="00194EF0"/>
    <w:rsid w:val="001A7246"/>
    <w:rsid w:val="001C5725"/>
    <w:rsid w:val="002137E6"/>
    <w:rsid w:val="002143EE"/>
    <w:rsid w:val="00215701"/>
    <w:rsid w:val="00220FDE"/>
    <w:rsid w:val="00237337"/>
    <w:rsid w:val="00275C69"/>
    <w:rsid w:val="0029387D"/>
    <w:rsid w:val="002A4540"/>
    <w:rsid w:val="002A6239"/>
    <w:rsid w:val="002C2DB1"/>
    <w:rsid w:val="00302B76"/>
    <w:rsid w:val="003039AA"/>
    <w:rsid w:val="00313206"/>
    <w:rsid w:val="00330351"/>
    <w:rsid w:val="003B068B"/>
    <w:rsid w:val="003B1E1C"/>
    <w:rsid w:val="003C4BDB"/>
    <w:rsid w:val="003F65E8"/>
    <w:rsid w:val="0040663D"/>
    <w:rsid w:val="00440ECA"/>
    <w:rsid w:val="0044204F"/>
    <w:rsid w:val="00462A54"/>
    <w:rsid w:val="00467439"/>
    <w:rsid w:val="004773F4"/>
    <w:rsid w:val="004B2F4B"/>
    <w:rsid w:val="004E5EC6"/>
    <w:rsid w:val="004E69DE"/>
    <w:rsid w:val="0054369F"/>
    <w:rsid w:val="0055178F"/>
    <w:rsid w:val="00551C72"/>
    <w:rsid w:val="00556A10"/>
    <w:rsid w:val="00572152"/>
    <w:rsid w:val="0057513C"/>
    <w:rsid w:val="00586DF5"/>
    <w:rsid w:val="005A2DAD"/>
    <w:rsid w:val="005B360A"/>
    <w:rsid w:val="005B586F"/>
    <w:rsid w:val="005C377B"/>
    <w:rsid w:val="00615193"/>
    <w:rsid w:val="00621002"/>
    <w:rsid w:val="00625DA5"/>
    <w:rsid w:val="00633055"/>
    <w:rsid w:val="00644DED"/>
    <w:rsid w:val="00665CA6"/>
    <w:rsid w:val="00686E17"/>
    <w:rsid w:val="00693CC4"/>
    <w:rsid w:val="006B4703"/>
    <w:rsid w:val="006D47AE"/>
    <w:rsid w:val="00730141"/>
    <w:rsid w:val="00737857"/>
    <w:rsid w:val="007667EA"/>
    <w:rsid w:val="00776B02"/>
    <w:rsid w:val="00784F65"/>
    <w:rsid w:val="007C23CE"/>
    <w:rsid w:val="007C3D27"/>
    <w:rsid w:val="007C43CB"/>
    <w:rsid w:val="007D3DC5"/>
    <w:rsid w:val="007D6057"/>
    <w:rsid w:val="007F26C0"/>
    <w:rsid w:val="007F69F4"/>
    <w:rsid w:val="00802A25"/>
    <w:rsid w:val="00875B06"/>
    <w:rsid w:val="008A18C6"/>
    <w:rsid w:val="008D0099"/>
    <w:rsid w:val="008E0D77"/>
    <w:rsid w:val="008E2DAC"/>
    <w:rsid w:val="008F00CF"/>
    <w:rsid w:val="0090481E"/>
    <w:rsid w:val="00914C73"/>
    <w:rsid w:val="00915881"/>
    <w:rsid w:val="009211C2"/>
    <w:rsid w:val="00962E6E"/>
    <w:rsid w:val="00984308"/>
    <w:rsid w:val="009B0A7E"/>
    <w:rsid w:val="009E592A"/>
    <w:rsid w:val="009E63BC"/>
    <w:rsid w:val="00A15AE0"/>
    <w:rsid w:val="00A22F83"/>
    <w:rsid w:val="00A5317D"/>
    <w:rsid w:val="00A661B4"/>
    <w:rsid w:val="00A8204D"/>
    <w:rsid w:val="00A91CA9"/>
    <w:rsid w:val="00AA2B3C"/>
    <w:rsid w:val="00AA5126"/>
    <w:rsid w:val="00AC0A1F"/>
    <w:rsid w:val="00AC7693"/>
    <w:rsid w:val="00AF5DFD"/>
    <w:rsid w:val="00B01908"/>
    <w:rsid w:val="00B34F32"/>
    <w:rsid w:val="00B3653A"/>
    <w:rsid w:val="00B53DF8"/>
    <w:rsid w:val="00B561ED"/>
    <w:rsid w:val="00B56410"/>
    <w:rsid w:val="00B95BBA"/>
    <w:rsid w:val="00BC48D4"/>
    <w:rsid w:val="00BC4C72"/>
    <w:rsid w:val="00BE525C"/>
    <w:rsid w:val="00BF1495"/>
    <w:rsid w:val="00C01487"/>
    <w:rsid w:val="00C03A01"/>
    <w:rsid w:val="00C11C78"/>
    <w:rsid w:val="00C122DE"/>
    <w:rsid w:val="00C4064A"/>
    <w:rsid w:val="00C5256C"/>
    <w:rsid w:val="00C528BD"/>
    <w:rsid w:val="00C6314E"/>
    <w:rsid w:val="00C90269"/>
    <w:rsid w:val="00C95D73"/>
    <w:rsid w:val="00CB2344"/>
    <w:rsid w:val="00CE6316"/>
    <w:rsid w:val="00CF5975"/>
    <w:rsid w:val="00D14731"/>
    <w:rsid w:val="00D1476C"/>
    <w:rsid w:val="00D2102E"/>
    <w:rsid w:val="00D92C35"/>
    <w:rsid w:val="00D9747C"/>
    <w:rsid w:val="00DB3A14"/>
    <w:rsid w:val="00DD3514"/>
    <w:rsid w:val="00DD453E"/>
    <w:rsid w:val="00DD6DA8"/>
    <w:rsid w:val="00DE1C4F"/>
    <w:rsid w:val="00DE3079"/>
    <w:rsid w:val="00DF2E87"/>
    <w:rsid w:val="00DF4780"/>
    <w:rsid w:val="00E0292D"/>
    <w:rsid w:val="00E151A4"/>
    <w:rsid w:val="00E22E9A"/>
    <w:rsid w:val="00E306B0"/>
    <w:rsid w:val="00E37DEE"/>
    <w:rsid w:val="00E448D9"/>
    <w:rsid w:val="00E72475"/>
    <w:rsid w:val="00E776D0"/>
    <w:rsid w:val="00E80A3C"/>
    <w:rsid w:val="00E816AF"/>
    <w:rsid w:val="00E93879"/>
    <w:rsid w:val="00E943D9"/>
    <w:rsid w:val="00EA1102"/>
    <w:rsid w:val="00EA21C0"/>
    <w:rsid w:val="00EC5EF9"/>
    <w:rsid w:val="00ED2CED"/>
    <w:rsid w:val="00EE0BF8"/>
    <w:rsid w:val="00F06C21"/>
    <w:rsid w:val="00F20846"/>
    <w:rsid w:val="00F70664"/>
    <w:rsid w:val="00F94524"/>
    <w:rsid w:val="00FB2DA0"/>
    <w:rsid w:val="00FC1A17"/>
    <w:rsid w:val="00FD15BB"/>
    <w:rsid w:val="00FD7C08"/>
    <w:rsid w:val="00FE00AD"/>
    <w:rsid w:val="00FF56BA"/>
    <w:rsid w:val="014A4B87"/>
    <w:rsid w:val="024C0DD3"/>
    <w:rsid w:val="02502671"/>
    <w:rsid w:val="028916DF"/>
    <w:rsid w:val="02D2673B"/>
    <w:rsid w:val="02D44D59"/>
    <w:rsid w:val="02ED6112"/>
    <w:rsid w:val="03626296"/>
    <w:rsid w:val="03E41A3C"/>
    <w:rsid w:val="03F82FC0"/>
    <w:rsid w:val="0458391F"/>
    <w:rsid w:val="046619FB"/>
    <w:rsid w:val="04912ACD"/>
    <w:rsid w:val="04FC6AE0"/>
    <w:rsid w:val="0648365F"/>
    <w:rsid w:val="06A60CD2"/>
    <w:rsid w:val="073A6E8C"/>
    <w:rsid w:val="07D94EB6"/>
    <w:rsid w:val="081128A2"/>
    <w:rsid w:val="08251EAA"/>
    <w:rsid w:val="08E50D18"/>
    <w:rsid w:val="08EB4EA1"/>
    <w:rsid w:val="09581E0B"/>
    <w:rsid w:val="09ACA61E"/>
    <w:rsid w:val="09FE6E56"/>
    <w:rsid w:val="0A7205A9"/>
    <w:rsid w:val="0A886720"/>
    <w:rsid w:val="0AB37C41"/>
    <w:rsid w:val="0B7F3FC7"/>
    <w:rsid w:val="0BCD6AE0"/>
    <w:rsid w:val="0BFD7AE2"/>
    <w:rsid w:val="0C0E2FD9"/>
    <w:rsid w:val="0E941B37"/>
    <w:rsid w:val="0EAD2BF9"/>
    <w:rsid w:val="0EF5490B"/>
    <w:rsid w:val="0FE64614"/>
    <w:rsid w:val="119360D6"/>
    <w:rsid w:val="11F72B09"/>
    <w:rsid w:val="122907E8"/>
    <w:rsid w:val="125E127F"/>
    <w:rsid w:val="1284666A"/>
    <w:rsid w:val="13561AB1"/>
    <w:rsid w:val="143E2478"/>
    <w:rsid w:val="14690BFC"/>
    <w:rsid w:val="14737433"/>
    <w:rsid w:val="154871D8"/>
    <w:rsid w:val="15CC5E54"/>
    <w:rsid w:val="17081314"/>
    <w:rsid w:val="17471E3D"/>
    <w:rsid w:val="176F4EEF"/>
    <w:rsid w:val="17822749"/>
    <w:rsid w:val="17885FB1"/>
    <w:rsid w:val="17A56B63"/>
    <w:rsid w:val="17B172B6"/>
    <w:rsid w:val="18003718"/>
    <w:rsid w:val="182B52BA"/>
    <w:rsid w:val="182E65A1"/>
    <w:rsid w:val="183E32F0"/>
    <w:rsid w:val="19704F4F"/>
    <w:rsid w:val="19B906A4"/>
    <w:rsid w:val="1A2D3B01"/>
    <w:rsid w:val="1A8525FC"/>
    <w:rsid w:val="1ADA6B24"/>
    <w:rsid w:val="1B851185"/>
    <w:rsid w:val="1BE20386"/>
    <w:rsid w:val="1BF34341"/>
    <w:rsid w:val="1E8F5E77"/>
    <w:rsid w:val="1E911BEF"/>
    <w:rsid w:val="1EDB10BC"/>
    <w:rsid w:val="1EFD773D"/>
    <w:rsid w:val="1F6E1F30"/>
    <w:rsid w:val="1F7A4A2A"/>
    <w:rsid w:val="1F941997"/>
    <w:rsid w:val="20A13715"/>
    <w:rsid w:val="21414FA7"/>
    <w:rsid w:val="22460F43"/>
    <w:rsid w:val="22554F7B"/>
    <w:rsid w:val="228201CD"/>
    <w:rsid w:val="229966A8"/>
    <w:rsid w:val="22F92BB8"/>
    <w:rsid w:val="23986540"/>
    <w:rsid w:val="23C860B3"/>
    <w:rsid w:val="23E40A13"/>
    <w:rsid w:val="24125580"/>
    <w:rsid w:val="242B4894"/>
    <w:rsid w:val="24686FE5"/>
    <w:rsid w:val="25315EDA"/>
    <w:rsid w:val="25CD5C03"/>
    <w:rsid w:val="25DC5E46"/>
    <w:rsid w:val="263712CE"/>
    <w:rsid w:val="272A0E33"/>
    <w:rsid w:val="28A16ED3"/>
    <w:rsid w:val="29714AF7"/>
    <w:rsid w:val="2B7D3C27"/>
    <w:rsid w:val="2BE76A97"/>
    <w:rsid w:val="2C697D08"/>
    <w:rsid w:val="2CE744F4"/>
    <w:rsid w:val="2D0D4B37"/>
    <w:rsid w:val="2D3B5B48"/>
    <w:rsid w:val="2DA60AE7"/>
    <w:rsid w:val="2DF9330D"/>
    <w:rsid w:val="2EBB70DF"/>
    <w:rsid w:val="2F1F1A24"/>
    <w:rsid w:val="2F245114"/>
    <w:rsid w:val="2F371219"/>
    <w:rsid w:val="2F6E6F22"/>
    <w:rsid w:val="3005243D"/>
    <w:rsid w:val="30760C45"/>
    <w:rsid w:val="311A48F7"/>
    <w:rsid w:val="31DE4CF4"/>
    <w:rsid w:val="31FC39CE"/>
    <w:rsid w:val="3216623C"/>
    <w:rsid w:val="324B0360"/>
    <w:rsid w:val="32D06D32"/>
    <w:rsid w:val="32F01183"/>
    <w:rsid w:val="334D6599"/>
    <w:rsid w:val="33F702EF"/>
    <w:rsid w:val="340C5B48"/>
    <w:rsid w:val="342441A9"/>
    <w:rsid w:val="347436ED"/>
    <w:rsid w:val="34ED2E14"/>
    <w:rsid w:val="35B75F88"/>
    <w:rsid w:val="3601230C"/>
    <w:rsid w:val="364F5868"/>
    <w:rsid w:val="36CA1CEB"/>
    <w:rsid w:val="36E27034"/>
    <w:rsid w:val="370F42B5"/>
    <w:rsid w:val="371B42F4"/>
    <w:rsid w:val="37411FAD"/>
    <w:rsid w:val="37D78EE8"/>
    <w:rsid w:val="38C144B1"/>
    <w:rsid w:val="392D5268"/>
    <w:rsid w:val="392E6561"/>
    <w:rsid w:val="39D76BF8"/>
    <w:rsid w:val="39E135D3"/>
    <w:rsid w:val="3A5F79AD"/>
    <w:rsid w:val="3AF53CDC"/>
    <w:rsid w:val="3AF82907"/>
    <w:rsid w:val="3B8C756F"/>
    <w:rsid w:val="3BCF4460"/>
    <w:rsid w:val="3BFF0803"/>
    <w:rsid w:val="3CC66AB0"/>
    <w:rsid w:val="3D202664"/>
    <w:rsid w:val="3EDE6333"/>
    <w:rsid w:val="3F6F1E0D"/>
    <w:rsid w:val="3FECFD08"/>
    <w:rsid w:val="3FEFCE8B"/>
    <w:rsid w:val="407707ED"/>
    <w:rsid w:val="409A0980"/>
    <w:rsid w:val="413C28E6"/>
    <w:rsid w:val="41933A6D"/>
    <w:rsid w:val="435C3CCA"/>
    <w:rsid w:val="43F81C45"/>
    <w:rsid w:val="44134CD1"/>
    <w:rsid w:val="45A85719"/>
    <w:rsid w:val="460056FF"/>
    <w:rsid w:val="467B090B"/>
    <w:rsid w:val="467B2000"/>
    <w:rsid w:val="46BA1434"/>
    <w:rsid w:val="46C867E3"/>
    <w:rsid w:val="47B51DF7"/>
    <w:rsid w:val="47C4007E"/>
    <w:rsid w:val="47EC7D13"/>
    <w:rsid w:val="480E5DC5"/>
    <w:rsid w:val="486E0AE4"/>
    <w:rsid w:val="488241D3"/>
    <w:rsid w:val="48A87371"/>
    <w:rsid w:val="48C51343"/>
    <w:rsid w:val="49351245"/>
    <w:rsid w:val="49A63EF1"/>
    <w:rsid w:val="49D37AE3"/>
    <w:rsid w:val="49E859DE"/>
    <w:rsid w:val="4A317C5F"/>
    <w:rsid w:val="4A82670C"/>
    <w:rsid w:val="4D0C69C4"/>
    <w:rsid w:val="4E594DBE"/>
    <w:rsid w:val="4E604FB7"/>
    <w:rsid w:val="4F270DAC"/>
    <w:rsid w:val="4F8317E5"/>
    <w:rsid w:val="50083210"/>
    <w:rsid w:val="503C110B"/>
    <w:rsid w:val="5053009C"/>
    <w:rsid w:val="50834F8C"/>
    <w:rsid w:val="50EF2622"/>
    <w:rsid w:val="51F31380"/>
    <w:rsid w:val="525C7843"/>
    <w:rsid w:val="52841AC9"/>
    <w:rsid w:val="52CA6EA2"/>
    <w:rsid w:val="52DD4E28"/>
    <w:rsid w:val="5321350E"/>
    <w:rsid w:val="537155BE"/>
    <w:rsid w:val="54302D35"/>
    <w:rsid w:val="549E50EA"/>
    <w:rsid w:val="54A13C33"/>
    <w:rsid w:val="54B03E76"/>
    <w:rsid w:val="54CA318A"/>
    <w:rsid w:val="567F42CB"/>
    <w:rsid w:val="56D972D3"/>
    <w:rsid w:val="575916E1"/>
    <w:rsid w:val="57CE2F91"/>
    <w:rsid w:val="58D37144"/>
    <w:rsid w:val="592C0305"/>
    <w:rsid w:val="59A54F8D"/>
    <w:rsid w:val="59B9557B"/>
    <w:rsid w:val="59CD1026"/>
    <w:rsid w:val="59CFD37B"/>
    <w:rsid w:val="5A62E884"/>
    <w:rsid w:val="5B0E18F6"/>
    <w:rsid w:val="5B44356A"/>
    <w:rsid w:val="5BD74C6E"/>
    <w:rsid w:val="5C2A2C03"/>
    <w:rsid w:val="5C353EBF"/>
    <w:rsid w:val="5C621642"/>
    <w:rsid w:val="5C6739B4"/>
    <w:rsid w:val="5CBEFEA6"/>
    <w:rsid w:val="5CEA2D08"/>
    <w:rsid w:val="5D7FE189"/>
    <w:rsid w:val="5DF9688E"/>
    <w:rsid w:val="5ECF1858"/>
    <w:rsid w:val="5F2B7CAD"/>
    <w:rsid w:val="5F6D9866"/>
    <w:rsid w:val="5F8108E9"/>
    <w:rsid w:val="5F8C3C9B"/>
    <w:rsid w:val="5FBE7A5D"/>
    <w:rsid w:val="5FF78219"/>
    <w:rsid w:val="5FF792C2"/>
    <w:rsid w:val="61941A72"/>
    <w:rsid w:val="62465E1A"/>
    <w:rsid w:val="636649C5"/>
    <w:rsid w:val="639037F0"/>
    <w:rsid w:val="64813139"/>
    <w:rsid w:val="64CE2822"/>
    <w:rsid w:val="64E77440"/>
    <w:rsid w:val="651F5851"/>
    <w:rsid w:val="65A329BF"/>
    <w:rsid w:val="65B853A7"/>
    <w:rsid w:val="65F77B57"/>
    <w:rsid w:val="668D780A"/>
    <w:rsid w:val="67671B21"/>
    <w:rsid w:val="67EB9A5D"/>
    <w:rsid w:val="689D17DC"/>
    <w:rsid w:val="68F55EA4"/>
    <w:rsid w:val="694E3CA7"/>
    <w:rsid w:val="69937775"/>
    <w:rsid w:val="69CF2B72"/>
    <w:rsid w:val="69FD14B4"/>
    <w:rsid w:val="6A260A0B"/>
    <w:rsid w:val="6B546299"/>
    <w:rsid w:val="6B7E6624"/>
    <w:rsid w:val="6BC54C1E"/>
    <w:rsid w:val="6C613F7C"/>
    <w:rsid w:val="6D4D62AE"/>
    <w:rsid w:val="6E866D73"/>
    <w:rsid w:val="6F2D61CF"/>
    <w:rsid w:val="6FEB607C"/>
    <w:rsid w:val="6FF798F5"/>
    <w:rsid w:val="70877D29"/>
    <w:rsid w:val="70C9377E"/>
    <w:rsid w:val="711175E9"/>
    <w:rsid w:val="7187CE65"/>
    <w:rsid w:val="71B460C4"/>
    <w:rsid w:val="72A11576"/>
    <w:rsid w:val="73891F2F"/>
    <w:rsid w:val="738E13CF"/>
    <w:rsid w:val="73C45F33"/>
    <w:rsid w:val="747032DC"/>
    <w:rsid w:val="74717F29"/>
    <w:rsid w:val="747F7F91"/>
    <w:rsid w:val="750556C0"/>
    <w:rsid w:val="75163B3A"/>
    <w:rsid w:val="754B7577"/>
    <w:rsid w:val="75894543"/>
    <w:rsid w:val="75A1188D"/>
    <w:rsid w:val="75F71914"/>
    <w:rsid w:val="76326989"/>
    <w:rsid w:val="76CE987D"/>
    <w:rsid w:val="76FF746E"/>
    <w:rsid w:val="770D00AA"/>
    <w:rsid w:val="77100A78"/>
    <w:rsid w:val="776B7FDC"/>
    <w:rsid w:val="77EEF41B"/>
    <w:rsid w:val="78C7160B"/>
    <w:rsid w:val="78DF9309"/>
    <w:rsid w:val="791365FE"/>
    <w:rsid w:val="796432FD"/>
    <w:rsid w:val="796D53DD"/>
    <w:rsid w:val="79FDF194"/>
    <w:rsid w:val="7B1C4C50"/>
    <w:rsid w:val="7B5E7E1A"/>
    <w:rsid w:val="7B5F5B2A"/>
    <w:rsid w:val="7B7535A0"/>
    <w:rsid w:val="7B76A614"/>
    <w:rsid w:val="7BF6C32B"/>
    <w:rsid w:val="7C273E08"/>
    <w:rsid w:val="7C765821"/>
    <w:rsid w:val="7CFC6D62"/>
    <w:rsid w:val="7D0D15B6"/>
    <w:rsid w:val="7D9D5F4E"/>
    <w:rsid w:val="7DAF3114"/>
    <w:rsid w:val="7DB54626"/>
    <w:rsid w:val="7DE67D20"/>
    <w:rsid w:val="7E0D5D12"/>
    <w:rsid w:val="7E6602E2"/>
    <w:rsid w:val="7EB50091"/>
    <w:rsid w:val="7EB97C47"/>
    <w:rsid w:val="7EBECE8A"/>
    <w:rsid w:val="7EBFF378"/>
    <w:rsid w:val="7ED5B533"/>
    <w:rsid w:val="7EDDFA91"/>
    <w:rsid w:val="7F3634C0"/>
    <w:rsid w:val="7F3FCE41"/>
    <w:rsid w:val="7F517E80"/>
    <w:rsid w:val="7F6DAB11"/>
    <w:rsid w:val="7F8813C8"/>
    <w:rsid w:val="7FB881D6"/>
    <w:rsid w:val="7FBF1451"/>
    <w:rsid w:val="7FC7957C"/>
    <w:rsid w:val="7FDCB3F4"/>
    <w:rsid w:val="7FEF22DB"/>
    <w:rsid w:val="7FF0EBC3"/>
    <w:rsid w:val="7FF9689A"/>
    <w:rsid w:val="7FFCDBE8"/>
    <w:rsid w:val="7FFD2F60"/>
    <w:rsid w:val="7FFF6795"/>
    <w:rsid w:val="7FFFB1A6"/>
    <w:rsid w:val="7FFFB787"/>
    <w:rsid w:val="7FFFF025"/>
    <w:rsid w:val="9F5A0916"/>
    <w:rsid w:val="9FFB14BD"/>
    <w:rsid w:val="ADFF3DAE"/>
    <w:rsid w:val="AFA7825D"/>
    <w:rsid w:val="B7A3117E"/>
    <w:rsid w:val="BAB6EA2B"/>
    <w:rsid w:val="BBFA72FE"/>
    <w:rsid w:val="BDBEF7FF"/>
    <w:rsid w:val="BE6F0FDE"/>
    <w:rsid w:val="BEAB1549"/>
    <w:rsid w:val="BF3B1934"/>
    <w:rsid w:val="BFFA6991"/>
    <w:rsid w:val="CABE03F5"/>
    <w:rsid w:val="CE7DB5EF"/>
    <w:rsid w:val="CF7F1449"/>
    <w:rsid w:val="D5FD439B"/>
    <w:rsid w:val="D7C7CA1A"/>
    <w:rsid w:val="DABF1E9D"/>
    <w:rsid w:val="DAFFFCBC"/>
    <w:rsid w:val="DDFA3BC0"/>
    <w:rsid w:val="DEAF1833"/>
    <w:rsid w:val="DEF87C77"/>
    <w:rsid w:val="DF5E9617"/>
    <w:rsid w:val="DFA9FDD1"/>
    <w:rsid w:val="DFEF9599"/>
    <w:rsid w:val="DFFA7988"/>
    <w:rsid w:val="DFFE6A60"/>
    <w:rsid w:val="DFFF1D32"/>
    <w:rsid w:val="E37D1C7A"/>
    <w:rsid w:val="E3D734B2"/>
    <w:rsid w:val="E3FC8D9F"/>
    <w:rsid w:val="E7F981DB"/>
    <w:rsid w:val="EBF54C13"/>
    <w:rsid w:val="EDF753FC"/>
    <w:rsid w:val="EE7FE288"/>
    <w:rsid w:val="EEDF3CDC"/>
    <w:rsid w:val="EEEDAB1C"/>
    <w:rsid w:val="EF9FD41D"/>
    <w:rsid w:val="EFEC91AC"/>
    <w:rsid w:val="EFEEDC04"/>
    <w:rsid w:val="EFFA2D8A"/>
    <w:rsid w:val="EFFF2263"/>
    <w:rsid w:val="F17C3765"/>
    <w:rsid w:val="F18F96A3"/>
    <w:rsid w:val="F67D6526"/>
    <w:rsid w:val="F6F7D6EE"/>
    <w:rsid w:val="F7DB64E1"/>
    <w:rsid w:val="F7F57F58"/>
    <w:rsid w:val="F7F71E2A"/>
    <w:rsid w:val="F7FFD330"/>
    <w:rsid w:val="F9EAF647"/>
    <w:rsid w:val="FAFEC3E8"/>
    <w:rsid w:val="FBB5D8FF"/>
    <w:rsid w:val="FBBB4D52"/>
    <w:rsid w:val="FBFA97B0"/>
    <w:rsid w:val="FCFE213F"/>
    <w:rsid w:val="FD7F9472"/>
    <w:rsid w:val="FD9DE67F"/>
    <w:rsid w:val="FDFDE36F"/>
    <w:rsid w:val="FDFF9887"/>
    <w:rsid w:val="FE77EFE4"/>
    <w:rsid w:val="FE7F6F21"/>
    <w:rsid w:val="FE7F9835"/>
    <w:rsid w:val="FEDFE368"/>
    <w:rsid w:val="FEF79994"/>
    <w:rsid w:val="FEFEB4D4"/>
    <w:rsid w:val="FF5367AA"/>
    <w:rsid w:val="FF6EB67C"/>
    <w:rsid w:val="FFB7ED88"/>
    <w:rsid w:val="FFBE5C7B"/>
    <w:rsid w:val="FFCFA3D1"/>
    <w:rsid w:val="FFE4009F"/>
    <w:rsid w:val="FFEE4F6D"/>
    <w:rsid w:val="FFF97E70"/>
    <w:rsid w:val="FFFF452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/>
      <w:autoSpaceDN/>
      <w:snapToGrid/>
      <w:spacing w:line="360" w:lineRule="auto"/>
      <w:ind w:firstLine="200" w:firstLineChars="200"/>
    </w:pPr>
    <w:rPr>
      <w:rFonts w:eastAsia="宋体" w:asciiTheme="minorHAnsi" w:hAnsiTheme="minorHAnsi" w:cstheme="minorBidi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0"/>
    <w:qFormat/>
    <w:uiPriority w:val="9"/>
    <w:pPr>
      <w:keepNext/>
      <w:keepLines/>
      <w:numPr>
        <w:ilvl w:val="0"/>
        <w:numId w:val="1"/>
      </w:numPr>
      <w:autoSpaceDE/>
      <w:autoSpaceDN/>
      <w:snapToGrid/>
      <w:spacing w:before="340" w:after="330" w:line="578" w:lineRule="auto"/>
      <w:outlineLvl w:val="0"/>
    </w:pPr>
    <w:rPr>
      <w:rFonts w:ascii="宋体" w:hAnsi="宋体" w:eastAsia="宋体" w:cstheme="minorBidi"/>
      <w:b/>
      <w:bCs/>
      <w:kern w:val="44"/>
      <w:sz w:val="24"/>
      <w:szCs w:val="44"/>
      <w:lang w:val="en-US" w:eastAsia="zh-CN" w:bidi="ar-SA"/>
    </w:rPr>
  </w:style>
  <w:style w:type="paragraph" w:styleId="3">
    <w:name w:val="heading 2"/>
    <w:basedOn w:val="1"/>
    <w:next w:val="1"/>
    <w:link w:val="23"/>
    <w:unhideWhenUsed/>
    <w:qFormat/>
    <w:uiPriority w:val="9"/>
    <w:pPr>
      <w:keepNext/>
      <w:keepLines/>
      <w:numPr>
        <w:ilvl w:val="1"/>
        <w:numId w:val="1"/>
      </w:numPr>
      <w:spacing w:before="260" w:after="260" w:line="415" w:lineRule="auto"/>
      <w:ind w:firstLineChars="0"/>
      <w:outlineLvl w:val="1"/>
    </w:pPr>
    <w:rPr>
      <w:rFonts w:ascii="宋体" w:hAnsi="宋体" w:cstheme="majorBidi"/>
      <w:b/>
      <w:bCs/>
      <w:szCs w:val="32"/>
    </w:rPr>
  </w:style>
  <w:style w:type="paragraph" w:styleId="4">
    <w:name w:val="heading 3"/>
    <w:basedOn w:val="1"/>
    <w:next w:val="1"/>
    <w:link w:val="31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firstLineChars="0"/>
      <w:outlineLvl w:val="2"/>
    </w:pPr>
    <w:rPr>
      <w:b/>
      <w:bCs/>
      <w:szCs w:val="32"/>
    </w:rPr>
  </w:style>
  <w:style w:type="paragraph" w:styleId="5">
    <w:name w:val="heading 4"/>
    <w:basedOn w:val="4"/>
    <w:next w:val="6"/>
    <w:link w:val="27"/>
    <w:unhideWhenUsed/>
    <w:qFormat/>
    <w:uiPriority w:val="9"/>
    <w:pPr>
      <w:keepNext/>
      <w:keepLines/>
      <w:numPr>
        <w:ilvl w:val="3"/>
        <w:numId w:val="1"/>
      </w:numPr>
      <w:spacing w:before="280" w:after="290" w:line="377" w:lineRule="auto"/>
      <w:ind w:left="0" w:firstLine="0" w:firstLineChars="0"/>
      <w:outlineLvl w:val="3"/>
    </w:pPr>
    <w:rPr>
      <w:rFonts w:asciiTheme="majorAscii" w:hAnsiTheme="majorAscii" w:eastAsiaTheme="majorEastAsia" w:cstheme="majorBidi"/>
      <w:sz w:val="21"/>
      <w:szCs w:val="28"/>
    </w:rPr>
  </w:style>
  <w:style w:type="paragraph" w:styleId="7">
    <w:name w:val="heading 5"/>
    <w:basedOn w:val="1"/>
    <w:next w:val="6"/>
    <w:link w:val="22"/>
    <w:semiHidden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ind w:firstLine="0" w:firstLineChars="0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2"/>
    <w:semiHidden/>
    <w:unhideWhenUsed/>
    <w:qFormat/>
    <w:uiPriority w:val="9"/>
    <w:pPr>
      <w:keepNext/>
      <w:keepLines/>
      <w:numPr>
        <w:ilvl w:val="5"/>
        <w:numId w:val="2"/>
      </w:numPr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Cs w:val="24"/>
    </w:rPr>
  </w:style>
  <w:style w:type="paragraph" w:styleId="9">
    <w:name w:val="heading 7"/>
    <w:basedOn w:val="1"/>
    <w:next w:val="1"/>
    <w:link w:val="28"/>
    <w:semiHidden/>
    <w:unhideWhenUsed/>
    <w:qFormat/>
    <w:uiPriority w:val="9"/>
    <w:pPr>
      <w:keepNext/>
      <w:keepLines/>
      <w:numPr>
        <w:ilvl w:val="6"/>
        <w:numId w:val="2"/>
      </w:numPr>
      <w:spacing w:before="240" w:after="64" w:line="320" w:lineRule="auto"/>
      <w:outlineLvl w:val="6"/>
    </w:pPr>
    <w:rPr>
      <w:b/>
      <w:bCs/>
      <w:szCs w:val="24"/>
    </w:rPr>
  </w:style>
  <w:style w:type="paragraph" w:styleId="10">
    <w:name w:val="heading 8"/>
    <w:basedOn w:val="1"/>
    <w:next w:val="1"/>
    <w:link w:val="24"/>
    <w:semiHidden/>
    <w:unhideWhenUsed/>
    <w:qFormat/>
    <w:uiPriority w:val="9"/>
    <w:pPr>
      <w:keepNext/>
      <w:keepLines/>
      <w:numPr>
        <w:ilvl w:val="7"/>
        <w:numId w:val="2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Cs w:val="24"/>
    </w:rPr>
  </w:style>
  <w:style w:type="paragraph" w:styleId="11">
    <w:name w:val="heading 9"/>
    <w:basedOn w:val="1"/>
    <w:next w:val="1"/>
    <w:link w:val="21"/>
    <w:semiHidden/>
    <w:unhideWhenUsed/>
    <w:qFormat/>
    <w:uiPriority w:val="9"/>
    <w:pPr>
      <w:keepNext/>
      <w:keepLines/>
      <w:numPr>
        <w:ilvl w:val="8"/>
        <w:numId w:val="2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 w:val="21"/>
      <w:szCs w:val="21"/>
    </w:rPr>
  </w:style>
  <w:style w:type="character" w:default="1" w:styleId="17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Body"/>
    <w:basedOn w:val="1"/>
    <w:qFormat/>
    <w:uiPriority w:val="0"/>
    <w:pPr>
      <w:widowControl/>
      <w:tabs>
        <w:tab w:val="left" w:pos="1247"/>
      </w:tabs>
      <w:spacing w:before="120" w:line="288" w:lineRule="auto"/>
      <w:ind w:left="1247"/>
    </w:pPr>
    <w:rPr>
      <w:rFonts w:ascii="Arial" w:hAnsi="Arial"/>
      <w:kern w:val="0"/>
      <w:szCs w:val="21"/>
      <w:lang w:eastAsia="en-US"/>
    </w:rPr>
  </w:style>
  <w:style w:type="paragraph" w:styleId="12">
    <w:name w:val="annotation text"/>
    <w:basedOn w:val="1"/>
    <w:unhideWhenUsed/>
    <w:qFormat/>
    <w:uiPriority w:val="99"/>
    <w:pPr>
      <w:widowControl w:val="0"/>
      <w:spacing w:line="360" w:lineRule="auto"/>
      <w:ind w:firstLine="200" w:firstLineChars="200"/>
    </w:pPr>
    <w:rPr>
      <w:rFonts w:asciiTheme="minorHAnsi" w:hAnsiTheme="minorHAnsi" w:cstheme="minorBidi"/>
      <w:kern w:val="2"/>
      <w:szCs w:val="22"/>
    </w:rPr>
  </w:style>
  <w:style w:type="paragraph" w:styleId="13">
    <w:name w:val="footer"/>
    <w:basedOn w:val="1"/>
    <w:link w:val="2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4">
    <w:name w:val="header"/>
    <w:basedOn w:val="1"/>
    <w:link w:val="3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5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8">
    <w:name w:val="Strong"/>
    <w:basedOn w:val="17"/>
    <w:qFormat/>
    <w:uiPriority w:val="22"/>
    <w:rPr>
      <w:b/>
    </w:rPr>
  </w:style>
  <w:style w:type="character" w:styleId="19">
    <w:name w:val="Hyperlink"/>
    <w:basedOn w:val="17"/>
    <w:semiHidden/>
    <w:unhideWhenUsed/>
    <w:qFormat/>
    <w:uiPriority w:val="99"/>
    <w:rPr>
      <w:color w:val="0000FF"/>
      <w:u w:val="single"/>
    </w:rPr>
  </w:style>
  <w:style w:type="character" w:customStyle="1" w:styleId="20">
    <w:name w:val="标题 1 字符"/>
    <w:basedOn w:val="17"/>
    <w:link w:val="2"/>
    <w:qFormat/>
    <w:uiPriority w:val="9"/>
    <w:rPr>
      <w:rFonts w:ascii="宋体" w:hAnsi="宋体" w:eastAsia="宋体"/>
      <w:b/>
      <w:bCs/>
      <w:kern w:val="44"/>
      <w:sz w:val="24"/>
      <w:szCs w:val="44"/>
    </w:rPr>
  </w:style>
  <w:style w:type="character" w:customStyle="1" w:styleId="21">
    <w:name w:val="标题 9 字符"/>
    <w:basedOn w:val="17"/>
    <w:link w:val="11"/>
    <w:semiHidden/>
    <w:qFormat/>
    <w:uiPriority w:val="9"/>
    <w:rPr>
      <w:rFonts w:asciiTheme="majorHAnsi" w:hAnsiTheme="majorHAnsi" w:eastAsiaTheme="majorEastAsia" w:cstheme="majorBidi"/>
      <w:szCs w:val="21"/>
    </w:rPr>
  </w:style>
  <w:style w:type="character" w:customStyle="1" w:styleId="22">
    <w:name w:val="标题 5 字符"/>
    <w:basedOn w:val="17"/>
    <w:link w:val="7"/>
    <w:semiHidden/>
    <w:qFormat/>
    <w:uiPriority w:val="9"/>
    <w:rPr>
      <w:rFonts w:eastAsia="宋体"/>
      <w:b/>
      <w:bCs/>
      <w:sz w:val="28"/>
      <w:szCs w:val="28"/>
    </w:rPr>
  </w:style>
  <w:style w:type="character" w:customStyle="1" w:styleId="23">
    <w:name w:val="标题 2 字符"/>
    <w:basedOn w:val="17"/>
    <w:link w:val="3"/>
    <w:qFormat/>
    <w:uiPriority w:val="9"/>
    <w:rPr>
      <w:rFonts w:ascii="宋体" w:hAnsi="宋体" w:eastAsia="宋体" w:cstheme="majorBidi"/>
      <w:b/>
      <w:bCs/>
      <w:sz w:val="24"/>
      <w:szCs w:val="32"/>
    </w:rPr>
  </w:style>
  <w:style w:type="character" w:customStyle="1" w:styleId="24">
    <w:name w:val="标题 8 字符"/>
    <w:basedOn w:val="17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25">
    <w:name w:val="页脚 字符"/>
    <w:basedOn w:val="17"/>
    <w:link w:val="13"/>
    <w:qFormat/>
    <w:uiPriority w:val="99"/>
    <w:rPr>
      <w:rFonts w:eastAsia="宋体"/>
      <w:sz w:val="18"/>
      <w:szCs w:val="18"/>
    </w:rPr>
  </w:style>
  <w:style w:type="paragraph" w:styleId="26">
    <w:name w:val="List Paragraph"/>
    <w:basedOn w:val="1"/>
    <w:qFormat/>
    <w:uiPriority w:val="34"/>
    <w:pPr>
      <w:ind w:firstLine="420"/>
    </w:pPr>
  </w:style>
  <w:style w:type="character" w:customStyle="1" w:styleId="27">
    <w:name w:val="标题 4 字符"/>
    <w:basedOn w:val="17"/>
    <w:link w:val="5"/>
    <w:semiHidden/>
    <w:qFormat/>
    <w:uiPriority w:val="9"/>
    <w:rPr>
      <w:rFonts w:asciiTheme="majorAscii" w:hAnsiTheme="majorAscii" w:eastAsiaTheme="majorEastAsia" w:cstheme="majorBidi"/>
      <w:b/>
      <w:bCs/>
      <w:sz w:val="21"/>
      <w:szCs w:val="28"/>
    </w:rPr>
  </w:style>
  <w:style w:type="character" w:customStyle="1" w:styleId="28">
    <w:name w:val="标题 7 字符"/>
    <w:basedOn w:val="17"/>
    <w:link w:val="9"/>
    <w:semiHidden/>
    <w:qFormat/>
    <w:uiPriority w:val="9"/>
    <w:rPr>
      <w:rFonts w:eastAsia="宋体"/>
      <w:b/>
      <w:bCs/>
      <w:sz w:val="24"/>
      <w:szCs w:val="24"/>
    </w:rPr>
  </w:style>
  <w:style w:type="paragraph" w:customStyle="1" w:styleId="29">
    <w:name w:val="表格文本"/>
    <w:qFormat/>
    <w:uiPriority w:val="0"/>
    <w:pPr>
      <w:tabs>
        <w:tab w:val="decimal" w:pos="0"/>
      </w:tabs>
      <w:autoSpaceDE/>
      <w:autoSpaceDN/>
      <w:snapToGrid/>
    </w:pPr>
    <w:rPr>
      <w:rFonts w:ascii="Arial" w:hAnsi="Arial" w:eastAsia="宋体" w:cs="Times New Roman"/>
      <w:kern w:val="2"/>
      <w:sz w:val="21"/>
      <w:szCs w:val="21"/>
      <w:lang w:val="en-US" w:eastAsia="zh-CN" w:bidi="ar-SA"/>
    </w:rPr>
  </w:style>
  <w:style w:type="character" w:customStyle="1" w:styleId="30">
    <w:name w:val="页眉 字符"/>
    <w:basedOn w:val="17"/>
    <w:link w:val="14"/>
    <w:qFormat/>
    <w:uiPriority w:val="99"/>
    <w:rPr>
      <w:rFonts w:eastAsia="宋体"/>
      <w:sz w:val="18"/>
      <w:szCs w:val="18"/>
    </w:rPr>
  </w:style>
  <w:style w:type="character" w:customStyle="1" w:styleId="31">
    <w:name w:val="标题 3 字符"/>
    <w:basedOn w:val="17"/>
    <w:link w:val="4"/>
    <w:qFormat/>
    <w:uiPriority w:val="9"/>
    <w:rPr>
      <w:rFonts w:eastAsia="宋体"/>
      <w:b/>
      <w:bCs/>
      <w:sz w:val="24"/>
      <w:szCs w:val="32"/>
    </w:rPr>
  </w:style>
  <w:style w:type="character" w:customStyle="1" w:styleId="32">
    <w:name w:val="标题 6 字符"/>
    <w:basedOn w:val="17"/>
    <w:link w:val="8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customXml" Target="../customXml/item1.xml"/><Relationship Id="rId2" Type="http://schemas.openxmlformats.org/officeDocument/2006/relationships/settings" Target="settings.xml"/><Relationship Id="rId19" Type="http://schemas.openxmlformats.org/officeDocument/2006/relationships/image" Target="media/image8.png"/><Relationship Id="rId18" Type="http://schemas.openxmlformats.org/officeDocument/2006/relationships/image" Target="media/image7.png"/><Relationship Id="rId17" Type="http://schemas.openxmlformats.org/officeDocument/2006/relationships/image" Target="media/image6.png"/><Relationship Id="rId16" Type="http://schemas.openxmlformats.org/officeDocument/2006/relationships/image" Target="media/image5.png"/><Relationship Id="rId15" Type="http://schemas.openxmlformats.org/officeDocument/2006/relationships/image" Target="media/image4.png"/><Relationship Id="rId14" Type="http://schemas.openxmlformats.org/officeDocument/2006/relationships/image" Target="media/image3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字体样式">
      <a:majorFont>
        <a:latin typeface="宋体"/>
        <a:ea typeface="宋体"/>
        <a:cs typeface=""/>
      </a:majorFont>
      <a:minorFont>
        <a:latin typeface="宋体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1988</Words>
  <Characters>2038</Characters>
  <TotalTime>12</TotalTime>
  <ScaleCrop>false</ScaleCrop>
  <LinksUpToDate>false</LinksUpToDate>
  <CharactersWithSpaces>2103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2024-12-19T15:09:00Z</dcterms:created>
  <dc:creator>王严</dc:creator>
  <cp:lastModifiedBy>wangyan</cp:lastModifiedBy>
  <dcterms:modified xsi:type="dcterms:W3CDTF">2025-12-26T01:05:55Z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eyJoZGlkIjoiOWIyMmI3MDcyZmM2NmNhNDM5Y2M0NmI1NDQzN2I3NGMifQ==</vt:lpwstr>
  </property>
  <property fmtid="{D5CDD505-2E9C-101B-9397-08002B2CF9AE}" pid="3" name="KSOProductBuildVer">
    <vt:lpwstr>2052-12.1.0.21915</vt:lpwstr>
  </property>
  <property fmtid="{D5CDD505-2E9C-101B-9397-08002B2CF9AE}" pid="4" name="ICV">
    <vt:lpwstr>5D90D6542F5642AFA8847718FCE661D2_12</vt:lpwstr>
  </property>
</Properties>
</file>