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A4B62" w14:textId="77777777" w:rsidR="009F4713" w:rsidRDefault="00DA4967">
      <w:r>
        <w:rPr>
          <w:rFonts w:ascii="Cambria" w:eastAsia="Cambria" w:hAnsi="Cambria" w:cs="Cambria"/>
          <w:b/>
          <w:color w:val="000000"/>
          <w:sz w:val="30"/>
          <w:szCs w:val="30"/>
        </w:rPr>
        <w:t>Body mass, growth and social-communication phenotypes in carriers of 16p11.2 and 22q11.2 CNVs: manuscript sections</w:t>
      </w:r>
    </w:p>
    <w:p w14:paraId="578AB9AE" w14:textId="77777777" w:rsidR="009F4713" w:rsidRDefault="00DA4967">
      <w:r>
        <w:rPr>
          <w:rFonts w:ascii="Cambria" w:eastAsia="Cambria" w:hAnsi="Cambria" w:cs="Cambria"/>
          <w:color w:val="000000"/>
          <w:sz w:val="20"/>
          <w:szCs w:val="20"/>
        </w:rPr>
        <w:t>Draft sections for insertion into the Nature Genetics manuscript, prepared 2026-10-26 (J. Sebat; analysis with Claude). Part 1, main text (target ~700 words) and the Figure 1 legend; Part 2, Methods for the main figure; Part 3, Supplementary Information (Supplementary Results, Supplementary Methods, Supplementary Figs. 1-4, Supplementary Tables 1-10). References are numbered in order of first citation and given with PubMed IDs. All numbers are provisional until the corrected growth records and new participa</w:t>
      </w:r>
      <w:r>
        <w:rPr>
          <w:rFonts w:ascii="Cambria" w:eastAsia="Cambria" w:hAnsi="Cambria" w:cs="Cambria"/>
          <w:color w:val="000000"/>
          <w:sz w:val="20"/>
          <w:szCs w:val="20"/>
        </w:rPr>
        <w:t>nts are added (see HANDOFF_2026-10-26.md); figure panel letters will be converted to lower case in the final artwork. Items marked [to confirm] need author input.</w:t>
      </w:r>
    </w:p>
    <w:p w14:paraId="00022234" w14:textId="77777777" w:rsidR="009F4713" w:rsidRDefault="00DA4967">
      <w:r>
        <w:br w:type="page"/>
      </w:r>
    </w:p>
    <w:p w14:paraId="6CE6DE22" w14:textId="77777777" w:rsidR="009F4713" w:rsidRDefault="00DA4967" w:rsidP="00356462">
      <w:pPr>
        <w:pStyle w:val="Heading1"/>
        <w:numPr>
          <w:ilvl w:val="0"/>
          <w:numId w:val="0"/>
        </w:numPr>
      </w:pPr>
      <w:r>
        <w:lastRenderedPageBreak/>
        <w:t>Part 1. Main text</w:t>
      </w:r>
    </w:p>
    <w:p w14:paraId="6FE4B5DC" w14:textId="77777777" w:rsidR="009F4713" w:rsidRDefault="00DA4967" w:rsidP="00356462">
      <w:pPr>
        <w:pStyle w:val="Heading2"/>
        <w:numPr>
          <w:ilvl w:val="0"/>
          <w:numId w:val="0"/>
        </w:numPr>
      </w:pPr>
      <w:r>
        <w:t>Body mass is coupled to head growth and social-communication impairment in CNV carriers</w:t>
      </w:r>
    </w:p>
    <w:p w14:paraId="3421BC1F" w14:textId="77777777" w:rsidR="009F4713" w:rsidRDefault="00DA4967">
      <w:r>
        <w:rPr>
          <w:rFonts w:ascii="Cambria" w:eastAsia="Cambria" w:hAnsi="Cambria" w:cs="Cambria"/>
          <w:color w:val="000000"/>
          <w:sz w:val="20"/>
          <w:szCs w:val="20"/>
        </w:rPr>
        <w:t>Recurrent copy-number variants (CNVs) at 16p11.2 and 22q11.2 have reciprocal effects on body mass and head size: 16p11.2 deletion carriers are prone to obesity and macrocephaly and duplication carriers to underweight and microcephaly</w:t>
      </w:r>
      <w:r>
        <w:rPr>
          <w:rFonts w:ascii="Cambria" w:eastAsia="Cambria" w:hAnsi="Cambria" w:cs="Cambria"/>
          <w:color w:val="000000"/>
          <w:sz w:val="20"/>
          <w:szCs w:val="20"/>
          <w:vertAlign w:val="superscript"/>
        </w:rPr>
        <w:t>1-3</w:t>
      </w:r>
      <w:r>
        <w:rPr>
          <w:rFonts w:ascii="Cambria" w:eastAsia="Cambria" w:hAnsi="Cambria" w:cs="Cambria"/>
          <w:color w:val="000000"/>
          <w:sz w:val="20"/>
          <w:szCs w:val="20"/>
        </w:rPr>
        <w:t>, and 22q11.2 deletion is associated with obesity in adulthood</w:t>
      </w:r>
      <w:r>
        <w:rPr>
          <w:rFonts w:ascii="Cambria" w:eastAsia="Cambria" w:hAnsi="Cambria" w:cs="Cambria"/>
          <w:color w:val="000000"/>
          <w:sz w:val="20"/>
          <w:szCs w:val="20"/>
          <w:vertAlign w:val="superscript"/>
        </w:rPr>
        <w:t>4</w:t>
      </w:r>
      <w:r>
        <w:rPr>
          <w:rFonts w:ascii="Cambria" w:eastAsia="Cambria" w:hAnsi="Cambria" w:cs="Cambria"/>
          <w:color w:val="000000"/>
          <w:sz w:val="20"/>
          <w:szCs w:val="20"/>
        </w:rPr>
        <w:t>. Whether body mass is itself coupled to growth and to the neurodevelopmental phenotype of carriers is not known. We therefore asked whether, within carriers, body mass index (BMI) is associated with height, head circumference and social-communication traits beyond the relationships seen in the general population.</w:t>
      </w:r>
    </w:p>
    <w:p w14:paraId="0D3ACD34" w14:textId="77777777" w:rsidR="009F4713" w:rsidRDefault="00DA4967">
      <w:r>
        <w:rPr>
          <w:rFonts w:ascii="Cambria" w:eastAsia="Cambria" w:hAnsi="Cambria" w:cs="Cambria"/>
          <w:color w:val="000000"/>
          <w:sz w:val="20"/>
          <w:szCs w:val="20"/>
        </w:rPr>
        <w:t>We analysed carriers of 16p11.2 (BP4-BP5) and 22q11.2 (A-D) deletions and duplications from the G2MH, Simons VIP, Simons Searchlight and Cardiff cohorts (</w:t>
      </w:r>
      <w:r>
        <w:rPr>
          <w:rFonts w:ascii="Cambria" w:eastAsia="Cambria" w:hAnsi="Cambria" w:cs="Cambria"/>
          <w:i/>
          <w:color w:val="000000"/>
          <w:sz w:val="20"/>
          <w:szCs w:val="20"/>
        </w:rPr>
        <w:t>n</w:t>
      </w:r>
      <w:r>
        <w:rPr>
          <w:rFonts w:ascii="Cambria" w:eastAsia="Cambria" w:hAnsi="Cambria" w:cs="Cambria"/>
          <w:color w:val="000000"/>
          <w:sz w:val="20"/>
          <w:szCs w:val="20"/>
        </w:rPr>
        <w:t xml:space="preserve"> = 118-358 per CNV), unaffected non-carrier relatives from the Simons Simplex Collection (SSC)</w:t>
      </w:r>
      <w:r>
        <w:rPr>
          <w:rFonts w:ascii="Cambria" w:eastAsia="Cambria" w:hAnsi="Cambria" w:cs="Cambria"/>
          <w:color w:val="000000"/>
          <w:sz w:val="20"/>
          <w:szCs w:val="20"/>
          <w:vertAlign w:val="superscript"/>
        </w:rPr>
        <w:t>5</w:t>
      </w:r>
      <w:r>
        <w:rPr>
          <w:rFonts w:ascii="Cambria" w:eastAsia="Cambria" w:hAnsi="Cambria" w:cs="Cambria"/>
          <w:color w:val="000000"/>
          <w:sz w:val="20"/>
          <w:szCs w:val="20"/>
        </w:rPr>
        <w:t xml:space="preserve"> and Simons VIP</w:t>
      </w:r>
      <w:r>
        <w:rPr>
          <w:rFonts w:ascii="Cambria" w:eastAsia="Cambria" w:hAnsi="Cambria" w:cs="Cambria"/>
          <w:color w:val="000000"/>
          <w:sz w:val="20"/>
          <w:szCs w:val="20"/>
          <w:vertAlign w:val="superscript"/>
        </w:rPr>
        <w:t>6</w:t>
      </w:r>
      <w:r>
        <w:rPr>
          <w:rFonts w:ascii="Cambria" w:eastAsia="Cambria" w:hAnsi="Cambria" w:cs="Cambria"/>
          <w:color w:val="000000"/>
          <w:sz w:val="20"/>
          <w:szCs w:val="20"/>
        </w:rPr>
        <w:t xml:space="preserve"> (</w:t>
      </w:r>
      <w:r>
        <w:rPr>
          <w:rFonts w:ascii="Cambria" w:eastAsia="Cambria" w:hAnsi="Cambria" w:cs="Cambria"/>
          <w:i/>
          <w:color w:val="000000"/>
          <w:sz w:val="20"/>
          <w:szCs w:val="20"/>
        </w:rPr>
        <w:t>n</w:t>
      </w:r>
      <w:r>
        <w:rPr>
          <w:rFonts w:ascii="Cambria" w:eastAsia="Cambria" w:hAnsi="Cambria" w:cs="Cambria"/>
          <w:color w:val="000000"/>
          <w:sz w:val="20"/>
          <w:szCs w:val="20"/>
        </w:rPr>
        <w:t xml:space="preserve"> = 5,708) and autistic SSC probands without a CNV (</w:t>
      </w:r>
      <w:r>
        <w:rPr>
          <w:rFonts w:ascii="Cambria" w:eastAsia="Cambria" w:hAnsi="Cambria" w:cs="Cambria"/>
          <w:i/>
          <w:color w:val="000000"/>
          <w:sz w:val="20"/>
          <w:szCs w:val="20"/>
        </w:rPr>
        <w:t>n</w:t>
      </w:r>
      <w:r>
        <w:rPr>
          <w:rFonts w:ascii="Cambria" w:eastAsia="Cambria" w:hAnsi="Cambria" w:cs="Cambria"/>
          <w:color w:val="000000"/>
          <w:sz w:val="20"/>
          <w:szCs w:val="20"/>
        </w:rPr>
        <w:t xml:space="preserve"> = 2,074). Height, head circumference and BMI were expressed as age- and sex-standardized </w:t>
      </w:r>
      <w:r>
        <w:rPr>
          <w:rFonts w:ascii="Cambria" w:eastAsia="Cambria" w:hAnsi="Cambria" w:cs="Cambria"/>
          <w:i/>
          <w:color w:val="000000"/>
          <w:sz w:val="20"/>
          <w:szCs w:val="20"/>
        </w:rPr>
        <w:t>z</w:t>
      </w:r>
      <w:r>
        <w:rPr>
          <w:rFonts w:ascii="Cambria" w:eastAsia="Cambria" w:hAnsi="Cambria" w:cs="Cambria"/>
          <w:color w:val="000000"/>
          <w:sz w:val="20"/>
          <w:szCs w:val="20"/>
        </w:rPr>
        <w:t xml:space="preserve"> scores</w:t>
      </w:r>
      <w:r>
        <w:rPr>
          <w:rFonts w:ascii="Cambria" w:eastAsia="Cambria" w:hAnsi="Cambria" w:cs="Cambria"/>
          <w:color w:val="000000"/>
          <w:sz w:val="20"/>
          <w:szCs w:val="20"/>
          <w:vertAlign w:val="superscript"/>
        </w:rPr>
        <w:t>7-9</w:t>
      </w:r>
      <w:r>
        <w:rPr>
          <w:rFonts w:ascii="Cambria" w:eastAsia="Cambria" w:hAnsi="Cambria" w:cs="Cambria"/>
          <w:color w:val="000000"/>
          <w:sz w:val="20"/>
          <w:szCs w:val="20"/>
        </w:rPr>
        <w:t xml:space="preserve"> and modelled with generalized additive models (GAMs) in which the BMI effect within each group is an age-adjusted slope (s.d. of outcome per s.d. of BMI) and the carrier-control contrast (CNV x BMI) is the age-adjusted difference in that slope (Fig. 1, Supplementary Tables 1 and 2).</w:t>
      </w:r>
    </w:p>
    <w:p w14:paraId="23DEF280" w14:textId="77777777" w:rsidR="009F4713" w:rsidRDefault="00DA4967">
      <w:r>
        <w:rPr>
          <w:rFonts w:ascii="Cambria" w:eastAsia="Cambria" w:hAnsi="Cambria" w:cs="Cambria"/>
          <w:color w:val="000000"/>
          <w:sz w:val="20"/>
          <w:szCs w:val="20"/>
        </w:rPr>
        <w:t xml:space="preserve">Height in carriers differed from controls by a constant shift (up to -0.70 s.d. in 16p11.2 deletion), but the relationship between BMI and height was the same as in controls for every CNV (CNV x BMI, </w:t>
      </w:r>
      <w:r>
        <w:rPr>
          <w:rFonts w:ascii="Cambria" w:eastAsia="Cambria" w:hAnsi="Cambria" w:cs="Cambria"/>
          <w:i/>
          <w:color w:val="000000"/>
          <w:sz w:val="20"/>
          <w:szCs w:val="20"/>
        </w:rPr>
        <w:t>P</w:t>
      </w:r>
      <w:r>
        <w:rPr>
          <w:rFonts w:ascii="Cambria" w:eastAsia="Cambria" w:hAnsi="Cambria" w:cs="Cambria"/>
          <w:color w:val="000000"/>
          <w:sz w:val="20"/>
          <w:szCs w:val="20"/>
        </w:rPr>
        <w:t xml:space="preserve"> = 0.24-0.99; Fig. 1a-e). Head circumference rose with BMI in every group, including controls (+0.36 s.d. per s.d.), and 16p11.2 deletion carriers showed an excess over this general relationship (+0.13 s.d. per s.d., s.e. 0.06, </w:t>
      </w:r>
      <w:r>
        <w:rPr>
          <w:rFonts w:ascii="Cambria" w:eastAsia="Cambria" w:hAnsi="Cambria" w:cs="Cambria"/>
          <w:i/>
          <w:color w:val="000000"/>
          <w:sz w:val="20"/>
          <w:szCs w:val="20"/>
        </w:rPr>
        <w:t>P</w:t>
      </w:r>
      <w:r>
        <w:rPr>
          <w:rFonts w:ascii="Cambria" w:eastAsia="Cambria" w:hAnsi="Cambria" w:cs="Cambria"/>
          <w:color w:val="000000"/>
          <w:sz w:val="20"/>
          <w:szCs w:val="20"/>
        </w:rPr>
        <w:t xml:space="preserve"> = 0.021; Fig. 1g). No other CNV did (</w:t>
      </w:r>
      <w:r>
        <w:rPr>
          <w:rFonts w:ascii="Cambria" w:eastAsia="Cambria" w:hAnsi="Cambria" w:cs="Cambria"/>
          <w:i/>
          <w:color w:val="000000"/>
          <w:sz w:val="20"/>
          <w:szCs w:val="20"/>
        </w:rPr>
        <w:t>P</w:t>
      </w:r>
      <w:r>
        <w:rPr>
          <w:rFonts w:ascii="Cambria" w:eastAsia="Cambria" w:hAnsi="Cambria" w:cs="Cambria"/>
          <w:color w:val="000000"/>
          <w:sz w:val="20"/>
          <w:szCs w:val="20"/>
        </w:rPr>
        <w:t xml:space="preserve"> = 0.39-0.73; heterogeneity across CNVs </w:t>
      </w:r>
      <w:r>
        <w:rPr>
          <w:rFonts w:ascii="Cambria" w:eastAsia="Cambria" w:hAnsi="Cambria" w:cs="Cambria"/>
          <w:i/>
          <w:color w:val="000000"/>
          <w:sz w:val="20"/>
          <w:szCs w:val="20"/>
        </w:rPr>
        <w:t>P</w:t>
      </w:r>
      <w:r>
        <w:rPr>
          <w:rFonts w:ascii="Cambria" w:eastAsia="Cambria" w:hAnsi="Cambria" w:cs="Cambria"/>
          <w:color w:val="000000"/>
          <w:sz w:val="20"/>
          <w:szCs w:val="20"/>
        </w:rPr>
        <w:t xml:space="preserve"> = 0.21), and the excess was also present relative to autistic SSC probands (+0.17, </w:t>
      </w:r>
      <w:r>
        <w:rPr>
          <w:rFonts w:ascii="Cambria" w:eastAsia="Cambria" w:hAnsi="Cambria" w:cs="Cambria"/>
          <w:i/>
          <w:color w:val="000000"/>
          <w:sz w:val="20"/>
          <w:szCs w:val="20"/>
        </w:rPr>
        <w:t>P</w:t>
      </w:r>
      <w:r>
        <w:rPr>
          <w:rFonts w:ascii="Cambria" w:eastAsia="Cambria" w:hAnsi="Cambria" w:cs="Cambria"/>
          <w:color w:val="000000"/>
          <w:sz w:val="20"/>
          <w:szCs w:val="20"/>
        </w:rPr>
        <w:t xml:space="preserve"> = 0.002). In longitudinal series from children, higher BMI at a visit preceded faster head growth to the next visit (pooled carriers +0.10 s.d. per s.d., </w:t>
      </w:r>
      <w:r>
        <w:rPr>
          <w:rFonts w:ascii="Cambria" w:eastAsia="Cambria" w:hAnsi="Cambria" w:cs="Cambria"/>
          <w:i/>
          <w:color w:val="000000"/>
          <w:sz w:val="20"/>
          <w:szCs w:val="20"/>
        </w:rPr>
        <w:t>P</w:t>
      </w:r>
      <w:r>
        <w:rPr>
          <w:rFonts w:ascii="Cambria" w:eastAsia="Cambria" w:hAnsi="Cambria" w:cs="Cambria"/>
          <w:color w:val="000000"/>
          <w:sz w:val="20"/>
          <w:szCs w:val="20"/>
        </w:rPr>
        <w:t xml:space="preserve"> = 6.7 x 10</w:t>
      </w:r>
      <w:r>
        <w:rPr>
          <w:rFonts w:ascii="Cambria" w:eastAsia="Cambria" w:hAnsi="Cambria" w:cs="Cambria"/>
          <w:color w:val="000000"/>
          <w:sz w:val="20"/>
          <w:szCs w:val="20"/>
          <w:vertAlign w:val="superscript"/>
        </w:rPr>
        <w:t>-4</w:t>
      </w:r>
      <w:r>
        <w:rPr>
          <w:rFonts w:ascii="Cambria" w:eastAsia="Cambria" w:hAnsi="Cambria" w:cs="Cambria"/>
          <w:color w:val="000000"/>
          <w:sz w:val="20"/>
          <w:szCs w:val="20"/>
        </w:rPr>
        <w:t xml:space="preserve">), whereas a prospective effect on height growth was confined to children under 8 years (Supplementary Fig. 1, Supplementary Table 3). Within the overgrowth CNVs (16p11.2 deletion and 22q11.2 duplication), carriers with autism had larger heads than carriers without (+0.45 s.d., </w:t>
      </w:r>
      <w:r>
        <w:rPr>
          <w:rFonts w:ascii="Cambria" w:eastAsia="Cambria" w:hAnsi="Cambria" w:cs="Cambria"/>
          <w:i/>
          <w:color w:val="000000"/>
          <w:sz w:val="20"/>
          <w:szCs w:val="20"/>
        </w:rPr>
        <w:t>P</w:t>
      </w:r>
      <w:r>
        <w:rPr>
          <w:rFonts w:ascii="Cambria" w:eastAsia="Cambria" w:hAnsi="Cambria" w:cs="Cambria"/>
          <w:color w:val="000000"/>
          <w:sz w:val="20"/>
          <w:szCs w:val="20"/>
        </w:rPr>
        <w:t xml:space="preserve"> = 0.022; </w:t>
      </w:r>
      <w:r>
        <w:rPr>
          <w:rFonts w:ascii="Cambria" w:eastAsia="Cambria" w:hAnsi="Cambria" w:cs="Cambria"/>
          <w:i/>
          <w:color w:val="000000"/>
          <w:sz w:val="20"/>
          <w:szCs w:val="20"/>
        </w:rPr>
        <w:t>P</w:t>
      </w:r>
      <w:r>
        <w:rPr>
          <w:rFonts w:ascii="Cambria" w:eastAsia="Cambria" w:hAnsi="Cambria" w:cs="Cambria"/>
          <w:color w:val="000000"/>
          <w:sz w:val="20"/>
          <w:szCs w:val="20"/>
        </w:rPr>
        <w:t xml:space="preserve"> = 0.046 versus the proband-sibling difference in the SSC), but BMI did not differ by autism status in any CNV group (Supplementary Fig. 4, Supplementary Tables 7 and 8).</w:t>
      </w:r>
    </w:p>
    <w:p w14:paraId="3B09CB3A" w14:textId="77777777" w:rsidR="009F4713" w:rsidRDefault="00DA4967">
      <w:r>
        <w:rPr>
          <w:rFonts w:ascii="Cambria" w:eastAsia="Cambria" w:hAnsi="Cambria" w:cs="Cambria"/>
          <w:color w:val="000000"/>
          <w:sz w:val="20"/>
          <w:szCs w:val="20"/>
        </w:rPr>
        <w:t>Social-communication impairment also tracked body mass in carriers. Social Responsiveness Scale (SRS)</w:t>
      </w:r>
      <w:r>
        <w:rPr>
          <w:rFonts w:ascii="Cambria" w:eastAsia="Cambria" w:hAnsi="Cambria" w:cs="Cambria"/>
          <w:color w:val="000000"/>
          <w:sz w:val="20"/>
          <w:szCs w:val="20"/>
          <w:vertAlign w:val="superscript"/>
        </w:rPr>
        <w:t>10</w:t>
      </w:r>
      <w:r>
        <w:rPr>
          <w:rFonts w:ascii="Cambria" w:eastAsia="Cambria" w:hAnsi="Cambria" w:cs="Cambria"/>
          <w:color w:val="000000"/>
          <w:sz w:val="20"/>
          <w:szCs w:val="20"/>
        </w:rPr>
        <w:t xml:space="preserve"> and Social Communication Questionnaire (SCQ)</w:t>
      </w:r>
      <w:r>
        <w:rPr>
          <w:rFonts w:ascii="Cambria" w:eastAsia="Cambria" w:hAnsi="Cambria" w:cs="Cambria"/>
          <w:color w:val="000000"/>
          <w:sz w:val="20"/>
          <w:szCs w:val="20"/>
          <w:vertAlign w:val="superscript"/>
        </w:rPr>
        <w:t>11</w:t>
      </w:r>
      <w:r>
        <w:rPr>
          <w:rFonts w:ascii="Cambria" w:eastAsia="Cambria" w:hAnsi="Cambria" w:cs="Cambria"/>
          <w:color w:val="000000"/>
          <w:sz w:val="20"/>
          <w:szCs w:val="20"/>
        </w:rPr>
        <w:t xml:space="preserve"> scores rose with BMI in carriers of every CNV, with slopes exceeding those of unaffected relatives for SCQ in all four CNVs (CNV x BMI +0.26 to +0.48 s.d. per s.d., </w:t>
      </w:r>
      <w:r>
        <w:rPr>
          <w:rFonts w:ascii="Cambria" w:eastAsia="Cambria" w:hAnsi="Cambria" w:cs="Cambria"/>
          <w:i/>
          <w:color w:val="000000"/>
          <w:sz w:val="20"/>
          <w:szCs w:val="20"/>
        </w:rPr>
        <w:t>P</w:t>
      </w:r>
      <w:r>
        <w:rPr>
          <w:rFonts w:ascii="Cambria" w:eastAsia="Cambria" w:hAnsi="Cambria" w:cs="Cambria"/>
          <w:color w:val="000000"/>
          <w:sz w:val="20"/>
          <w:szCs w:val="20"/>
        </w:rPr>
        <w:t xml:space="preserve"> &lt;= 0.034) and for SRS in three (+0.17 to +0.50, </w:t>
      </w:r>
      <w:r>
        <w:rPr>
          <w:rFonts w:ascii="Cambria" w:eastAsia="Cambria" w:hAnsi="Cambria" w:cs="Cambria"/>
          <w:i/>
          <w:color w:val="000000"/>
          <w:sz w:val="20"/>
          <w:szCs w:val="20"/>
        </w:rPr>
        <w:t>P</w:t>
      </w:r>
      <w:r>
        <w:rPr>
          <w:rFonts w:ascii="Cambria" w:eastAsia="Cambria" w:hAnsi="Cambria" w:cs="Cambria"/>
          <w:color w:val="000000"/>
          <w:sz w:val="20"/>
          <w:szCs w:val="20"/>
        </w:rPr>
        <w:t xml:space="preserve"> = 0.044 to 8.4 x 10</w:t>
      </w:r>
      <w:r>
        <w:rPr>
          <w:rFonts w:ascii="Cambria" w:eastAsia="Cambria" w:hAnsi="Cambria" w:cs="Cambria"/>
          <w:color w:val="000000"/>
          <w:sz w:val="20"/>
          <w:szCs w:val="20"/>
          <w:vertAlign w:val="superscript"/>
        </w:rPr>
        <w:t>-6</w:t>
      </w:r>
      <w:r>
        <w:rPr>
          <w:rFonts w:ascii="Cambria" w:eastAsia="Cambria" w:hAnsi="Cambria" w:cs="Cambria"/>
          <w:color w:val="000000"/>
          <w:sz w:val="20"/>
          <w:szCs w:val="20"/>
        </w:rPr>
        <w:t>; Fig. 1k-t). Pooled across CNVs the excess was +0.21 s.d. per s.d. for SRS (</w:t>
      </w:r>
      <w:r>
        <w:rPr>
          <w:rFonts w:ascii="Cambria" w:eastAsia="Cambria" w:hAnsi="Cambria" w:cs="Cambria"/>
          <w:i/>
          <w:color w:val="000000"/>
          <w:sz w:val="20"/>
          <w:szCs w:val="20"/>
        </w:rPr>
        <w:t>P</w:t>
      </w:r>
      <w:r>
        <w:rPr>
          <w:rFonts w:ascii="Cambria" w:eastAsia="Cambria" w:hAnsi="Cambria" w:cs="Cambria"/>
          <w:color w:val="000000"/>
          <w:sz w:val="20"/>
          <w:szCs w:val="20"/>
        </w:rPr>
        <w:t xml:space="preserve"> = 1.6 x 10</w:t>
      </w:r>
      <w:r>
        <w:rPr>
          <w:rFonts w:ascii="Cambria" w:eastAsia="Cambria" w:hAnsi="Cambria" w:cs="Cambria"/>
          <w:color w:val="000000"/>
          <w:sz w:val="20"/>
          <w:szCs w:val="20"/>
          <w:vertAlign w:val="superscript"/>
        </w:rPr>
        <w:t>-6</w:t>
      </w:r>
      <w:r>
        <w:rPr>
          <w:rFonts w:ascii="Cambria" w:eastAsia="Cambria" w:hAnsi="Cambria" w:cs="Cambria"/>
          <w:color w:val="000000"/>
          <w:sz w:val="20"/>
          <w:szCs w:val="20"/>
        </w:rPr>
        <w:t>) and +0.34 for SCQ (</w:t>
      </w:r>
      <w:r>
        <w:rPr>
          <w:rFonts w:ascii="Cambria" w:eastAsia="Cambria" w:hAnsi="Cambria" w:cs="Cambria"/>
          <w:i/>
          <w:color w:val="000000"/>
          <w:sz w:val="20"/>
          <w:szCs w:val="20"/>
        </w:rPr>
        <w:t>P</w:t>
      </w:r>
      <w:r>
        <w:rPr>
          <w:rFonts w:ascii="Cambria" w:eastAsia="Cambria" w:hAnsi="Cambria" w:cs="Cambria"/>
          <w:color w:val="000000"/>
          <w:sz w:val="20"/>
          <w:szCs w:val="20"/>
        </w:rPr>
        <w:t xml:space="preserve"> = 4.8 x 10</w:t>
      </w:r>
      <w:r>
        <w:rPr>
          <w:rFonts w:ascii="Cambria" w:eastAsia="Cambria" w:hAnsi="Cambria" w:cs="Cambria"/>
          <w:color w:val="000000"/>
          <w:sz w:val="20"/>
          <w:szCs w:val="20"/>
          <w:vertAlign w:val="superscript"/>
        </w:rPr>
        <w:t>-5</w:t>
      </w:r>
      <w:r>
        <w:rPr>
          <w:rFonts w:ascii="Cambria" w:eastAsia="Cambria" w:hAnsi="Cambria" w:cs="Cambria"/>
          <w:color w:val="000000"/>
          <w:sz w:val="20"/>
          <w:szCs w:val="20"/>
        </w:rPr>
        <w:t>), with no heterogeneity between CNVs (</w:t>
      </w:r>
      <w:r>
        <w:rPr>
          <w:rFonts w:ascii="Cambria" w:eastAsia="Cambria" w:hAnsi="Cambria" w:cs="Cambria"/>
          <w:i/>
          <w:color w:val="000000"/>
          <w:sz w:val="20"/>
          <w:szCs w:val="20"/>
        </w:rPr>
        <w:t>P</w:t>
      </w:r>
      <w:r>
        <w:rPr>
          <w:rFonts w:ascii="Cambria" w:eastAsia="Cambria" w:hAnsi="Cambria" w:cs="Cambria"/>
          <w:color w:val="000000"/>
          <w:sz w:val="20"/>
          <w:szCs w:val="20"/>
        </w:rPr>
        <w:t xml:space="preserve"> = 0.61 and 0.96). Neither unaffected relatives (+0.01) nor autistic SSC probands without a CNV (+0.03; </w:t>
      </w:r>
      <w:r>
        <w:rPr>
          <w:rFonts w:ascii="Cambria" w:eastAsia="Cambria" w:hAnsi="Cambria" w:cs="Cambria"/>
          <w:i/>
          <w:color w:val="000000"/>
          <w:sz w:val="20"/>
          <w:szCs w:val="20"/>
        </w:rPr>
        <w:t>P</w:t>
      </w:r>
      <w:r>
        <w:rPr>
          <w:rFonts w:ascii="Cambria" w:eastAsia="Cambria" w:hAnsi="Cambria" w:cs="Cambria"/>
          <w:color w:val="000000"/>
          <w:sz w:val="20"/>
          <w:szCs w:val="20"/>
        </w:rPr>
        <w:t xml:space="preserve"> versus relatives 0.42 and 0.79) showed any BMI slope, so the association is a property of CNV carriers rather than of autism (Supplementary Tables 2 and 10). Cognitive performance (Penn CNB) was unrelated to BMI (Supplementary Figs. 2 and 3).</w:t>
      </w:r>
    </w:p>
    <w:p w14:paraId="01C648CA" w14:textId="77777777" w:rsidR="009F4713" w:rsidRDefault="00DA4967">
      <w:r>
        <w:rPr>
          <w:rFonts w:ascii="Cambria" w:eastAsia="Cambria" w:hAnsi="Cambria" w:cs="Cambria"/>
          <w:color w:val="000000"/>
          <w:sz w:val="20"/>
          <w:szCs w:val="20"/>
        </w:rPr>
        <w:t>These associations were not explained by sex, polygenic background, medication or diagnosis. Adjusting the CNV x BMI contrasts for sex and for polygenic scores for childhood obesity, adult BMI, height and autism, singly or together, left the estimates unchanged on the same individuals, and the effects were present within each sex and within both halves of every polygenic-score distribution (Supplementary Tables 4 and 5); no adequately powered modifier x BMI interaction survived correction (Supplementary Tab</w:t>
      </w:r>
      <w:r>
        <w:rPr>
          <w:rFonts w:ascii="Cambria" w:eastAsia="Cambria" w:hAnsi="Cambria" w:cs="Cambria"/>
          <w:color w:val="000000"/>
          <w:sz w:val="20"/>
          <w:szCs w:val="20"/>
        </w:rPr>
        <w:t>le 6). Psychotropic medication (29-33% of carriers) was associated with the traits but not with BMI, and the slopes were unchanged after adjustment for medication class or restriction to unmedicated carriers (Supplementary Table 9). Together, these results show that in carriers of these CNVs body mass is coupled to head growth, specifically in 16p11.2 deletion, and to the severity of social-communication impairment across all four CNVs, in a way that is not seen in the general population or in idiopathic au</w:t>
      </w:r>
      <w:r>
        <w:rPr>
          <w:rFonts w:ascii="Cambria" w:eastAsia="Cambria" w:hAnsi="Cambria" w:cs="Cambria"/>
          <w:color w:val="000000"/>
          <w:sz w:val="20"/>
          <w:szCs w:val="20"/>
        </w:rPr>
        <w:t>tism.</w:t>
      </w:r>
    </w:p>
    <w:p w14:paraId="2EE32342" w14:textId="77777777" w:rsidR="009F4713" w:rsidRDefault="00DA4967">
      <w:r>
        <w:rPr>
          <w:rFonts w:ascii="Cambria" w:eastAsia="Cambria" w:hAnsi="Cambria" w:cs="Cambria"/>
          <w:color w:val="000000"/>
          <w:sz w:val="20"/>
          <w:szCs w:val="20"/>
        </w:rPr>
        <w:t>[Word count of the five paragraphs above: 718.]</w:t>
      </w:r>
    </w:p>
    <w:p w14:paraId="5ACC6575" w14:textId="77777777" w:rsidR="009F4713" w:rsidRDefault="00DA4967">
      <w:r>
        <w:rPr>
          <w:rFonts w:ascii="Cambria" w:eastAsia="Cambria" w:hAnsi="Cambria" w:cs="Cambria"/>
          <w:b/>
          <w:color w:val="000000"/>
          <w:sz w:val="20"/>
          <w:szCs w:val="20"/>
        </w:rPr>
        <w:t>Figure 1 | Body mass, growth and social-communication phenotypes in carriers of 16p11.2 and 22q11.2 CNVs and in unaffected relatives.</w:t>
      </w:r>
    </w:p>
    <w:p w14:paraId="6E5D191C" w14:textId="77777777" w:rsidR="009F4713" w:rsidRDefault="00DA4967">
      <w:r>
        <w:rPr>
          <w:rFonts w:ascii="Cambria" w:eastAsia="Cambria" w:hAnsi="Cambria" w:cs="Cambria"/>
          <w:b/>
          <w:color w:val="000000"/>
          <w:sz w:val="20"/>
          <w:szCs w:val="20"/>
        </w:rPr>
        <w:t>a-j</w:t>
      </w:r>
      <w:r>
        <w:rPr>
          <w:rFonts w:ascii="Cambria" w:eastAsia="Cambria" w:hAnsi="Cambria" w:cs="Cambria"/>
          <w:color w:val="000000"/>
          <w:sz w:val="20"/>
          <w:szCs w:val="20"/>
        </w:rPr>
        <w:t xml:space="preserve">, Height </w:t>
      </w:r>
      <w:r>
        <w:rPr>
          <w:rFonts w:ascii="Cambria" w:eastAsia="Cambria" w:hAnsi="Cambria" w:cs="Cambria"/>
          <w:i/>
          <w:color w:val="000000"/>
          <w:sz w:val="20"/>
          <w:szCs w:val="20"/>
        </w:rPr>
        <w:t>z</w:t>
      </w:r>
      <w:r>
        <w:rPr>
          <w:rFonts w:ascii="Cambria" w:eastAsia="Cambria" w:hAnsi="Cambria" w:cs="Cambria"/>
          <w:color w:val="000000"/>
          <w:sz w:val="20"/>
          <w:szCs w:val="20"/>
        </w:rPr>
        <w:t xml:space="preserve"> score (WHO; </w:t>
      </w:r>
      <w:r>
        <w:rPr>
          <w:rFonts w:ascii="Cambria" w:eastAsia="Cambria" w:hAnsi="Cambria" w:cs="Cambria"/>
          <w:b/>
          <w:color w:val="000000"/>
          <w:sz w:val="20"/>
          <w:szCs w:val="20"/>
        </w:rPr>
        <w:t>a-e</w:t>
      </w:r>
      <w:r>
        <w:rPr>
          <w:rFonts w:ascii="Cambria" w:eastAsia="Cambria" w:hAnsi="Cambria" w:cs="Cambria"/>
          <w:color w:val="000000"/>
          <w:sz w:val="20"/>
          <w:szCs w:val="20"/>
        </w:rPr>
        <w:t xml:space="preserve">) and head-circumference </w:t>
      </w:r>
      <w:r>
        <w:rPr>
          <w:rFonts w:ascii="Cambria" w:eastAsia="Cambria" w:hAnsi="Cambria" w:cs="Cambria"/>
          <w:i/>
          <w:color w:val="000000"/>
          <w:sz w:val="20"/>
          <w:szCs w:val="20"/>
        </w:rPr>
        <w:t>z</w:t>
      </w:r>
      <w:r>
        <w:rPr>
          <w:rFonts w:ascii="Cambria" w:eastAsia="Cambria" w:hAnsi="Cambria" w:cs="Cambria"/>
          <w:color w:val="000000"/>
          <w:sz w:val="20"/>
          <w:szCs w:val="20"/>
        </w:rPr>
        <w:t xml:space="preserve"> score (UK90; </w:t>
      </w:r>
      <w:r>
        <w:rPr>
          <w:rFonts w:ascii="Cambria" w:eastAsia="Cambria" w:hAnsi="Cambria" w:cs="Cambria"/>
          <w:b/>
          <w:color w:val="000000"/>
          <w:sz w:val="20"/>
          <w:szCs w:val="20"/>
        </w:rPr>
        <w:t>f-j</w:t>
      </w:r>
      <w:r>
        <w:rPr>
          <w:rFonts w:ascii="Cambria" w:eastAsia="Cambria" w:hAnsi="Cambria" w:cs="Cambria"/>
          <w:color w:val="000000"/>
          <w:sz w:val="20"/>
          <w:szCs w:val="20"/>
        </w:rPr>
        <w:t>) against age in unaffected non-carrier relatives (</w:t>
      </w:r>
      <w:r>
        <w:rPr>
          <w:rFonts w:ascii="Cambria" w:eastAsia="Cambria" w:hAnsi="Cambria" w:cs="Cambria"/>
          <w:b/>
          <w:color w:val="000000"/>
          <w:sz w:val="20"/>
          <w:szCs w:val="20"/>
        </w:rPr>
        <w:t>a</w:t>
      </w:r>
      <w:r>
        <w:rPr>
          <w:rFonts w:ascii="Cambria" w:eastAsia="Cambria" w:hAnsi="Cambria" w:cs="Cambria"/>
          <w:color w:val="000000"/>
          <w:sz w:val="20"/>
          <w:szCs w:val="20"/>
        </w:rPr>
        <w:t>,</w:t>
      </w:r>
      <w:r>
        <w:rPr>
          <w:rFonts w:ascii="Cambria" w:eastAsia="Cambria" w:hAnsi="Cambria" w:cs="Cambria"/>
          <w:b/>
          <w:color w:val="000000"/>
          <w:sz w:val="20"/>
          <w:szCs w:val="20"/>
        </w:rPr>
        <w:t>f</w:t>
      </w:r>
      <w:r>
        <w:rPr>
          <w:rFonts w:ascii="Cambria" w:eastAsia="Cambria" w:hAnsi="Cambria" w:cs="Cambria"/>
          <w:color w:val="000000"/>
          <w:sz w:val="20"/>
          <w:szCs w:val="20"/>
        </w:rPr>
        <w:t>; SSC designated siblings and parents and Simons VIP non-carrier family members without autism) and in carriers of 16p11.2 deletion (</w:t>
      </w:r>
      <w:r>
        <w:rPr>
          <w:rFonts w:ascii="Cambria" w:eastAsia="Cambria" w:hAnsi="Cambria" w:cs="Cambria"/>
          <w:b/>
          <w:color w:val="000000"/>
          <w:sz w:val="20"/>
          <w:szCs w:val="20"/>
        </w:rPr>
        <w:t>b</w:t>
      </w:r>
      <w:r>
        <w:rPr>
          <w:rFonts w:ascii="Cambria" w:eastAsia="Cambria" w:hAnsi="Cambria" w:cs="Cambria"/>
          <w:color w:val="000000"/>
          <w:sz w:val="20"/>
          <w:szCs w:val="20"/>
        </w:rPr>
        <w:t>,</w:t>
      </w:r>
      <w:r>
        <w:rPr>
          <w:rFonts w:ascii="Cambria" w:eastAsia="Cambria" w:hAnsi="Cambria" w:cs="Cambria"/>
          <w:b/>
          <w:color w:val="000000"/>
          <w:sz w:val="20"/>
          <w:szCs w:val="20"/>
        </w:rPr>
        <w:t>g</w:t>
      </w:r>
      <w:r>
        <w:rPr>
          <w:rFonts w:ascii="Cambria" w:eastAsia="Cambria" w:hAnsi="Cambria" w:cs="Cambria"/>
          <w:color w:val="000000"/>
          <w:sz w:val="20"/>
          <w:szCs w:val="20"/>
        </w:rPr>
        <w:t>), 16p11.2 duplication (</w:t>
      </w:r>
      <w:r>
        <w:rPr>
          <w:rFonts w:ascii="Cambria" w:eastAsia="Cambria" w:hAnsi="Cambria" w:cs="Cambria"/>
          <w:b/>
          <w:color w:val="000000"/>
          <w:sz w:val="20"/>
          <w:szCs w:val="20"/>
        </w:rPr>
        <w:t>c</w:t>
      </w:r>
      <w:r>
        <w:rPr>
          <w:rFonts w:ascii="Cambria" w:eastAsia="Cambria" w:hAnsi="Cambria" w:cs="Cambria"/>
          <w:color w:val="000000"/>
          <w:sz w:val="20"/>
          <w:szCs w:val="20"/>
        </w:rPr>
        <w:t>,</w:t>
      </w:r>
      <w:r>
        <w:rPr>
          <w:rFonts w:ascii="Cambria" w:eastAsia="Cambria" w:hAnsi="Cambria" w:cs="Cambria"/>
          <w:b/>
          <w:color w:val="000000"/>
          <w:sz w:val="20"/>
          <w:szCs w:val="20"/>
        </w:rPr>
        <w:t>h</w:t>
      </w:r>
      <w:r>
        <w:rPr>
          <w:rFonts w:ascii="Cambria" w:eastAsia="Cambria" w:hAnsi="Cambria" w:cs="Cambria"/>
          <w:color w:val="000000"/>
          <w:sz w:val="20"/>
          <w:szCs w:val="20"/>
        </w:rPr>
        <w:t>), 22q11.2 deletion (</w:t>
      </w:r>
      <w:r>
        <w:rPr>
          <w:rFonts w:ascii="Cambria" w:eastAsia="Cambria" w:hAnsi="Cambria" w:cs="Cambria"/>
          <w:b/>
          <w:color w:val="000000"/>
          <w:sz w:val="20"/>
          <w:szCs w:val="20"/>
        </w:rPr>
        <w:t>d</w:t>
      </w:r>
      <w:r>
        <w:rPr>
          <w:rFonts w:ascii="Cambria" w:eastAsia="Cambria" w:hAnsi="Cambria" w:cs="Cambria"/>
          <w:color w:val="000000"/>
          <w:sz w:val="20"/>
          <w:szCs w:val="20"/>
        </w:rPr>
        <w:t>,</w:t>
      </w:r>
      <w:r>
        <w:rPr>
          <w:rFonts w:ascii="Cambria" w:eastAsia="Cambria" w:hAnsi="Cambria" w:cs="Cambria"/>
          <w:b/>
          <w:color w:val="000000"/>
          <w:sz w:val="20"/>
          <w:szCs w:val="20"/>
        </w:rPr>
        <w:t>i</w:t>
      </w:r>
      <w:r>
        <w:rPr>
          <w:rFonts w:ascii="Cambria" w:eastAsia="Cambria" w:hAnsi="Cambria" w:cs="Cambria"/>
          <w:color w:val="000000"/>
          <w:sz w:val="20"/>
          <w:szCs w:val="20"/>
        </w:rPr>
        <w:t>) and 22q11.2 duplication (</w:t>
      </w:r>
      <w:r>
        <w:rPr>
          <w:rFonts w:ascii="Cambria" w:eastAsia="Cambria" w:hAnsi="Cambria" w:cs="Cambria"/>
          <w:b/>
          <w:color w:val="000000"/>
          <w:sz w:val="20"/>
          <w:szCs w:val="20"/>
        </w:rPr>
        <w:t>e</w:t>
      </w:r>
      <w:r>
        <w:rPr>
          <w:rFonts w:ascii="Cambria" w:eastAsia="Cambria" w:hAnsi="Cambria" w:cs="Cambria"/>
          <w:color w:val="000000"/>
          <w:sz w:val="20"/>
          <w:szCs w:val="20"/>
        </w:rPr>
        <w:t>,</w:t>
      </w:r>
      <w:r>
        <w:rPr>
          <w:rFonts w:ascii="Cambria" w:eastAsia="Cambria" w:hAnsi="Cambria" w:cs="Cambria"/>
          <w:b/>
          <w:color w:val="000000"/>
          <w:sz w:val="20"/>
          <w:szCs w:val="20"/>
        </w:rPr>
        <w:t>j</w:t>
      </w:r>
      <w:r>
        <w:rPr>
          <w:rFonts w:ascii="Cambria" w:eastAsia="Cambria" w:hAnsi="Cambria" w:cs="Cambria"/>
          <w:color w:val="000000"/>
          <w:sz w:val="20"/>
          <w:szCs w:val="20"/>
        </w:rPr>
        <w:t xml:space="preserve">), for individuals with BMI at or above the 70th centile (red) or at or below the 30th centile (teal); lines are generalized additive model (GAM) smooths with 95% confidence bands. Printed values in </w:t>
      </w:r>
      <w:r>
        <w:rPr>
          <w:rFonts w:ascii="Cambria" w:eastAsia="Cambria" w:hAnsi="Cambria" w:cs="Cambria"/>
          <w:b/>
          <w:color w:val="000000"/>
          <w:sz w:val="20"/>
          <w:szCs w:val="20"/>
        </w:rPr>
        <w:t>b-e</w:t>
      </w:r>
      <w:r>
        <w:rPr>
          <w:rFonts w:ascii="Cambria" w:eastAsia="Cambria" w:hAnsi="Cambria" w:cs="Cambria"/>
          <w:color w:val="000000"/>
          <w:sz w:val="20"/>
          <w:szCs w:val="20"/>
        </w:rPr>
        <w:t xml:space="preserve"> and </w:t>
      </w:r>
      <w:r>
        <w:rPr>
          <w:rFonts w:ascii="Cambria" w:eastAsia="Cambria" w:hAnsi="Cambria" w:cs="Cambria"/>
          <w:b/>
          <w:color w:val="000000"/>
          <w:sz w:val="20"/>
          <w:szCs w:val="20"/>
        </w:rPr>
        <w:t>g-j</w:t>
      </w:r>
      <w:r>
        <w:rPr>
          <w:rFonts w:ascii="Cambria" w:eastAsia="Cambria" w:hAnsi="Cambria" w:cs="Cambria"/>
          <w:color w:val="000000"/>
          <w:sz w:val="20"/>
          <w:szCs w:val="20"/>
        </w:rPr>
        <w:t xml:space="preserve"> are two-sided </w:t>
      </w:r>
      <w:r>
        <w:rPr>
          <w:rFonts w:ascii="Cambria" w:eastAsia="Cambria" w:hAnsi="Cambria" w:cs="Cambria"/>
          <w:i/>
          <w:color w:val="000000"/>
          <w:sz w:val="20"/>
          <w:szCs w:val="20"/>
        </w:rPr>
        <w:t>P</w:t>
      </w:r>
      <w:r>
        <w:rPr>
          <w:rFonts w:ascii="Cambria" w:eastAsia="Cambria" w:hAnsi="Cambria" w:cs="Cambria"/>
          <w:color w:val="000000"/>
          <w:sz w:val="20"/>
          <w:szCs w:val="20"/>
        </w:rPr>
        <w:t xml:space="preserve"> values from GAMs fitted to all individuals with continuous </w:t>
      </w:r>
      <w:r>
        <w:rPr>
          <w:rFonts w:ascii="Cambria" w:eastAsia="Cambria" w:hAnsi="Cambria" w:cs="Cambria"/>
          <w:color w:val="000000"/>
          <w:sz w:val="20"/>
          <w:szCs w:val="20"/>
        </w:rPr>
        <w:lastRenderedPageBreak/>
        <w:t xml:space="preserve">BMI, not only the plotted tails: CNV x BMI, the age-adjusted difference between carriers and controls in the slope of the outcome on BMI </w:t>
      </w:r>
      <w:r>
        <w:rPr>
          <w:rFonts w:ascii="Cambria" w:eastAsia="Cambria" w:hAnsi="Cambria" w:cs="Cambria"/>
          <w:i/>
          <w:color w:val="000000"/>
          <w:sz w:val="20"/>
          <w:szCs w:val="20"/>
        </w:rPr>
        <w:t>z</w:t>
      </w:r>
      <w:r>
        <w:rPr>
          <w:rFonts w:ascii="Cambria" w:eastAsia="Cambria" w:hAnsi="Cambria" w:cs="Cambria"/>
          <w:color w:val="000000"/>
          <w:sz w:val="20"/>
          <w:szCs w:val="20"/>
        </w:rPr>
        <w:t xml:space="preserve">; CNV x age x BMI, whether that difference varies with age (tensor-product interaction). </w:t>
      </w:r>
      <w:r>
        <w:rPr>
          <w:rFonts w:ascii="Cambria" w:eastAsia="Cambria" w:hAnsi="Cambria" w:cs="Cambria"/>
          <w:b/>
          <w:color w:val="000000"/>
          <w:sz w:val="20"/>
          <w:szCs w:val="20"/>
        </w:rPr>
        <w:t>k-t</w:t>
      </w:r>
      <w:r>
        <w:rPr>
          <w:rFonts w:ascii="Cambria" w:eastAsia="Cambria" w:hAnsi="Cambria" w:cs="Cambria"/>
          <w:color w:val="000000"/>
          <w:sz w:val="20"/>
          <w:szCs w:val="20"/>
        </w:rPr>
        <w:t>, SRS total (</w:t>
      </w:r>
      <w:r>
        <w:rPr>
          <w:rFonts w:ascii="Cambria" w:eastAsia="Cambria" w:hAnsi="Cambria" w:cs="Cambria"/>
          <w:i/>
          <w:color w:val="000000"/>
          <w:sz w:val="20"/>
          <w:szCs w:val="20"/>
        </w:rPr>
        <w:t>z</w:t>
      </w:r>
      <w:r>
        <w:rPr>
          <w:rFonts w:ascii="Cambria" w:eastAsia="Cambria" w:hAnsi="Cambria" w:cs="Cambria"/>
          <w:color w:val="000000"/>
          <w:sz w:val="20"/>
          <w:szCs w:val="20"/>
        </w:rPr>
        <w:t xml:space="preserve"> relative to SSC unaffected relatives; </w:t>
      </w:r>
      <w:r>
        <w:rPr>
          <w:rFonts w:ascii="Cambria" w:eastAsia="Cambria" w:hAnsi="Cambria" w:cs="Cambria"/>
          <w:b/>
          <w:color w:val="000000"/>
          <w:sz w:val="20"/>
          <w:szCs w:val="20"/>
        </w:rPr>
        <w:t>k-o</w:t>
      </w:r>
      <w:r>
        <w:rPr>
          <w:rFonts w:ascii="Cambria" w:eastAsia="Cambria" w:hAnsi="Cambria" w:cs="Cambria"/>
          <w:color w:val="000000"/>
          <w:sz w:val="20"/>
          <w:szCs w:val="20"/>
        </w:rPr>
        <w:t>) and SCQ lifetime total (</w:t>
      </w:r>
      <w:r>
        <w:rPr>
          <w:rFonts w:ascii="Cambria" w:eastAsia="Cambria" w:hAnsi="Cambria" w:cs="Cambria"/>
          <w:i/>
          <w:color w:val="000000"/>
          <w:sz w:val="20"/>
          <w:szCs w:val="20"/>
        </w:rPr>
        <w:t>z</w:t>
      </w:r>
      <w:r>
        <w:rPr>
          <w:rFonts w:ascii="Cambria" w:eastAsia="Cambria" w:hAnsi="Cambria" w:cs="Cambria"/>
          <w:color w:val="000000"/>
          <w:sz w:val="20"/>
          <w:szCs w:val="20"/>
        </w:rPr>
        <w:t xml:space="preserve"> relative to SSC siblings; </w:t>
      </w:r>
      <w:r>
        <w:rPr>
          <w:rFonts w:ascii="Cambria" w:eastAsia="Cambria" w:hAnsi="Cambria" w:cs="Cambria"/>
          <w:b/>
          <w:color w:val="000000"/>
          <w:sz w:val="20"/>
          <w:szCs w:val="20"/>
        </w:rPr>
        <w:t>p-t</w:t>
      </w:r>
      <w:r>
        <w:rPr>
          <w:rFonts w:ascii="Cambria" w:eastAsia="Cambria" w:hAnsi="Cambria" w:cs="Cambria"/>
          <w:color w:val="000000"/>
          <w:sz w:val="20"/>
          <w:szCs w:val="20"/>
        </w:rPr>
        <w:t xml:space="preserve">), adjusted for age within group, against BMI </w:t>
      </w:r>
      <w:r>
        <w:rPr>
          <w:rFonts w:ascii="Cambria" w:eastAsia="Cambria" w:hAnsi="Cambria" w:cs="Cambria"/>
          <w:i/>
          <w:color w:val="000000"/>
          <w:sz w:val="20"/>
          <w:szCs w:val="20"/>
        </w:rPr>
        <w:t>z</w:t>
      </w:r>
      <w:r>
        <w:rPr>
          <w:rFonts w:ascii="Cambria" w:eastAsia="Cambria" w:hAnsi="Cambria" w:cs="Cambria"/>
          <w:color w:val="000000"/>
          <w:sz w:val="20"/>
          <w:szCs w:val="20"/>
        </w:rPr>
        <w:t xml:space="preserve">; points are coloured by BMI tail as above (grey, 30th-70th centile); black line and band, linear fit with 95% CI; diamonds, mean +/- s.e.m. in BMI bins (&lt; -1, -1 to 0, 0 to 1, 1 to 2, &gt; 2 s.d.); dashed grey line, the fit in unaffected relatives. </w:t>
      </w:r>
      <w:r>
        <w:rPr>
          <w:rFonts w:ascii="Cambria" w:eastAsia="Cambria" w:hAnsi="Cambria" w:cs="Cambria"/>
          <w:b/>
          <w:color w:val="000000"/>
          <w:sz w:val="20"/>
          <w:szCs w:val="20"/>
        </w:rPr>
        <w:t>k</w:t>
      </w:r>
      <w:r>
        <w:rPr>
          <w:rFonts w:ascii="Cambria" w:eastAsia="Cambria" w:hAnsi="Cambria" w:cs="Cambria"/>
          <w:color w:val="000000"/>
          <w:sz w:val="20"/>
          <w:szCs w:val="20"/>
        </w:rPr>
        <w:t xml:space="preserve"> and </w:t>
      </w:r>
      <w:r>
        <w:rPr>
          <w:rFonts w:ascii="Cambria" w:eastAsia="Cambria" w:hAnsi="Cambria" w:cs="Cambria"/>
          <w:b/>
          <w:color w:val="000000"/>
          <w:sz w:val="20"/>
          <w:szCs w:val="20"/>
        </w:rPr>
        <w:t>p</w:t>
      </w:r>
      <w:r>
        <w:rPr>
          <w:rFonts w:ascii="Cambria" w:eastAsia="Cambria" w:hAnsi="Cambria" w:cs="Cambria"/>
          <w:color w:val="000000"/>
          <w:sz w:val="20"/>
          <w:szCs w:val="20"/>
        </w:rPr>
        <w:t xml:space="preserve"> also show SSC probands with autism and no CNV (black). Printed values are the within-group BMI slope (s.d. of trait per s.d. of BMI; GAM </w:t>
      </w:r>
      <w:r>
        <w:rPr>
          <w:rFonts w:ascii="Cambria" w:eastAsia="Cambria" w:hAnsi="Cambria" w:cs="Cambria"/>
          <w:i/>
          <w:color w:val="000000"/>
          <w:sz w:val="20"/>
          <w:szCs w:val="20"/>
        </w:rPr>
        <w:t>y</w:t>
      </w:r>
      <w:r>
        <w:rPr>
          <w:rFonts w:ascii="Cambria" w:eastAsia="Cambria" w:hAnsi="Cambria" w:cs="Cambria"/>
          <w:color w:val="000000"/>
          <w:sz w:val="20"/>
          <w:szCs w:val="20"/>
        </w:rPr>
        <w:t xml:space="preserve"> ~ s(age) + BMI) and the two-sided </w:t>
      </w:r>
      <w:r>
        <w:rPr>
          <w:rFonts w:ascii="Cambria" w:eastAsia="Cambria" w:hAnsi="Cambria" w:cs="Cambria"/>
          <w:i/>
          <w:color w:val="000000"/>
          <w:sz w:val="20"/>
          <w:szCs w:val="20"/>
        </w:rPr>
        <w:t>P</w:t>
      </w:r>
      <w:r>
        <w:rPr>
          <w:rFonts w:ascii="Cambria" w:eastAsia="Cambria" w:hAnsi="Cambria" w:cs="Cambria"/>
          <w:color w:val="000000"/>
          <w:sz w:val="20"/>
          <w:szCs w:val="20"/>
        </w:rPr>
        <w:t xml:space="preserve"> value for its difference from unaffected relatives (model as in </w:t>
      </w:r>
      <w:r>
        <w:rPr>
          <w:rFonts w:ascii="Cambria" w:eastAsia="Cambria" w:hAnsi="Cambria" w:cs="Cambria"/>
          <w:b/>
          <w:color w:val="000000"/>
          <w:sz w:val="20"/>
          <w:szCs w:val="20"/>
        </w:rPr>
        <w:t>a-j</w:t>
      </w:r>
      <w:r>
        <w:rPr>
          <w:rFonts w:ascii="Cambria" w:eastAsia="Cambria" w:hAnsi="Cambria" w:cs="Cambria"/>
          <w:color w:val="000000"/>
          <w:sz w:val="20"/>
          <w:szCs w:val="20"/>
        </w:rPr>
        <w:t xml:space="preserve">). Bold, nominal </w:t>
      </w:r>
      <w:r>
        <w:rPr>
          <w:rFonts w:ascii="Cambria" w:eastAsia="Cambria" w:hAnsi="Cambria" w:cs="Cambria"/>
          <w:i/>
          <w:color w:val="000000"/>
          <w:sz w:val="20"/>
          <w:szCs w:val="20"/>
        </w:rPr>
        <w:t>P</w:t>
      </w:r>
      <w:r>
        <w:rPr>
          <w:rFonts w:ascii="Cambria" w:eastAsia="Cambria" w:hAnsi="Cambria" w:cs="Cambria"/>
          <w:color w:val="000000"/>
          <w:sz w:val="20"/>
          <w:szCs w:val="20"/>
        </w:rPr>
        <w:t xml:space="preserve"> &lt; 0.05. </w:t>
      </w:r>
      <w:r>
        <w:rPr>
          <w:rFonts w:ascii="Cambria" w:eastAsia="Cambria" w:hAnsi="Cambria" w:cs="Cambria"/>
          <w:i/>
          <w:color w:val="000000"/>
          <w:sz w:val="20"/>
          <w:szCs w:val="20"/>
        </w:rPr>
        <w:t>n</w:t>
      </w:r>
      <w:r>
        <w:rPr>
          <w:rFonts w:ascii="Cambria" w:eastAsia="Cambria" w:hAnsi="Cambria" w:cs="Cambria"/>
          <w:color w:val="000000"/>
          <w:sz w:val="20"/>
          <w:szCs w:val="20"/>
        </w:rPr>
        <w:t xml:space="preserve"> (controls; 16p11.2 del, 16p11.2 dup, 22q11.2 del, 22q11.2 dup): height 5,708; 358, 199, 357, 118. Head circumference 5,680; 211, 125, 242, 92. SRS 5,486 (probands 2,065); 79, 34, 208, 67. SCQ 1,134 (probands 1,503); 60, 21, 170, 50. Heterogeneity of the age-adjusted BMI slope across the four CNV groups (Wald test of the locus x BMI interaction within carriers): height </w:t>
      </w:r>
      <w:r>
        <w:rPr>
          <w:rFonts w:ascii="Cambria" w:eastAsia="Cambria" w:hAnsi="Cambria" w:cs="Cambria"/>
          <w:i/>
          <w:color w:val="000000"/>
          <w:sz w:val="20"/>
          <w:szCs w:val="20"/>
        </w:rPr>
        <w:t>P</w:t>
      </w:r>
      <w:r>
        <w:rPr>
          <w:rFonts w:ascii="Cambria" w:eastAsia="Cambria" w:hAnsi="Cambria" w:cs="Cambria"/>
          <w:color w:val="000000"/>
          <w:sz w:val="20"/>
          <w:szCs w:val="20"/>
        </w:rPr>
        <w:t xml:space="preserve"> = 0.75, head circumference </w:t>
      </w:r>
      <w:r>
        <w:rPr>
          <w:rFonts w:ascii="Cambria" w:eastAsia="Cambria" w:hAnsi="Cambria" w:cs="Cambria"/>
          <w:i/>
          <w:color w:val="000000"/>
          <w:sz w:val="20"/>
          <w:szCs w:val="20"/>
        </w:rPr>
        <w:t>P</w:t>
      </w:r>
      <w:r>
        <w:rPr>
          <w:rFonts w:ascii="Cambria" w:eastAsia="Cambria" w:hAnsi="Cambria" w:cs="Cambria"/>
          <w:color w:val="000000"/>
          <w:sz w:val="20"/>
          <w:szCs w:val="20"/>
        </w:rPr>
        <w:t xml:space="preserve"> = 0.21, SRS </w:t>
      </w:r>
      <w:r>
        <w:rPr>
          <w:rFonts w:ascii="Cambria" w:eastAsia="Cambria" w:hAnsi="Cambria" w:cs="Cambria"/>
          <w:i/>
          <w:color w:val="000000"/>
          <w:sz w:val="20"/>
          <w:szCs w:val="20"/>
        </w:rPr>
        <w:t>P</w:t>
      </w:r>
      <w:r>
        <w:rPr>
          <w:rFonts w:ascii="Cambria" w:eastAsia="Cambria" w:hAnsi="Cambria" w:cs="Cambria"/>
          <w:color w:val="000000"/>
          <w:sz w:val="20"/>
          <w:szCs w:val="20"/>
        </w:rPr>
        <w:t xml:space="preserve"> = 0.61, SCQ </w:t>
      </w:r>
      <w:r>
        <w:rPr>
          <w:rFonts w:ascii="Cambria" w:eastAsia="Cambria" w:hAnsi="Cambria" w:cs="Cambria"/>
          <w:i/>
          <w:color w:val="000000"/>
          <w:sz w:val="20"/>
          <w:szCs w:val="20"/>
        </w:rPr>
        <w:t>P</w:t>
      </w:r>
      <w:r>
        <w:rPr>
          <w:rFonts w:ascii="Cambria" w:eastAsia="Cambria" w:hAnsi="Cambria" w:cs="Cambria"/>
          <w:color w:val="000000"/>
          <w:sz w:val="20"/>
          <w:szCs w:val="20"/>
        </w:rPr>
        <w:t xml:space="preserve"> = 0.96. BMI </w:t>
      </w:r>
      <w:r>
        <w:rPr>
          <w:rFonts w:ascii="Cambria" w:eastAsia="Cambria" w:hAnsi="Cambria" w:cs="Cambria"/>
          <w:i/>
          <w:color w:val="000000"/>
          <w:sz w:val="20"/>
          <w:szCs w:val="20"/>
        </w:rPr>
        <w:t>z</w:t>
      </w:r>
      <w:r>
        <w:rPr>
          <w:rFonts w:ascii="Cambria" w:eastAsia="Cambria" w:hAnsi="Cambria" w:cs="Cambria"/>
          <w:color w:val="000000"/>
          <w:sz w:val="20"/>
          <w:szCs w:val="20"/>
        </w:rPr>
        <w:t xml:space="preserve">: WHO for children; for adults, centile relative to the pooled non-carrier adults of the clinical cohorts mapped to </w:t>
      </w:r>
      <w:r>
        <w:rPr>
          <w:rFonts w:ascii="Cambria" w:eastAsia="Cambria" w:hAnsi="Cambria" w:cs="Cambria"/>
          <w:i/>
          <w:color w:val="000000"/>
          <w:sz w:val="20"/>
          <w:szCs w:val="20"/>
        </w:rPr>
        <w:t>z</w:t>
      </w:r>
      <w:r>
        <w:rPr>
          <w:rFonts w:ascii="Cambria" w:eastAsia="Cambria" w:hAnsi="Cambria" w:cs="Cambria"/>
          <w:color w:val="000000"/>
          <w:sz w:val="20"/>
          <w:szCs w:val="20"/>
        </w:rPr>
        <w:t xml:space="preserve">. Carriers with and without autism are combined. All tests are two-sided; no adjustment for multiple comparisons was applied to the printed </w:t>
      </w:r>
      <w:r>
        <w:rPr>
          <w:rFonts w:ascii="Cambria" w:eastAsia="Cambria" w:hAnsi="Cambria" w:cs="Cambria"/>
          <w:i/>
          <w:color w:val="000000"/>
          <w:sz w:val="20"/>
          <w:szCs w:val="20"/>
        </w:rPr>
        <w:t>P</w:t>
      </w:r>
      <w:r>
        <w:rPr>
          <w:rFonts w:ascii="Cambria" w:eastAsia="Cambria" w:hAnsi="Cambria" w:cs="Cambria"/>
          <w:color w:val="000000"/>
          <w:sz w:val="20"/>
          <w:szCs w:val="20"/>
        </w:rPr>
        <w:t xml:space="preserve"> values.</w:t>
      </w:r>
    </w:p>
    <w:p w14:paraId="04993EB0" w14:textId="77777777" w:rsidR="009F4713" w:rsidRDefault="00DA4967">
      <w:r>
        <w:rPr>
          <w:noProof/>
        </w:rPr>
        <w:drawing>
          <wp:inline distT="0" distB="0" distL="0" distR="0" wp14:anchorId="2E1A05B0" wp14:editId="3758EC95">
            <wp:extent cx="4937760" cy="63265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5"/>
                    <a:stretch>
                      <a:fillRect/>
                    </a:stretch>
                  </pic:blipFill>
                  <pic:spPr bwMode="auto">
                    <a:xfrm>
                      <a:off x="0" y="0"/>
                      <a:ext cx="4937760" cy="6326505"/>
                    </a:xfrm>
                    <a:prstGeom prst="rect">
                      <a:avLst/>
                    </a:prstGeom>
                    <a:noFill/>
                  </pic:spPr>
                </pic:pic>
              </a:graphicData>
            </a:graphic>
          </wp:inline>
        </w:drawing>
      </w:r>
    </w:p>
    <w:p w14:paraId="06068EA1" w14:textId="77777777" w:rsidR="009F4713" w:rsidRDefault="00DA4967">
      <w:r>
        <w:br w:type="page"/>
      </w:r>
    </w:p>
    <w:p w14:paraId="449A5BCD" w14:textId="77777777" w:rsidR="009F4713" w:rsidRDefault="00DA4967" w:rsidP="00356462">
      <w:pPr>
        <w:pStyle w:val="Heading1"/>
        <w:numPr>
          <w:ilvl w:val="0"/>
          <w:numId w:val="0"/>
        </w:numPr>
      </w:pPr>
      <w:r>
        <w:t>Part 2. Methods (main figure)</w:t>
      </w:r>
    </w:p>
    <w:p w14:paraId="70C0B2D8" w14:textId="77777777" w:rsidR="009F4713" w:rsidRDefault="00DA4967">
      <w:r>
        <w:rPr>
          <w:rFonts w:ascii="Cambria" w:eastAsia="Cambria" w:hAnsi="Cambria" w:cs="Cambria"/>
          <w:b/>
          <w:color w:val="000000"/>
          <w:sz w:val="20"/>
          <w:szCs w:val="20"/>
        </w:rPr>
        <w:t>Participants</w:t>
      </w:r>
    </w:p>
    <w:p w14:paraId="2B99ED79" w14:textId="77777777" w:rsidR="009F4713" w:rsidRDefault="00DA4967">
      <w:r>
        <w:rPr>
          <w:rFonts w:ascii="Cambria" w:eastAsia="Cambria" w:hAnsi="Cambria" w:cs="Cambria"/>
          <w:color w:val="000000"/>
          <w:sz w:val="20"/>
          <w:szCs w:val="20"/>
        </w:rPr>
        <w:t>Carriers of 16p11.2 proximal (BP4-BP5) deletions and duplications and 22q11.2 (LCR A-D) deletions and duplications were drawn from the Genes to Mental Health (G2MH) network, the Simons Variation in Individuals Project (Simons VIP)</w:t>
      </w:r>
      <w:r>
        <w:rPr>
          <w:rFonts w:ascii="Cambria" w:eastAsia="Cambria" w:hAnsi="Cambria" w:cs="Cambria"/>
          <w:color w:val="000000"/>
          <w:sz w:val="20"/>
          <w:szCs w:val="20"/>
          <w:vertAlign w:val="superscript"/>
        </w:rPr>
        <w:t>6</w:t>
      </w:r>
      <w:r>
        <w:rPr>
          <w:rFonts w:ascii="Cambria" w:eastAsia="Cambria" w:hAnsi="Cambria" w:cs="Cambria"/>
          <w:color w:val="000000"/>
          <w:sz w:val="20"/>
          <w:szCs w:val="20"/>
        </w:rPr>
        <w:t>, Simons Searchlight and the Cardiff University cohort [to confirm: CNV calling and inclusion criteria per cohort; ethics approvals and consent statement for each site]. Unaffected controls were non-carrier designated siblings and parents from the Simons Simplex Collection (SSC)</w:t>
      </w:r>
      <w:r>
        <w:rPr>
          <w:rFonts w:ascii="Cambria" w:eastAsia="Cambria" w:hAnsi="Cambria" w:cs="Cambria"/>
          <w:color w:val="000000"/>
          <w:sz w:val="20"/>
          <w:szCs w:val="20"/>
          <w:vertAlign w:val="superscript"/>
        </w:rPr>
        <w:t>5</w:t>
      </w:r>
      <w:r>
        <w:rPr>
          <w:rFonts w:ascii="Cambria" w:eastAsia="Cambria" w:hAnsi="Cambria" w:cs="Cambria"/>
          <w:color w:val="000000"/>
          <w:sz w:val="20"/>
          <w:szCs w:val="20"/>
        </w:rPr>
        <w:t xml:space="preserve"> and non-carrier family members without autism from Simons VIP. SSC probands with autism and no CNV formed a separate autism comparison group. Analyses used participants aged 2-65 years and, for each individual, the most recent visit at which the outcome and BMI were both available. Autism diagnosis in carriers was taken from the G2MH subject table and the Simons VIP diagnostic summary; all SSC probands carry an autism diagnosis by design. Social-communication measures were the SRS-2 total raw score</w:t>
      </w:r>
      <w:r>
        <w:rPr>
          <w:rFonts w:ascii="Cambria" w:eastAsia="Cambria" w:hAnsi="Cambria" w:cs="Cambria"/>
          <w:color w:val="000000"/>
          <w:sz w:val="20"/>
          <w:szCs w:val="20"/>
          <w:vertAlign w:val="superscript"/>
        </w:rPr>
        <w:t>10</w:t>
      </w:r>
      <w:r>
        <w:rPr>
          <w:rFonts w:ascii="Cambria" w:eastAsia="Cambria" w:hAnsi="Cambria" w:cs="Cambria"/>
          <w:color w:val="000000"/>
          <w:sz w:val="20"/>
          <w:szCs w:val="20"/>
        </w:rPr>
        <w:t xml:space="preserve"> (parent report for children, adult self or informant report) and the SCQ lifetime total</w:t>
      </w:r>
      <w:r>
        <w:rPr>
          <w:rFonts w:ascii="Cambria" w:eastAsia="Cambria" w:hAnsi="Cambria" w:cs="Cambria"/>
          <w:color w:val="000000"/>
          <w:sz w:val="20"/>
          <w:szCs w:val="20"/>
          <w:vertAlign w:val="superscript"/>
        </w:rPr>
        <w:t>11</w:t>
      </w:r>
      <w:r>
        <w:rPr>
          <w:rFonts w:ascii="Cambria" w:eastAsia="Cambria" w:hAnsi="Cambria" w:cs="Cambria"/>
          <w:color w:val="000000"/>
          <w:sz w:val="20"/>
          <w:szCs w:val="20"/>
        </w:rPr>
        <w:t>.</w:t>
      </w:r>
    </w:p>
    <w:p w14:paraId="4B380F1A" w14:textId="77777777" w:rsidR="009F4713" w:rsidRDefault="00DA4967">
      <w:r>
        <w:rPr>
          <w:rFonts w:ascii="Cambria" w:eastAsia="Cambria" w:hAnsi="Cambria" w:cs="Cambria"/>
          <w:b/>
          <w:color w:val="000000"/>
          <w:sz w:val="20"/>
          <w:szCs w:val="20"/>
        </w:rPr>
        <w:t>Anthropometric measures</w:t>
      </w:r>
    </w:p>
    <w:p w14:paraId="40A8319C" w14:textId="77777777" w:rsidR="009F4713" w:rsidRDefault="00DA4967">
      <w:r>
        <w:rPr>
          <w:rFonts w:ascii="Cambria" w:eastAsia="Cambria" w:hAnsi="Cambria" w:cs="Cambria"/>
          <w:color w:val="000000"/>
          <w:sz w:val="20"/>
          <w:szCs w:val="20"/>
        </w:rPr>
        <w:t>Height, weight and head circumference were taken from the clinical and research records of each cohort. Before scoring, implausible values were screened as described in the Supplementary Methods (heights recorded in metres were converted; heights outside 60-230 cm, BMI outside 10-70 kg m</w:t>
      </w:r>
      <w:r>
        <w:rPr>
          <w:rFonts w:ascii="Cambria" w:eastAsia="Cambria" w:hAnsi="Cambria" w:cs="Cambria"/>
          <w:color w:val="000000"/>
          <w:sz w:val="20"/>
          <w:szCs w:val="20"/>
          <w:vertAlign w:val="superscript"/>
        </w:rPr>
        <w:t>-2</w:t>
      </w:r>
      <w:r>
        <w:rPr>
          <w:rFonts w:ascii="Cambria" w:eastAsia="Cambria" w:hAnsi="Cambria" w:cs="Cambria"/>
          <w:color w:val="000000"/>
          <w:sz w:val="20"/>
          <w:szCs w:val="20"/>
        </w:rPr>
        <w:t xml:space="preserve">, |height </w:t>
      </w:r>
      <w:r>
        <w:rPr>
          <w:rFonts w:ascii="Cambria" w:eastAsia="Cambria" w:hAnsi="Cambria" w:cs="Cambria"/>
          <w:i/>
          <w:color w:val="000000"/>
          <w:sz w:val="20"/>
          <w:szCs w:val="20"/>
        </w:rPr>
        <w:t>z</w:t>
      </w:r>
      <w:r>
        <w:rPr>
          <w:rFonts w:ascii="Cambria" w:eastAsia="Cambria" w:hAnsi="Cambria" w:cs="Cambria"/>
          <w:color w:val="000000"/>
          <w:sz w:val="20"/>
          <w:szCs w:val="20"/>
        </w:rPr>
        <w:t xml:space="preserve">| &gt; 5, child |BMI </w:t>
      </w:r>
      <w:r>
        <w:rPr>
          <w:rFonts w:ascii="Cambria" w:eastAsia="Cambria" w:hAnsi="Cambria" w:cs="Cambria"/>
          <w:i/>
          <w:color w:val="000000"/>
          <w:sz w:val="20"/>
          <w:szCs w:val="20"/>
        </w:rPr>
        <w:t>z</w:t>
      </w:r>
      <w:r>
        <w:rPr>
          <w:rFonts w:ascii="Cambria" w:eastAsia="Cambria" w:hAnsi="Cambria" w:cs="Cambria"/>
          <w:color w:val="000000"/>
          <w:sz w:val="20"/>
          <w:szCs w:val="20"/>
        </w:rPr>
        <w:t>| &gt; 5 and head circumference outside 30-70 cm or |</w:t>
      </w:r>
      <w:r>
        <w:rPr>
          <w:rFonts w:ascii="Cambria" w:eastAsia="Cambria" w:hAnsi="Cambria" w:cs="Cambria"/>
          <w:i/>
          <w:color w:val="000000"/>
          <w:sz w:val="20"/>
          <w:szCs w:val="20"/>
        </w:rPr>
        <w:t>z</w:t>
      </w:r>
      <w:r>
        <w:rPr>
          <w:rFonts w:ascii="Cambria" w:eastAsia="Cambria" w:hAnsi="Cambria" w:cs="Cambria"/>
          <w:color w:val="000000"/>
          <w:sz w:val="20"/>
          <w:szCs w:val="20"/>
        </w:rPr>
        <w:t>| &gt; 5 were set to missing). Height was standardized against the WHO child growth standards and the WHO 2007 reference</w:t>
      </w:r>
      <w:r>
        <w:rPr>
          <w:rFonts w:ascii="Cambria" w:eastAsia="Cambria" w:hAnsi="Cambria" w:cs="Cambria"/>
          <w:color w:val="000000"/>
          <w:sz w:val="20"/>
          <w:szCs w:val="20"/>
          <w:vertAlign w:val="superscript"/>
        </w:rPr>
        <w:t>7,8</w:t>
      </w:r>
      <w:r>
        <w:rPr>
          <w:rFonts w:ascii="Cambria" w:eastAsia="Cambria" w:hAnsi="Cambria" w:cs="Cambria"/>
          <w:color w:val="000000"/>
          <w:sz w:val="20"/>
          <w:szCs w:val="20"/>
        </w:rPr>
        <w:t>; head circumference against the UK 1990 reference</w:t>
      </w:r>
      <w:r>
        <w:rPr>
          <w:rFonts w:ascii="Cambria" w:eastAsia="Cambria" w:hAnsi="Cambria" w:cs="Cambria"/>
          <w:color w:val="000000"/>
          <w:sz w:val="20"/>
          <w:szCs w:val="20"/>
          <w:vertAlign w:val="superscript"/>
        </w:rPr>
        <w:t>9</w:t>
      </w:r>
      <w:r>
        <w:rPr>
          <w:rFonts w:ascii="Cambria" w:eastAsia="Cambria" w:hAnsi="Cambria" w:cs="Cambria"/>
          <w:color w:val="000000"/>
          <w:sz w:val="20"/>
          <w:szCs w:val="20"/>
        </w:rPr>
        <w:t xml:space="preserve">, with adults scored at 18 years; BMI in children against the WHO reference and in adults as a centile relative to the pooled non-carrier adults of the clinical cohorts, mapped to a </w:t>
      </w:r>
      <w:r>
        <w:rPr>
          <w:rFonts w:ascii="Cambria" w:eastAsia="Cambria" w:hAnsi="Cambria" w:cs="Cambria"/>
          <w:i/>
          <w:color w:val="000000"/>
          <w:sz w:val="20"/>
          <w:szCs w:val="20"/>
        </w:rPr>
        <w:t>z</w:t>
      </w:r>
      <w:r>
        <w:rPr>
          <w:rFonts w:ascii="Cambria" w:eastAsia="Cambria" w:hAnsi="Cambria" w:cs="Cambria"/>
          <w:color w:val="000000"/>
          <w:sz w:val="20"/>
          <w:szCs w:val="20"/>
        </w:rPr>
        <w:t xml:space="preserve"> score. SRS and SCQ totals were expressed as </w:t>
      </w:r>
      <w:r>
        <w:rPr>
          <w:rFonts w:ascii="Cambria" w:eastAsia="Cambria" w:hAnsi="Cambria" w:cs="Cambria"/>
          <w:i/>
          <w:color w:val="000000"/>
          <w:sz w:val="20"/>
          <w:szCs w:val="20"/>
        </w:rPr>
        <w:t>z</w:t>
      </w:r>
      <w:r>
        <w:rPr>
          <w:rFonts w:ascii="Cambria" w:eastAsia="Cambria" w:hAnsi="Cambria" w:cs="Cambria"/>
          <w:color w:val="000000"/>
          <w:sz w:val="20"/>
          <w:szCs w:val="20"/>
        </w:rPr>
        <w:t xml:space="preserve"> scores relative to SSC unaffected relatives and SSC siblings, respectively. For SSC relatives, whose tabulated ages refer to a single snapshot date, age at the study visit was reconstructed from the proband's age at evaluation and the birth-month difference (Supplementary Methods).</w:t>
      </w:r>
    </w:p>
    <w:p w14:paraId="0F840D5C" w14:textId="77777777" w:rsidR="009F4713" w:rsidRDefault="00DA4967">
      <w:r>
        <w:rPr>
          <w:rFonts w:ascii="Cambria" w:eastAsia="Cambria" w:hAnsi="Cambria" w:cs="Cambria"/>
          <w:b/>
          <w:color w:val="000000"/>
          <w:sz w:val="20"/>
          <w:szCs w:val="20"/>
        </w:rPr>
        <w:t>Statistical analysis</w:t>
      </w:r>
    </w:p>
    <w:p w14:paraId="5801342C" w14:textId="77777777" w:rsidR="009F4713" w:rsidRDefault="00DA4967">
      <w:r>
        <w:rPr>
          <w:rFonts w:ascii="Cambria" w:eastAsia="Cambria" w:hAnsi="Cambria" w:cs="Cambria"/>
          <w:color w:val="000000"/>
          <w:sz w:val="20"/>
          <w:szCs w:val="20"/>
        </w:rPr>
        <w:t>All models were generalized additive models (GAMs) fitted by restricted maximum likelihood in mgcv</w:t>
      </w:r>
      <w:r>
        <w:rPr>
          <w:rFonts w:ascii="Cambria" w:eastAsia="Cambria" w:hAnsi="Cambria" w:cs="Cambria"/>
          <w:color w:val="000000"/>
          <w:sz w:val="20"/>
          <w:szCs w:val="20"/>
          <w:vertAlign w:val="superscript"/>
        </w:rPr>
        <w:t>12</w:t>
      </w:r>
      <w:r>
        <w:rPr>
          <w:rFonts w:ascii="Cambria" w:eastAsia="Cambria" w:hAnsi="Cambria" w:cs="Cambria"/>
          <w:color w:val="000000"/>
          <w:sz w:val="20"/>
          <w:szCs w:val="20"/>
        </w:rPr>
        <w:t xml:space="preserve"> (R 4.6.1). BMI entered every model as a continuous </w:t>
      </w:r>
      <w:r>
        <w:rPr>
          <w:rFonts w:ascii="Cambria" w:eastAsia="Cambria" w:hAnsi="Cambria" w:cs="Cambria"/>
          <w:i/>
          <w:color w:val="000000"/>
          <w:sz w:val="20"/>
          <w:szCs w:val="20"/>
        </w:rPr>
        <w:t>z</w:t>
      </w:r>
      <w:r>
        <w:rPr>
          <w:rFonts w:ascii="Cambria" w:eastAsia="Cambria" w:hAnsi="Cambria" w:cs="Cambria"/>
          <w:color w:val="000000"/>
          <w:sz w:val="20"/>
          <w:szCs w:val="20"/>
        </w:rPr>
        <w:t xml:space="preserve"> score; the 70th and 30th centile split in Fig. 1 is for display only. Within a group, the BMI effect was the coefficient of BMI in </w:t>
      </w:r>
      <w:r>
        <w:rPr>
          <w:rFonts w:ascii="Cambria" w:eastAsia="Cambria" w:hAnsi="Cambria" w:cs="Cambria"/>
          <w:i/>
          <w:color w:val="000000"/>
          <w:sz w:val="20"/>
          <w:szCs w:val="20"/>
        </w:rPr>
        <w:t>y</w:t>
      </w:r>
      <w:r>
        <w:rPr>
          <w:rFonts w:ascii="Cambria" w:eastAsia="Cambria" w:hAnsi="Cambria" w:cs="Cambria"/>
          <w:color w:val="000000"/>
          <w:sz w:val="20"/>
          <w:szCs w:val="20"/>
        </w:rPr>
        <w:t xml:space="preserve"> ~ BMI + s(age), in s.d. of outcome per s.d. of BMI, and the age dependence of that effect was tested with a tensor-product interaction, </w:t>
      </w:r>
      <w:r>
        <w:rPr>
          <w:rFonts w:ascii="Cambria" w:eastAsia="Cambria" w:hAnsi="Cambria" w:cs="Cambria"/>
          <w:i/>
          <w:color w:val="000000"/>
          <w:sz w:val="20"/>
          <w:szCs w:val="20"/>
        </w:rPr>
        <w:t>y</w:t>
      </w:r>
      <w:r>
        <w:rPr>
          <w:rFonts w:ascii="Cambria" w:eastAsia="Cambria" w:hAnsi="Cambria" w:cs="Cambria"/>
          <w:color w:val="000000"/>
          <w:sz w:val="20"/>
          <w:szCs w:val="20"/>
        </w:rPr>
        <w:t xml:space="preserve"> ~ s(age) + s(BMI) + ti(age, BMI). Carriers were compared with a reference group (unaffected relatives, or SSC probands) in a single model, </w:t>
      </w:r>
      <w:r>
        <w:rPr>
          <w:rFonts w:ascii="Cambria" w:eastAsia="Cambria" w:hAnsi="Cambria" w:cs="Cambria"/>
          <w:i/>
          <w:color w:val="000000"/>
          <w:sz w:val="20"/>
          <w:szCs w:val="20"/>
        </w:rPr>
        <w:t>y</w:t>
      </w:r>
      <w:r>
        <w:rPr>
          <w:rFonts w:ascii="Cambria" w:eastAsia="Cambria" w:hAnsi="Cambria" w:cs="Cambria"/>
          <w:color w:val="000000"/>
          <w:sz w:val="20"/>
          <w:szCs w:val="20"/>
        </w:rPr>
        <w:t xml:space="preserve"> ~ CNV + s(age, by = CNV) + s(age, by = BMI) + CNV:BMI, in which the CNV main effect is the age-adjusted mean shift and the CNV:BMI coefficient (CNV x BMI) is the age-adjusted difference in BMI slope; the age dependence of that difference (CNV x age x BMI) was tested by adding ti(age, BMI) and ti(age, BMI, by = CNV) and reporting the carrier-specific tensor product. Pooled analyses (all CNVs; overgrowth, 16p11.2 deletion plus 22q11.2 duplication; undergrowth, 16p11.2 duplication plus 22q11.2 deletion) inclu</w:t>
      </w:r>
      <w:r>
        <w:rPr>
          <w:rFonts w:ascii="Cambria" w:eastAsia="Cambria" w:hAnsi="Cambria" w:cs="Cambria"/>
          <w:color w:val="000000"/>
          <w:sz w:val="20"/>
          <w:szCs w:val="20"/>
        </w:rPr>
        <w:t xml:space="preserve">ded locus as a covariate. Heterogeneity of the BMI slope across the four CNV groups was tested within carriers as the Wald test of the locus x BMI interaction in </w:t>
      </w:r>
      <w:r>
        <w:rPr>
          <w:rFonts w:ascii="Cambria" w:eastAsia="Cambria" w:hAnsi="Cambria" w:cs="Cambria"/>
          <w:i/>
          <w:color w:val="000000"/>
          <w:sz w:val="20"/>
          <w:szCs w:val="20"/>
        </w:rPr>
        <w:t>y</w:t>
      </w:r>
      <w:r>
        <w:rPr>
          <w:rFonts w:ascii="Cambria" w:eastAsia="Cambria" w:hAnsi="Cambria" w:cs="Cambria"/>
          <w:color w:val="000000"/>
          <w:sz w:val="20"/>
          <w:szCs w:val="20"/>
        </w:rPr>
        <w:t xml:space="preserve"> ~ s(age, by = locus) + locus + BMI + locus:BMI. For SRS and SCQ, whose BMI effects did not depend on age, the trait is plotted against BMI after removal of the within-group age smooth. All tests were two-sided and </w:t>
      </w:r>
      <w:r>
        <w:rPr>
          <w:rFonts w:ascii="Cambria" w:eastAsia="Cambria" w:hAnsi="Cambria" w:cs="Cambria"/>
          <w:i/>
          <w:color w:val="000000"/>
          <w:sz w:val="20"/>
          <w:szCs w:val="20"/>
        </w:rPr>
        <w:t>P</w:t>
      </w:r>
      <w:r>
        <w:rPr>
          <w:rFonts w:ascii="Cambria" w:eastAsia="Cambria" w:hAnsi="Cambria" w:cs="Cambria"/>
          <w:color w:val="000000"/>
          <w:sz w:val="20"/>
          <w:szCs w:val="20"/>
        </w:rPr>
        <w:t xml:space="preserve"> values are reported without adjustment for multiple comparisons; the heterogeneity tests and the sensitivity analyses in the Supplementary Information address the specificity of the findings. Sample sizes are given in the figure legend and in Supplementary Tables 1 and 2; no statistical method was used to predetermine sample size.</w:t>
      </w:r>
    </w:p>
    <w:p w14:paraId="413B6D34" w14:textId="77777777" w:rsidR="009F4713" w:rsidRDefault="00DA4967">
      <w:r>
        <w:rPr>
          <w:rFonts w:ascii="Cambria" w:eastAsia="Cambria" w:hAnsi="Cambria" w:cs="Cambria"/>
          <w:b/>
          <w:color w:val="000000"/>
          <w:sz w:val="20"/>
          <w:szCs w:val="20"/>
        </w:rPr>
        <w:t>Sensitivity analyses</w:t>
      </w:r>
    </w:p>
    <w:p w14:paraId="1FD928FA" w14:textId="77777777" w:rsidR="009F4713" w:rsidRDefault="00DA4967">
      <w:r>
        <w:rPr>
          <w:rFonts w:ascii="Cambria" w:eastAsia="Cambria" w:hAnsi="Cambria" w:cs="Cambria"/>
          <w:color w:val="000000"/>
          <w:sz w:val="20"/>
          <w:szCs w:val="20"/>
        </w:rPr>
        <w:t>The robustness of the main-figure results to sex, polygenic background, psychotropic medication, autism diagnosis and the plausibility screen, the longitudinal (prospective) analyses, the comparison of carriers with and without autism, and the cognitive analyses are described in the Supplementary Methods and Supplementary Results.</w:t>
      </w:r>
    </w:p>
    <w:p w14:paraId="6905C46D" w14:textId="77777777" w:rsidR="009F4713" w:rsidRDefault="00DA4967">
      <w:r>
        <w:rPr>
          <w:rFonts w:ascii="Cambria" w:eastAsia="Cambria" w:hAnsi="Cambria" w:cs="Cambria"/>
          <w:b/>
          <w:color w:val="000000"/>
          <w:sz w:val="20"/>
          <w:szCs w:val="20"/>
        </w:rPr>
        <w:t>Reporting summary</w:t>
      </w:r>
    </w:p>
    <w:p w14:paraId="1D4D7FFD" w14:textId="77777777" w:rsidR="009F4713" w:rsidRDefault="00DA4967">
      <w:r>
        <w:rPr>
          <w:rFonts w:ascii="Cambria" w:eastAsia="Cambria" w:hAnsi="Cambria" w:cs="Cambria"/>
          <w:color w:val="000000"/>
          <w:sz w:val="20"/>
          <w:szCs w:val="20"/>
        </w:rPr>
        <w:t>Further information on research design is available in the Nature Portfolio Reporting Summary linked to this article [to be completed].</w:t>
      </w:r>
    </w:p>
    <w:p w14:paraId="4133C016" w14:textId="77777777" w:rsidR="009F4713" w:rsidRDefault="00DA4967">
      <w:r>
        <w:rPr>
          <w:rFonts w:ascii="Cambria" w:eastAsia="Cambria" w:hAnsi="Cambria" w:cs="Cambria"/>
          <w:b/>
          <w:color w:val="000000"/>
          <w:sz w:val="20"/>
          <w:szCs w:val="20"/>
        </w:rPr>
        <w:t>Data availability</w:t>
      </w:r>
    </w:p>
    <w:p w14:paraId="795CE827" w14:textId="77777777" w:rsidR="009F4713" w:rsidRDefault="00DA4967">
      <w:r>
        <w:rPr>
          <w:rFonts w:ascii="Cambria" w:eastAsia="Cambria" w:hAnsi="Cambria" w:cs="Cambria"/>
          <w:color w:val="000000"/>
          <w:sz w:val="20"/>
          <w:szCs w:val="20"/>
        </w:rPr>
        <w:t>SSC and Simons VIP/Searchlight phenotype data are available to approved researchers through SFARI Base (https://base.sfari.org). G2MH phenotype data are available through the G2MH network [to confirm: NDA collection or data-access route]. Participant-level growth, phenotype and polygenic-score tables used here contain identifiers and are held in the controlled analysis data folder; summary statistics for every test are provided in Supplementary Tables 1-10.</w:t>
      </w:r>
    </w:p>
    <w:p w14:paraId="7C430A0A" w14:textId="77777777" w:rsidR="009F4713" w:rsidRDefault="00DA4967">
      <w:r>
        <w:rPr>
          <w:rFonts w:ascii="Cambria" w:eastAsia="Cambria" w:hAnsi="Cambria" w:cs="Cambria"/>
          <w:b/>
          <w:color w:val="000000"/>
          <w:sz w:val="20"/>
          <w:szCs w:val="20"/>
        </w:rPr>
        <w:t>Code availability</w:t>
      </w:r>
    </w:p>
    <w:p w14:paraId="32E514CC" w14:textId="77777777" w:rsidR="009F4713" w:rsidRDefault="00DA4967">
      <w:r>
        <w:rPr>
          <w:rFonts w:ascii="Cambria" w:eastAsia="Cambria" w:hAnsi="Cambria" w:cs="Cambria"/>
          <w:color w:val="000000"/>
          <w:sz w:val="20"/>
          <w:szCs w:val="20"/>
        </w:rPr>
        <w:t>All analysis code, figure scripts, summary tables and the analysis report are available at https://github.com/jsebat/cnv-growth-bmi (scripts 00-33; the main figure is produced by 25_main_figure_v3.R and Supplementary Tables 1 and 2 by 28_supp_tables.R).</w:t>
      </w:r>
    </w:p>
    <w:p w14:paraId="195BB6FF" w14:textId="77777777" w:rsidR="009F4713" w:rsidRDefault="00DA4967">
      <w:r>
        <w:br w:type="page"/>
      </w:r>
    </w:p>
    <w:p w14:paraId="6E8802CA" w14:textId="77777777" w:rsidR="009F4713" w:rsidRDefault="00DA4967" w:rsidP="00356462">
      <w:pPr>
        <w:pStyle w:val="Heading1"/>
        <w:numPr>
          <w:ilvl w:val="0"/>
          <w:numId w:val="0"/>
        </w:numPr>
      </w:pPr>
      <w:r>
        <w:t>Part 3. Supplementary Information</w:t>
      </w:r>
    </w:p>
    <w:p w14:paraId="72DFFB63" w14:textId="77777777" w:rsidR="009F4713" w:rsidRDefault="00DA4967" w:rsidP="00356462">
      <w:pPr>
        <w:pStyle w:val="Heading2"/>
        <w:numPr>
          <w:ilvl w:val="0"/>
          <w:numId w:val="0"/>
        </w:numPr>
      </w:pPr>
      <w:r>
        <w:t>Supplementary Results</w:t>
      </w:r>
    </w:p>
    <w:p w14:paraId="15BBF67C" w14:textId="77777777" w:rsidR="009F4713" w:rsidRDefault="00DA4967">
      <w:r>
        <w:rPr>
          <w:rFonts w:ascii="Cambria" w:eastAsia="Cambria" w:hAnsi="Cambria" w:cs="Cambria"/>
          <w:b/>
          <w:color w:val="000000"/>
          <w:sz w:val="20"/>
          <w:szCs w:val="20"/>
        </w:rPr>
        <w:t>Prospective effects of body mass on growth</w:t>
      </w:r>
    </w:p>
    <w:p w14:paraId="66EBADB7" w14:textId="77777777" w:rsidR="009F4713" w:rsidRDefault="00DA4967">
      <w:r>
        <w:rPr>
          <w:rFonts w:ascii="Cambria" w:eastAsia="Cambria" w:hAnsi="Cambria" w:cs="Cambria"/>
          <w:color w:val="000000"/>
          <w:sz w:val="20"/>
          <w:szCs w:val="20"/>
        </w:rPr>
        <w:t>In carriers under 18 years with repeated measures, higher BMI at a visit preceded faster height growth to the next visit only in early childhood: in 16p11.2 deletion carriers the age-varying effect differed from zero (</w:t>
      </w:r>
      <w:r>
        <w:rPr>
          <w:rFonts w:ascii="Cambria" w:eastAsia="Cambria" w:hAnsi="Cambria" w:cs="Cambria"/>
          <w:i/>
          <w:color w:val="000000"/>
          <w:sz w:val="20"/>
          <w:szCs w:val="20"/>
        </w:rPr>
        <w:t>P</w:t>
      </w:r>
      <w:r>
        <w:rPr>
          <w:rFonts w:ascii="Cambria" w:eastAsia="Cambria" w:hAnsi="Cambria" w:cs="Cambria"/>
          <w:color w:val="000000"/>
          <w:sz w:val="20"/>
          <w:szCs w:val="20"/>
        </w:rPr>
        <w:t xml:space="preserve"> = 0.006), the all-ages coefficient was +0.09 s.d. of height </w:t>
      </w:r>
      <w:r>
        <w:rPr>
          <w:rFonts w:ascii="Cambria" w:eastAsia="Cambria" w:hAnsi="Cambria" w:cs="Cambria"/>
          <w:i/>
          <w:color w:val="000000"/>
          <w:sz w:val="20"/>
          <w:szCs w:val="20"/>
        </w:rPr>
        <w:t>z</w:t>
      </w:r>
      <w:r>
        <w:rPr>
          <w:rFonts w:ascii="Cambria" w:eastAsia="Cambria" w:hAnsi="Cambria" w:cs="Cambria"/>
          <w:color w:val="000000"/>
          <w:sz w:val="20"/>
          <w:szCs w:val="20"/>
        </w:rPr>
        <w:t xml:space="preserve"> per s.d. of BMI </w:t>
      </w:r>
      <w:r>
        <w:rPr>
          <w:rFonts w:ascii="Cambria" w:eastAsia="Cambria" w:hAnsi="Cambria" w:cs="Cambria"/>
          <w:i/>
          <w:color w:val="000000"/>
          <w:sz w:val="20"/>
          <w:szCs w:val="20"/>
        </w:rPr>
        <w:t>z</w:t>
      </w:r>
      <w:r>
        <w:rPr>
          <w:rFonts w:ascii="Cambria" w:eastAsia="Cambria" w:hAnsi="Cambria" w:cs="Cambria"/>
          <w:color w:val="000000"/>
          <w:sz w:val="20"/>
          <w:szCs w:val="20"/>
        </w:rPr>
        <w:t xml:space="preserve"> (s.e. 0.04, </w:t>
      </w:r>
      <w:r>
        <w:rPr>
          <w:rFonts w:ascii="Cambria" w:eastAsia="Cambria" w:hAnsi="Cambria" w:cs="Cambria"/>
          <w:i/>
          <w:color w:val="000000"/>
          <w:sz w:val="20"/>
          <w:szCs w:val="20"/>
        </w:rPr>
        <w:t>t</w:t>
      </w:r>
      <w:r>
        <w:rPr>
          <w:rFonts w:ascii="Cambria" w:eastAsia="Cambria" w:hAnsi="Cambria" w:cs="Cambria"/>
          <w:color w:val="000000"/>
          <w:sz w:val="20"/>
          <w:szCs w:val="20"/>
        </w:rPr>
        <w:t xml:space="preserve"> = 2.1, </w:t>
      </w:r>
      <w:r>
        <w:rPr>
          <w:rFonts w:ascii="Cambria" w:eastAsia="Cambria" w:hAnsi="Cambria" w:cs="Cambria"/>
          <w:i/>
          <w:color w:val="000000"/>
          <w:sz w:val="20"/>
          <w:szCs w:val="20"/>
        </w:rPr>
        <w:t>P</w:t>
      </w:r>
      <w:r>
        <w:rPr>
          <w:rFonts w:ascii="Cambria" w:eastAsia="Cambria" w:hAnsi="Cambria" w:cs="Cambria"/>
          <w:color w:val="000000"/>
          <w:sz w:val="20"/>
          <w:szCs w:val="20"/>
        </w:rPr>
        <w:t xml:space="preserve"> = 0.036) and the effect was concentrated below 8 years (pooled carriers, &lt; 8 y window +0.13, </w:t>
      </w:r>
      <w:r>
        <w:rPr>
          <w:rFonts w:ascii="Cambria" w:eastAsia="Cambria" w:hAnsi="Cambria" w:cs="Cambria"/>
          <w:i/>
          <w:color w:val="000000"/>
          <w:sz w:val="20"/>
          <w:szCs w:val="20"/>
        </w:rPr>
        <w:t>t</w:t>
      </w:r>
      <w:r>
        <w:rPr>
          <w:rFonts w:ascii="Cambria" w:eastAsia="Cambria" w:hAnsi="Cambria" w:cs="Cambria"/>
          <w:color w:val="000000"/>
          <w:sz w:val="20"/>
          <w:szCs w:val="20"/>
        </w:rPr>
        <w:t xml:space="preserve"> = 2.9, </w:t>
      </w:r>
      <w:r>
        <w:rPr>
          <w:rFonts w:ascii="Cambria" w:eastAsia="Cambria" w:hAnsi="Cambria" w:cs="Cambria"/>
          <w:i/>
          <w:color w:val="000000"/>
          <w:sz w:val="20"/>
          <w:szCs w:val="20"/>
        </w:rPr>
        <w:t>P</w:t>
      </w:r>
      <w:r>
        <w:rPr>
          <w:rFonts w:ascii="Cambria" w:eastAsia="Cambria" w:hAnsi="Cambria" w:cs="Cambria"/>
          <w:color w:val="000000"/>
          <w:sz w:val="20"/>
          <w:szCs w:val="20"/>
        </w:rPr>
        <w:t xml:space="preserve"> = 0.005; 8-13 y +0.01; 13-18 y -0.07). For head circumference the prospective effect was positive at all ages (16p11.2 deletion +0.08, </w:t>
      </w:r>
      <w:r>
        <w:rPr>
          <w:rFonts w:ascii="Cambria" w:eastAsia="Cambria" w:hAnsi="Cambria" w:cs="Cambria"/>
          <w:i/>
          <w:color w:val="000000"/>
          <w:sz w:val="20"/>
          <w:szCs w:val="20"/>
        </w:rPr>
        <w:t>t</w:t>
      </w:r>
      <w:r>
        <w:rPr>
          <w:rFonts w:ascii="Cambria" w:eastAsia="Cambria" w:hAnsi="Cambria" w:cs="Cambria"/>
          <w:color w:val="000000"/>
          <w:sz w:val="20"/>
          <w:szCs w:val="20"/>
        </w:rPr>
        <w:t xml:space="preserve"> = 2.1, </w:t>
      </w:r>
      <w:r>
        <w:rPr>
          <w:rFonts w:ascii="Cambria" w:eastAsia="Cambria" w:hAnsi="Cambria" w:cs="Cambria"/>
          <w:i/>
          <w:color w:val="000000"/>
          <w:sz w:val="20"/>
          <w:szCs w:val="20"/>
        </w:rPr>
        <w:t>P</w:t>
      </w:r>
      <w:r>
        <w:rPr>
          <w:rFonts w:ascii="Cambria" w:eastAsia="Cambria" w:hAnsi="Cambria" w:cs="Cambria"/>
          <w:color w:val="000000"/>
          <w:sz w:val="20"/>
          <w:szCs w:val="20"/>
        </w:rPr>
        <w:t xml:space="preserve"> = 0.038; pooled carriers +0.10, </w:t>
      </w:r>
      <w:r>
        <w:rPr>
          <w:rFonts w:ascii="Cambria" w:eastAsia="Cambria" w:hAnsi="Cambria" w:cs="Cambria"/>
          <w:i/>
          <w:color w:val="000000"/>
          <w:sz w:val="20"/>
          <w:szCs w:val="20"/>
        </w:rPr>
        <w:t>t</w:t>
      </w:r>
      <w:r>
        <w:rPr>
          <w:rFonts w:ascii="Cambria" w:eastAsia="Cambria" w:hAnsi="Cambria" w:cs="Cambria"/>
          <w:color w:val="000000"/>
          <w:sz w:val="20"/>
          <w:szCs w:val="20"/>
        </w:rPr>
        <w:t xml:space="preserve"> = 3.4, </w:t>
      </w:r>
      <w:r>
        <w:rPr>
          <w:rFonts w:ascii="Cambria" w:eastAsia="Cambria" w:hAnsi="Cambria" w:cs="Cambria"/>
          <w:i/>
          <w:color w:val="000000"/>
          <w:sz w:val="20"/>
          <w:szCs w:val="20"/>
        </w:rPr>
        <w:t>P</w:t>
      </w:r>
      <w:r>
        <w:rPr>
          <w:rFonts w:ascii="Cambria" w:eastAsia="Cambria" w:hAnsi="Cambria" w:cs="Cambria"/>
          <w:color w:val="000000"/>
          <w:sz w:val="20"/>
          <w:szCs w:val="20"/>
        </w:rPr>
        <w:t xml:space="preserve"> = 6.7 x 10</w:t>
      </w:r>
      <w:r>
        <w:rPr>
          <w:rFonts w:ascii="Cambria" w:eastAsia="Cambria" w:hAnsi="Cambria" w:cs="Cambria"/>
          <w:color w:val="000000"/>
          <w:sz w:val="20"/>
          <w:szCs w:val="20"/>
          <w:vertAlign w:val="superscript"/>
        </w:rPr>
        <w:t>-4</w:t>
      </w:r>
      <w:r>
        <w:rPr>
          <w:rFonts w:ascii="Cambria" w:eastAsia="Cambria" w:hAnsi="Cambria" w:cs="Cambria"/>
          <w:color w:val="000000"/>
          <w:sz w:val="20"/>
          <w:szCs w:val="20"/>
        </w:rPr>
        <w:t xml:space="preserve">; age-varying </w:t>
      </w:r>
      <w:r>
        <w:rPr>
          <w:rFonts w:ascii="Cambria" w:eastAsia="Cambria" w:hAnsi="Cambria" w:cs="Cambria"/>
          <w:i/>
          <w:color w:val="000000"/>
          <w:sz w:val="20"/>
          <w:szCs w:val="20"/>
        </w:rPr>
        <w:t>P</w:t>
      </w:r>
      <w:r>
        <w:rPr>
          <w:rFonts w:ascii="Cambria" w:eastAsia="Cambria" w:hAnsi="Cambria" w:cs="Cambria"/>
          <w:color w:val="000000"/>
          <w:sz w:val="20"/>
          <w:szCs w:val="20"/>
        </w:rPr>
        <w:t xml:space="preserve"> = 7.5 x 10</w:t>
      </w:r>
      <w:r>
        <w:rPr>
          <w:rFonts w:ascii="Cambria" w:eastAsia="Cambria" w:hAnsi="Cambria" w:cs="Cambria"/>
          <w:color w:val="000000"/>
          <w:sz w:val="20"/>
          <w:szCs w:val="20"/>
          <w:vertAlign w:val="superscript"/>
        </w:rPr>
        <w:t>-4</w:t>
      </w:r>
      <w:r>
        <w:rPr>
          <w:rFonts w:ascii="Cambria" w:eastAsia="Cambria" w:hAnsi="Cambria" w:cs="Cambria"/>
          <w:color w:val="000000"/>
          <w:sz w:val="20"/>
          <w:szCs w:val="20"/>
        </w:rPr>
        <w:t>) (Supplementary Fig. 1, Supplementary Table 3).</w:t>
      </w:r>
    </w:p>
    <w:p w14:paraId="7A7427EF" w14:textId="77777777" w:rsidR="009F4713" w:rsidRDefault="00DA4967">
      <w:r>
        <w:rPr>
          <w:rFonts w:ascii="Cambria" w:eastAsia="Cambria" w:hAnsi="Cambria" w:cs="Cambria"/>
          <w:b/>
          <w:color w:val="000000"/>
          <w:sz w:val="20"/>
          <w:szCs w:val="20"/>
        </w:rPr>
        <w:t>Autism diagnosis within CNV group</w:t>
      </w:r>
    </w:p>
    <w:p w14:paraId="552CEF96" w14:textId="77777777" w:rsidR="009F4713" w:rsidRDefault="00DA4967">
      <w:r>
        <w:rPr>
          <w:rFonts w:ascii="Cambria" w:eastAsia="Cambria" w:hAnsi="Cambria" w:cs="Cambria"/>
          <w:color w:val="000000"/>
          <w:sz w:val="20"/>
          <w:szCs w:val="20"/>
        </w:rPr>
        <w:t xml:space="preserve">Head circumference was larger in carriers with than without an autism diagnosis in the overgrowth CNVs (pooled 16p11.2 deletion and 22q11.2 duplication: +0.45 s.d., </w:t>
      </w:r>
      <w:r>
        <w:rPr>
          <w:rFonts w:ascii="Cambria" w:eastAsia="Cambria" w:hAnsi="Cambria" w:cs="Cambria"/>
          <w:i/>
          <w:color w:val="000000"/>
          <w:sz w:val="20"/>
          <w:szCs w:val="20"/>
        </w:rPr>
        <w:t>P</w:t>
      </w:r>
      <w:r>
        <w:rPr>
          <w:rFonts w:ascii="Cambria" w:eastAsia="Cambria" w:hAnsi="Cambria" w:cs="Cambria"/>
          <w:color w:val="000000"/>
          <w:sz w:val="20"/>
          <w:szCs w:val="20"/>
        </w:rPr>
        <w:t xml:space="preserve"> = 0.022, </w:t>
      </w:r>
      <w:r>
        <w:rPr>
          <w:rFonts w:ascii="Cambria" w:eastAsia="Cambria" w:hAnsi="Cambria" w:cs="Cambria"/>
          <w:i/>
          <w:color w:val="000000"/>
          <w:sz w:val="20"/>
          <w:szCs w:val="20"/>
        </w:rPr>
        <w:t>n</w:t>
      </w:r>
      <w:r>
        <w:rPr>
          <w:rFonts w:ascii="Cambria" w:eastAsia="Cambria" w:hAnsi="Cambria" w:cs="Cambria"/>
          <w:color w:val="000000"/>
          <w:sz w:val="20"/>
          <w:szCs w:val="20"/>
        </w:rPr>
        <w:t xml:space="preserve"> = 188 without and 96 with autism; 16p11.2 deletion +0.41, </w:t>
      </w:r>
      <w:r>
        <w:rPr>
          <w:rFonts w:ascii="Cambria" w:eastAsia="Cambria" w:hAnsi="Cambria" w:cs="Cambria"/>
          <w:i/>
          <w:color w:val="000000"/>
          <w:sz w:val="20"/>
          <w:szCs w:val="20"/>
        </w:rPr>
        <w:t>P</w:t>
      </w:r>
      <w:r>
        <w:rPr>
          <w:rFonts w:ascii="Cambria" w:eastAsia="Cambria" w:hAnsi="Cambria" w:cs="Cambria"/>
          <w:color w:val="000000"/>
          <w:sz w:val="20"/>
          <w:szCs w:val="20"/>
        </w:rPr>
        <w:t xml:space="preserve"> = 0.074; 22q11.2 duplication +0.59, </w:t>
      </w:r>
      <w:r>
        <w:rPr>
          <w:rFonts w:ascii="Cambria" w:eastAsia="Cambria" w:hAnsi="Cambria" w:cs="Cambria"/>
          <w:i/>
          <w:color w:val="000000"/>
          <w:sz w:val="20"/>
          <w:szCs w:val="20"/>
        </w:rPr>
        <w:t>P</w:t>
      </w:r>
      <w:r>
        <w:rPr>
          <w:rFonts w:ascii="Cambria" w:eastAsia="Cambria" w:hAnsi="Cambria" w:cs="Cambria"/>
          <w:color w:val="000000"/>
          <w:sz w:val="20"/>
          <w:szCs w:val="20"/>
        </w:rPr>
        <w:t xml:space="preserve"> = 0.16) but not in the undergrowth CNVs (-0.05, </w:t>
      </w:r>
      <w:r>
        <w:rPr>
          <w:rFonts w:ascii="Cambria" w:eastAsia="Cambria" w:hAnsi="Cambria" w:cs="Cambria"/>
          <w:i/>
          <w:color w:val="000000"/>
          <w:sz w:val="20"/>
          <w:szCs w:val="20"/>
        </w:rPr>
        <w:t>P</w:t>
      </w:r>
      <w:r>
        <w:rPr>
          <w:rFonts w:ascii="Cambria" w:eastAsia="Cambria" w:hAnsi="Cambria" w:cs="Cambria"/>
          <w:color w:val="000000"/>
          <w:sz w:val="20"/>
          <w:szCs w:val="20"/>
        </w:rPr>
        <w:t xml:space="preserve"> = 0.8); SSC probands also had slightly larger heads than their siblings (+0.14, </w:t>
      </w:r>
      <w:r>
        <w:rPr>
          <w:rFonts w:ascii="Cambria" w:eastAsia="Cambria" w:hAnsi="Cambria" w:cs="Cambria"/>
          <w:i/>
          <w:color w:val="000000"/>
          <w:sz w:val="20"/>
          <w:szCs w:val="20"/>
        </w:rPr>
        <w:t>P</w:t>
      </w:r>
      <w:r>
        <w:rPr>
          <w:rFonts w:ascii="Cambria" w:eastAsia="Cambria" w:hAnsi="Cambria" w:cs="Cambria"/>
          <w:color w:val="000000"/>
          <w:sz w:val="20"/>
          <w:szCs w:val="20"/>
        </w:rPr>
        <w:t xml:space="preserve"> = 0.0014). Tested as an interaction, the autism effect in the overgrowth CNVs exceeded the proband-sibling difference (+0.35 s.d., s.e. 0.17, </w:t>
      </w:r>
      <w:r>
        <w:rPr>
          <w:rFonts w:ascii="Cambria" w:eastAsia="Cambria" w:hAnsi="Cambria" w:cs="Cambria"/>
          <w:i/>
          <w:color w:val="000000"/>
          <w:sz w:val="20"/>
          <w:szCs w:val="20"/>
        </w:rPr>
        <w:t>P</w:t>
      </w:r>
      <w:r>
        <w:rPr>
          <w:rFonts w:ascii="Cambria" w:eastAsia="Cambria" w:hAnsi="Cambria" w:cs="Cambria"/>
          <w:color w:val="000000"/>
          <w:sz w:val="20"/>
          <w:szCs w:val="20"/>
        </w:rPr>
        <w:t xml:space="preserve"> = 0.046). Height did not differ by autism status in any group (all </w:t>
      </w:r>
      <w:r>
        <w:rPr>
          <w:rFonts w:ascii="Cambria" w:eastAsia="Cambria" w:hAnsi="Cambria" w:cs="Cambria"/>
          <w:i/>
          <w:color w:val="000000"/>
          <w:sz w:val="20"/>
          <w:szCs w:val="20"/>
        </w:rPr>
        <w:t>P</w:t>
      </w:r>
      <w:r>
        <w:rPr>
          <w:rFonts w:ascii="Cambria" w:eastAsia="Cambria" w:hAnsi="Cambria" w:cs="Cambria"/>
          <w:color w:val="000000"/>
          <w:sz w:val="20"/>
          <w:szCs w:val="20"/>
        </w:rPr>
        <w:t xml:space="preserve"> &gt; 0.07), and BMI did not differ by autism status within any CNV group (per locus +0.10 to +0.16 s.d., </w:t>
      </w:r>
      <w:r>
        <w:rPr>
          <w:rFonts w:ascii="Cambria" w:eastAsia="Cambria" w:hAnsi="Cambria" w:cs="Cambria"/>
          <w:i/>
          <w:color w:val="000000"/>
          <w:sz w:val="20"/>
          <w:szCs w:val="20"/>
        </w:rPr>
        <w:t>P</w:t>
      </w:r>
      <w:r>
        <w:rPr>
          <w:rFonts w:ascii="Cambria" w:eastAsia="Cambria" w:hAnsi="Cambria" w:cs="Cambria"/>
          <w:color w:val="000000"/>
          <w:sz w:val="20"/>
          <w:szCs w:val="20"/>
        </w:rPr>
        <w:t xml:space="preserve"> = 0.43-0.78; interaction with carrier status </w:t>
      </w:r>
      <w:r>
        <w:rPr>
          <w:rFonts w:ascii="Cambria" w:eastAsia="Cambria" w:hAnsi="Cambria" w:cs="Cambria"/>
          <w:i/>
          <w:color w:val="000000"/>
          <w:sz w:val="20"/>
          <w:szCs w:val="20"/>
        </w:rPr>
        <w:t>P</w:t>
      </w:r>
      <w:r>
        <w:rPr>
          <w:rFonts w:ascii="Cambria" w:eastAsia="Cambria" w:hAnsi="Cambria" w:cs="Cambria"/>
          <w:color w:val="000000"/>
          <w:sz w:val="20"/>
          <w:szCs w:val="20"/>
        </w:rPr>
        <w:t xml:space="preserve"> &gt; 0.6 throughout), whereas SSC probands were marginally heavier than their siblings (+0.11, </w:t>
      </w:r>
      <w:r>
        <w:rPr>
          <w:rFonts w:ascii="Cambria" w:eastAsia="Cambria" w:hAnsi="Cambria" w:cs="Cambria"/>
          <w:i/>
          <w:color w:val="000000"/>
          <w:sz w:val="20"/>
          <w:szCs w:val="20"/>
        </w:rPr>
        <w:t>P</w:t>
      </w:r>
      <w:r>
        <w:rPr>
          <w:rFonts w:ascii="Cambria" w:eastAsia="Cambria" w:hAnsi="Cambria" w:cs="Cambria"/>
          <w:color w:val="000000"/>
          <w:sz w:val="20"/>
          <w:szCs w:val="20"/>
        </w:rPr>
        <w:t xml:space="preserve"> = 0.032). The BMI effects in Fig. 1 are therefore not a by-product of autistic carriers being heavier. Adding polygenic scores for childhood obesity, adult BMI, height and autism, singly or together, to the age- and sex-adjusted models left all of these contrasts unchanged (Supplementary Fig. 4, Supplementary Tables 7 and 8).</w:t>
      </w:r>
    </w:p>
    <w:p w14:paraId="37F03FC2" w14:textId="77777777" w:rsidR="009F4713" w:rsidRDefault="00DA4967">
      <w:r>
        <w:rPr>
          <w:rFonts w:ascii="Cambria" w:eastAsia="Cambria" w:hAnsi="Cambria" w:cs="Cambria"/>
          <w:b/>
          <w:color w:val="000000"/>
          <w:sz w:val="20"/>
          <w:szCs w:val="20"/>
        </w:rPr>
        <w:t>Cognitive performance</w:t>
      </w:r>
    </w:p>
    <w:p w14:paraId="16CACF65" w14:textId="77777777" w:rsidR="009F4713" w:rsidRDefault="00DA4967">
      <w:r>
        <w:rPr>
          <w:rFonts w:ascii="Cambria" w:eastAsia="Cambria" w:hAnsi="Cambria" w:cs="Cambria"/>
          <w:color w:val="000000"/>
          <w:sz w:val="20"/>
          <w:szCs w:val="20"/>
        </w:rPr>
        <w:t>Penn Computerized Neurocognitive Battery</w:t>
      </w:r>
      <w:r>
        <w:rPr>
          <w:rFonts w:ascii="Cambria" w:eastAsia="Cambria" w:hAnsi="Cambria" w:cs="Cambria"/>
          <w:color w:val="000000"/>
          <w:sz w:val="20"/>
          <w:szCs w:val="20"/>
          <w:vertAlign w:val="superscript"/>
        </w:rPr>
        <w:t>13,14</w:t>
      </w:r>
      <w:r>
        <w:rPr>
          <w:rFonts w:ascii="Cambria" w:eastAsia="Cambria" w:hAnsi="Cambria" w:cs="Cambria"/>
          <w:color w:val="000000"/>
          <w:sz w:val="20"/>
          <w:szCs w:val="20"/>
        </w:rPr>
        <w:t xml:space="preserve"> accuracy and speed, available for G2MH carriers only, showed no reproducible association with BMI for any subtest or total (accuracy total: 16p11.2 deletion +0.02, 16p11.2 duplication -0.14 (</w:t>
      </w:r>
      <w:r>
        <w:rPr>
          <w:rFonts w:ascii="Cambria" w:eastAsia="Cambria" w:hAnsi="Cambria" w:cs="Cambria"/>
          <w:i/>
          <w:color w:val="000000"/>
          <w:sz w:val="20"/>
          <w:szCs w:val="20"/>
        </w:rPr>
        <w:t>P</w:t>
      </w:r>
      <w:r>
        <w:rPr>
          <w:rFonts w:ascii="Cambria" w:eastAsia="Cambria" w:hAnsi="Cambria" w:cs="Cambria"/>
          <w:color w:val="000000"/>
          <w:sz w:val="20"/>
          <w:szCs w:val="20"/>
        </w:rPr>
        <w:t xml:space="preserve"> = 0.074), 22q11.2 deletion -0.02, 22q11.2 duplication +0.06 s.d. per s.d.; heterogeneity across CNVs </w:t>
      </w:r>
      <w:r>
        <w:rPr>
          <w:rFonts w:ascii="Cambria" w:eastAsia="Cambria" w:hAnsi="Cambria" w:cs="Cambria"/>
          <w:i/>
          <w:color w:val="000000"/>
          <w:sz w:val="20"/>
          <w:szCs w:val="20"/>
        </w:rPr>
        <w:t>P</w:t>
      </w:r>
      <w:r>
        <w:rPr>
          <w:rFonts w:ascii="Cambria" w:eastAsia="Cambria" w:hAnsi="Cambria" w:cs="Cambria"/>
          <w:color w:val="000000"/>
          <w:sz w:val="20"/>
          <w:szCs w:val="20"/>
        </w:rPr>
        <w:t xml:space="preserve"> = 0.11). The negative slope in 16p11.2 duplication carriers had been nominally significant (-0.15, </w:t>
      </w:r>
      <w:r>
        <w:rPr>
          <w:rFonts w:ascii="Cambria" w:eastAsia="Cambria" w:hAnsi="Cambria" w:cs="Cambria"/>
          <w:i/>
          <w:color w:val="000000"/>
          <w:sz w:val="20"/>
          <w:szCs w:val="20"/>
        </w:rPr>
        <w:t>P</w:t>
      </w:r>
      <w:r>
        <w:rPr>
          <w:rFonts w:ascii="Cambria" w:eastAsia="Cambria" w:hAnsi="Cambria" w:cs="Cambria"/>
          <w:color w:val="000000"/>
          <w:sz w:val="20"/>
          <w:szCs w:val="20"/>
        </w:rPr>
        <w:t xml:space="preserve"> = 0.015) before the plausibility screen and rested on a single carrier with a recorded BMI of 9.2 kg m</w:t>
      </w:r>
      <w:r>
        <w:rPr>
          <w:rFonts w:ascii="Cambria" w:eastAsia="Cambria" w:hAnsi="Cambria" w:cs="Cambria"/>
          <w:color w:val="000000"/>
          <w:sz w:val="20"/>
          <w:szCs w:val="20"/>
          <w:vertAlign w:val="superscript"/>
        </w:rPr>
        <w:t>-2</w:t>
      </w:r>
      <w:r>
        <w:rPr>
          <w:rFonts w:ascii="Cambria" w:eastAsia="Cambria" w:hAnsi="Cambria" w:cs="Cambria"/>
          <w:color w:val="000000"/>
          <w:sz w:val="20"/>
          <w:szCs w:val="20"/>
        </w:rPr>
        <w:t xml:space="preserve"> (Supplementary Figs. 2 and 3, Supplementary Table 2).</w:t>
      </w:r>
    </w:p>
    <w:p w14:paraId="7D8307F7" w14:textId="77777777" w:rsidR="009F4713" w:rsidRDefault="00DA4967">
      <w:r>
        <w:rPr>
          <w:rFonts w:ascii="Cambria" w:eastAsia="Cambria" w:hAnsi="Cambria" w:cs="Cambria"/>
          <w:b/>
          <w:color w:val="000000"/>
          <w:sz w:val="20"/>
          <w:szCs w:val="20"/>
        </w:rPr>
        <w:t>Sex and polygenic background</w:t>
      </w:r>
    </w:p>
    <w:p w14:paraId="26D58A5D" w14:textId="77777777" w:rsidR="009F4713" w:rsidRDefault="00DA4967">
      <w:r>
        <w:rPr>
          <w:rFonts w:ascii="Cambria" w:eastAsia="Cambria" w:hAnsi="Cambria" w:cs="Cambria"/>
          <w:color w:val="000000"/>
          <w:sz w:val="20"/>
          <w:szCs w:val="20"/>
        </w:rPr>
        <w:t xml:space="preserve">In the subset with polygenic scores (G2MH carriers and SSC controls), the CNV x BMI contrasts were essentially unchanged by adjustment for sex, for each polygenic score with its BMI interaction, for all four scores, or for all four plus sex, on the same individuals: SRS, all CNVs, +0.192 (s.e. 0.048, </w:t>
      </w:r>
      <w:r>
        <w:rPr>
          <w:rFonts w:ascii="Cambria" w:eastAsia="Cambria" w:hAnsi="Cambria" w:cs="Cambria"/>
          <w:i/>
          <w:color w:val="000000"/>
          <w:sz w:val="20"/>
          <w:szCs w:val="20"/>
        </w:rPr>
        <w:t>P</w:t>
      </w:r>
      <w:r>
        <w:rPr>
          <w:rFonts w:ascii="Cambria" w:eastAsia="Cambria" w:hAnsi="Cambria" w:cs="Cambria"/>
          <w:color w:val="000000"/>
          <w:sz w:val="20"/>
          <w:szCs w:val="20"/>
        </w:rPr>
        <w:t xml:space="preserve"> = 5.8 x 10</w:t>
      </w:r>
      <w:r>
        <w:rPr>
          <w:rFonts w:ascii="Cambria" w:eastAsia="Cambria" w:hAnsi="Cambria" w:cs="Cambria"/>
          <w:color w:val="000000"/>
          <w:sz w:val="20"/>
          <w:szCs w:val="20"/>
          <w:vertAlign w:val="superscript"/>
        </w:rPr>
        <w:t>-5</w:t>
      </w:r>
      <w:r>
        <w:rPr>
          <w:rFonts w:ascii="Cambria" w:eastAsia="Cambria" w:hAnsi="Cambria" w:cs="Cambria"/>
          <w:color w:val="000000"/>
          <w:sz w:val="20"/>
          <w:szCs w:val="20"/>
        </w:rPr>
        <w:t>) unadjusted and +0.198 (</w:t>
      </w:r>
      <w:r>
        <w:rPr>
          <w:rFonts w:ascii="Cambria" w:eastAsia="Cambria" w:hAnsi="Cambria" w:cs="Cambria"/>
          <w:i/>
          <w:color w:val="000000"/>
          <w:sz w:val="20"/>
          <w:szCs w:val="20"/>
        </w:rPr>
        <w:t>P</w:t>
      </w:r>
      <w:r>
        <w:rPr>
          <w:rFonts w:ascii="Cambria" w:eastAsia="Cambria" w:hAnsi="Cambria" w:cs="Cambria"/>
          <w:color w:val="000000"/>
          <w:sz w:val="20"/>
          <w:szCs w:val="20"/>
        </w:rPr>
        <w:t xml:space="preserve"> = 3.6 x 10</w:t>
      </w:r>
      <w:r>
        <w:rPr>
          <w:rFonts w:ascii="Cambria" w:eastAsia="Cambria" w:hAnsi="Cambria" w:cs="Cambria"/>
          <w:color w:val="000000"/>
          <w:sz w:val="20"/>
          <w:szCs w:val="20"/>
          <w:vertAlign w:val="superscript"/>
        </w:rPr>
        <w:t>-5</w:t>
      </w:r>
      <w:r>
        <w:rPr>
          <w:rFonts w:ascii="Cambria" w:eastAsia="Cambria" w:hAnsi="Cambria" w:cs="Cambria"/>
          <w:color w:val="000000"/>
          <w:sz w:val="20"/>
          <w:szCs w:val="20"/>
        </w:rPr>
        <w:t>) fully adjusted; SCQ, all CNVs, +0.318 (</w:t>
      </w:r>
      <w:r>
        <w:rPr>
          <w:rFonts w:ascii="Cambria" w:eastAsia="Cambria" w:hAnsi="Cambria" w:cs="Cambria"/>
          <w:i/>
          <w:color w:val="000000"/>
          <w:sz w:val="20"/>
          <w:szCs w:val="20"/>
        </w:rPr>
        <w:t>P</w:t>
      </w:r>
      <w:r>
        <w:rPr>
          <w:rFonts w:ascii="Cambria" w:eastAsia="Cambria" w:hAnsi="Cambria" w:cs="Cambria"/>
          <w:color w:val="000000"/>
          <w:sz w:val="20"/>
          <w:szCs w:val="20"/>
        </w:rPr>
        <w:t xml:space="preserve"> = 5.0 x 10</w:t>
      </w:r>
      <w:r>
        <w:rPr>
          <w:rFonts w:ascii="Cambria" w:eastAsia="Cambria" w:hAnsi="Cambria" w:cs="Cambria"/>
          <w:color w:val="000000"/>
          <w:sz w:val="20"/>
          <w:szCs w:val="20"/>
          <w:vertAlign w:val="superscript"/>
        </w:rPr>
        <w:t>-4</w:t>
      </w:r>
      <w:r>
        <w:rPr>
          <w:rFonts w:ascii="Cambria" w:eastAsia="Cambria" w:hAnsi="Cambria" w:cs="Cambria"/>
          <w:color w:val="000000"/>
          <w:sz w:val="20"/>
          <w:szCs w:val="20"/>
        </w:rPr>
        <w:t>) and +0.312 (</w:t>
      </w:r>
      <w:r>
        <w:rPr>
          <w:rFonts w:ascii="Cambria" w:eastAsia="Cambria" w:hAnsi="Cambria" w:cs="Cambria"/>
          <w:i/>
          <w:color w:val="000000"/>
          <w:sz w:val="20"/>
          <w:szCs w:val="20"/>
        </w:rPr>
        <w:t>P</w:t>
      </w:r>
      <w:r>
        <w:rPr>
          <w:rFonts w:ascii="Cambria" w:eastAsia="Cambria" w:hAnsi="Cambria" w:cs="Cambria"/>
          <w:color w:val="000000"/>
          <w:sz w:val="20"/>
          <w:szCs w:val="20"/>
        </w:rPr>
        <w:t xml:space="preserve"> = 7.1 x 10</w:t>
      </w:r>
      <w:r>
        <w:rPr>
          <w:rFonts w:ascii="Cambria" w:eastAsia="Cambria" w:hAnsi="Cambria" w:cs="Cambria"/>
          <w:color w:val="000000"/>
          <w:sz w:val="20"/>
          <w:szCs w:val="20"/>
          <w:vertAlign w:val="superscript"/>
        </w:rPr>
        <w:t>-4</w:t>
      </w:r>
      <w:r>
        <w:rPr>
          <w:rFonts w:ascii="Cambria" w:eastAsia="Cambria" w:hAnsi="Cambria" w:cs="Cambria"/>
          <w:color w:val="000000"/>
          <w:sz w:val="20"/>
          <w:szCs w:val="20"/>
        </w:rPr>
        <w:t>); head circumference, 16p11.2 deletion, +0.130 (</w:t>
      </w:r>
      <w:r>
        <w:rPr>
          <w:rFonts w:ascii="Cambria" w:eastAsia="Cambria" w:hAnsi="Cambria" w:cs="Cambria"/>
          <w:i/>
          <w:color w:val="000000"/>
          <w:sz w:val="20"/>
          <w:szCs w:val="20"/>
        </w:rPr>
        <w:t>P</w:t>
      </w:r>
      <w:r>
        <w:rPr>
          <w:rFonts w:ascii="Cambria" w:eastAsia="Cambria" w:hAnsi="Cambria" w:cs="Cambria"/>
          <w:color w:val="000000"/>
          <w:sz w:val="20"/>
          <w:szCs w:val="20"/>
        </w:rPr>
        <w:t xml:space="preserve"> = 0.086; weaker than in the full sample because Simons VIP, Searchlight and Cardiff carriers are unscored) and +0.151 (</w:t>
      </w:r>
      <w:r>
        <w:rPr>
          <w:rFonts w:ascii="Cambria" w:eastAsia="Cambria" w:hAnsi="Cambria" w:cs="Cambria"/>
          <w:i/>
          <w:color w:val="000000"/>
          <w:sz w:val="20"/>
          <w:szCs w:val="20"/>
        </w:rPr>
        <w:t>P</w:t>
      </w:r>
      <w:r>
        <w:rPr>
          <w:rFonts w:ascii="Cambria" w:eastAsia="Cambria" w:hAnsi="Cambria" w:cs="Cambria"/>
          <w:color w:val="000000"/>
          <w:sz w:val="20"/>
          <w:szCs w:val="20"/>
        </w:rPr>
        <w:t xml:space="preserve"> = 0.041) (Supplementary Table 5). The carrier-versus-control slopes were present in both sexes and in both halves of every polygenic-score split (Supplementary Table 4). Of 206 modifier x BMI interaction tests, 47 had at least 80% power to detect an interaction as large as the carriers' own BMI effect; eleven were nominally significant (about two expected by chance, although the tests are correlated) and none survived correction for 47 tests (smallest </w:t>
      </w:r>
      <w:r>
        <w:rPr>
          <w:rFonts w:ascii="Cambria" w:eastAsia="Cambria" w:hAnsi="Cambria" w:cs="Cambria"/>
          <w:i/>
          <w:color w:val="000000"/>
          <w:sz w:val="20"/>
          <w:szCs w:val="20"/>
        </w:rPr>
        <w:t>P</w:t>
      </w:r>
      <w:r>
        <w:rPr>
          <w:rFonts w:ascii="Cambria" w:eastAsia="Cambria" w:hAnsi="Cambria" w:cs="Cambria"/>
          <w:color w:val="000000"/>
          <w:sz w:val="20"/>
          <w:szCs w:val="20"/>
        </w:rPr>
        <w:t xml:space="preserve"> = 0.017). The only directionally consistent signal was a stronger BMI-growth coupling with higher adult-BMI polygenic score (height, all CNVs, +0.088 per s.d. of score, </w:t>
      </w:r>
      <w:r>
        <w:rPr>
          <w:rFonts w:ascii="Cambria" w:eastAsia="Cambria" w:hAnsi="Cambria" w:cs="Cambria"/>
          <w:i/>
          <w:color w:val="000000"/>
          <w:sz w:val="20"/>
          <w:szCs w:val="20"/>
        </w:rPr>
        <w:t>P</w:t>
      </w:r>
      <w:r>
        <w:rPr>
          <w:rFonts w:ascii="Cambria" w:eastAsia="Cambria" w:hAnsi="Cambria" w:cs="Cambria"/>
          <w:color w:val="000000"/>
          <w:sz w:val="20"/>
          <w:szCs w:val="20"/>
        </w:rPr>
        <w:t xml:space="preserve"> = 0.017; head circumference +0.089, </w:t>
      </w:r>
      <w:r>
        <w:rPr>
          <w:rFonts w:ascii="Cambria" w:eastAsia="Cambria" w:hAnsi="Cambria" w:cs="Cambria"/>
          <w:i/>
          <w:color w:val="000000"/>
          <w:sz w:val="20"/>
          <w:szCs w:val="20"/>
        </w:rPr>
        <w:t>P</w:t>
      </w:r>
      <w:r>
        <w:rPr>
          <w:rFonts w:ascii="Cambria" w:eastAsia="Cambria" w:hAnsi="Cambria" w:cs="Cambria"/>
          <w:color w:val="000000"/>
          <w:sz w:val="20"/>
          <w:szCs w:val="20"/>
        </w:rPr>
        <w:t xml:space="preserve"> = 0.031) (Supplementary Table 6).</w:t>
      </w:r>
    </w:p>
    <w:p w14:paraId="6929E088" w14:textId="77777777" w:rsidR="009F4713" w:rsidRDefault="00DA4967">
      <w:r>
        <w:rPr>
          <w:rFonts w:ascii="Cambria" w:eastAsia="Cambria" w:hAnsi="Cambria" w:cs="Cambria"/>
          <w:b/>
          <w:color w:val="000000"/>
          <w:sz w:val="20"/>
          <w:szCs w:val="20"/>
        </w:rPr>
        <w:t>Psychotropic medication</w:t>
      </w:r>
    </w:p>
    <w:p w14:paraId="0697BDF1" w14:textId="77777777" w:rsidR="009F4713" w:rsidRDefault="00DA4967">
      <w:r>
        <w:rPr>
          <w:rFonts w:ascii="Cambria" w:eastAsia="Cambria" w:hAnsi="Cambria" w:cs="Cambria"/>
          <w:color w:val="000000"/>
          <w:sz w:val="20"/>
          <w:szCs w:val="20"/>
        </w:rPr>
        <w:t xml:space="preserve">Current psychotropic medication was recorded for 85-92% of G2MH carriers and used by 29-33% (antipsychotics 5-7%). Medication classes were strongly associated with the traits (antipsychotic users: SRS +2.3 s.d., SCQ +3.5 s.d., CNB accuracy -0.6 s.d.) but not with BMI (antipsychotics -0.2 s.d., </w:t>
      </w:r>
      <w:r>
        <w:rPr>
          <w:rFonts w:ascii="Cambria" w:eastAsia="Cambria" w:hAnsi="Cambria" w:cs="Cambria"/>
          <w:i/>
          <w:color w:val="000000"/>
          <w:sz w:val="20"/>
          <w:szCs w:val="20"/>
        </w:rPr>
        <w:t>P</w:t>
      </w:r>
      <w:r>
        <w:rPr>
          <w:rFonts w:ascii="Cambria" w:eastAsia="Cambria" w:hAnsi="Cambria" w:cs="Cambria"/>
          <w:color w:val="000000"/>
          <w:sz w:val="20"/>
          <w:szCs w:val="20"/>
        </w:rPr>
        <w:t xml:space="preserve"> = 0.5; any psychotropic +0.3, </w:t>
      </w:r>
      <w:r>
        <w:rPr>
          <w:rFonts w:ascii="Cambria" w:eastAsia="Cambria" w:hAnsi="Cambria" w:cs="Cambria"/>
          <w:i/>
          <w:color w:val="000000"/>
          <w:sz w:val="20"/>
          <w:szCs w:val="20"/>
        </w:rPr>
        <w:t>P</w:t>
      </w:r>
      <w:r>
        <w:rPr>
          <w:rFonts w:ascii="Cambria" w:eastAsia="Cambria" w:hAnsi="Cambria" w:cs="Cambria"/>
          <w:color w:val="000000"/>
          <w:sz w:val="20"/>
          <w:szCs w:val="20"/>
        </w:rPr>
        <w:t xml:space="preserve"> = 0.09), and the within-carrier BMI slopes were unchanged by adjustment for medication classes or by restriction to unmedicated carriers: SRS, all CNVs, +0.22, +0.19 and +0.23; SCQ +0.35, +0.37 and +0.38; head circumference, 16p11.2 deletion, +0.47, +0.48 and +0.50; height, 16p11.2 deletion, +0.31, +0.32 and +0.27 (Supplementary Table 9).</w:t>
      </w:r>
    </w:p>
    <w:p w14:paraId="065E75AF" w14:textId="77777777" w:rsidR="009F4713" w:rsidRDefault="00DA4967">
      <w:r>
        <w:rPr>
          <w:rFonts w:ascii="Cambria" w:eastAsia="Cambria" w:hAnsi="Cambria" w:cs="Cambria"/>
          <w:b/>
          <w:color w:val="000000"/>
          <w:sz w:val="20"/>
          <w:szCs w:val="20"/>
        </w:rPr>
        <w:t>Effect of the plausibility screen</w:t>
      </w:r>
    </w:p>
    <w:p w14:paraId="70D577B7" w14:textId="77777777" w:rsidR="009F4713" w:rsidRDefault="00DA4967">
      <w:r>
        <w:rPr>
          <w:rFonts w:ascii="Cambria" w:eastAsia="Cambria" w:hAnsi="Cambria" w:cs="Cambria"/>
          <w:color w:val="000000"/>
          <w:sz w:val="20"/>
          <w:szCs w:val="20"/>
        </w:rPr>
        <w:t xml:space="preserve">Screening removed 106 visit records from 95 individuals. SRS, SCQ and head-circumference results changed by at most 0.03 s.d. per s.d.; the 16p11.2 duplication CNB accuracy slope and the across-CNV heterogeneity for CNB accuracy lost significance; several CNV x age x BMI (three-way) </w:t>
      </w:r>
      <w:r>
        <w:rPr>
          <w:rFonts w:ascii="Cambria" w:eastAsia="Cambria" w:hAnsi="Cambria" w:cs="Cambria"/>
          <w:i/>
          <w:color w:val="000000"/>
          <w:sz w:val="20"/>
          <w:szCs w:val="20"/>
        </w:rPr>
        <w:t>P</w:t>
      </w:r>
      <w:r>
        <w:rPr>
          <w:rFonts w:ascii="Cambria" w:eastAsia="Cambria" w:hAnsi="Cambria" w:cs="Cambria"/>
          <w:color w:val="000000"/>
          <w:sz w:val="20"/>
          <w:szCs w:val="20"/>
        </w:rPr>
        <w:t xml:space="preserve"> values for height moved by orders of magnitude in both directions, so these terms are reported in Supplementary Table 1 but not interpreted.</w:t>
      </w:r>
    </w:p>
    <w:p w14:paraId="485E89B6" w14:textId="77777777" w:rsidR="009F4713" w:rsidRDefault="00DA4967" w:rsidP="00356462">
      <w:pPr>
        <w:pStyle w:val="Heading2"/>
        <w:numPr>
          <w:ilvl w:val="0"/>
          <w:numId w:val="0"/>
        </w:numPr>
      </w:pPr>
      <w:r>
        <w:t>Supplementary Methods</w:t>
      </w:r>
    </w:p>
    <w:p w14:paraId="6DD5EA0D" w14:textId="77777777" w:rsidR="009F4713" w:rsidRDefault="00DA4967">
      <w:r>
        <w:rPr>
          <w:rFonts w:ascii="Cambria" w:eastAsia="Cambria" w:hAnsi="Cambria" w:cs="Cambria"/>
          <w:b/>
          <w:color w:val="000000"/>
          <w:sz w:val="20"/>
          <w:szCs w:val="20"/>
        </w:rPr>
        <w:t>Ages of SSC relatives</w:t>
      </w:r>
    </w:p>
    <w:p w14:paraId="4280D3E2" w14:textId="77777777" w:rsidR="009F4713" w:rsidRDefault="00DA4967">
      <w:r>
        <w:rPr>
          <w:rFonts w:ascii="Cambria" w:eastAsia="Cambria" w:hAnsi="Cambria" w:cs="Cambria"/>
          <w:color w:val="000000"/>
          <w:sz w:val="20"/>
          <w:szCs w:val="20"/>
        </w:rPr>
        <w:t xml:space="preserve">The age fields of the SSC version 15 phenotype tables give age at a single snapshot date (September 2012), about three years after the typical study visit. Visit age for siblings and parents was reconstructed as the proband's age at evaluation plus the difference in birth month between the relative and the proband; this reproduces the SSC's own tabulated sibling height </w:t>
      </w:r>
      <w:r>
        <w:rPr>
          <w:rFonts w:ascii="Cambria" w:eastAsia="Cambria" w:hAnsi="Cambria" w:cs="Cambria"/>
          <w:i/>
          <w:color w:val="000000"/>
          <w:sz w:val="20"/>
          <w:szCs w:val="20"/>
        </w:rPr>
        <w:t>z</w:t>
      </w:r>
      <w:r>
        <w:rPr>
          <w:rFonts w:ascii="Cambria" w:eastAsia="Cambria" w:hAnsi="Cambria" w:cs="Cambria"/>
          <w:color w:val="000000"/>
          <w:sz w:val="20"/>
          <w:szCs w:val="20"/>
        </w:rPr>
        <w:t xml:space="preserve"> scores (</w:t>
      </w:r>
      <w:r>
        <w:rPr>
          <w:rFonts w:ascii="Cambria" w:eastAsia="Cambria" w:hAnsi="Cambria" w:cs="Cambria"/>
          <w:i/>
          <w:color w:val="000000"/>
          <w:sz w:val="20"/>
          <w:szCs w:val="20"/>
        </w:rPr>
        <w:t>r</w:t>
      </w:r>
      <w:r>
        <w:rPr>
          <w:rFonts w:ascii="Cambria" w:eastAsia="Cambria" w:hAnsi="Cambria" w:cs="Cambria"/>
          <w:color w:val="000000"/>
          <w:sz w:val="20"/>
          <w:szCs w:val="20"/>
        </w:rPr>
        <w:t xml:space="preserve"> = 0.96).</w:t>
      </w:r>
    </w:p>
    <w:p w14:paraId="634D52F3" w14:textId="77777777" w:rsidR="009F4713" w:rsidRDefault="00DA4967">
      <w:r>
        <w:rPr>
          <w:rFonts w:ascii="Cambria" w:eastAsia="Cambria" w:hAnsi="Cambria" w:cs="Cambria"/>
          <w:b/>
          <w:color w:val="000000"/>
          <w:sz w:val="20"/>
          <w:szCs w:val="20"/>
        </w:rPr>
        <w:t>Plausibility screen</w:t>
      </w:r>
    </w:p>
    <w:p w14:paraId="287429EB" w14:textId="77777777" w:rsidR="009F4713" w:rsidRDefault="00DA4967">
      <w:r>
        <w:rPr>
          <w:rFonts w:ascii="Cambria" w:eastAsia="Cambria" w:hAnsi="Cambria" w:cs="Cambria"/>
          <w:color w:val="000000"/>
          <w:sz w:val="20"/>
          <w:szCs w:val="20"/>
        </w:rPr>
        <w:t>Heights recorded in metres were multiplied by 100. Heights outside 60-230 cm (together with the derived BMI), BMI outside 10-70 kg m</w:t>
      </w:r>
      <w:r>
        <w:rPr>
          <w:rFonts w:ascii="Cambria" w:eastAsia="Cambria" w:hAnsi="Cambria" w:cs="Cambria"/>
          <w:color w:val="000000"/>
          <w:sz w:val="20"/>
          <w:szCs w:val="20"/>
          <w:vertAlign w:val="superscript"/>
        </w:rPr>
        <w:t>-2</w:t>
      </w:r>
      <w:r>
        <w:rPr>
          <w:rFonts w:ascii="Cambria" w:eastAsia="Cambria" w:hAnsi="Cambria" w:cs="Cambria"/>
          <w:color w:val="000000"/>
          <w:sz w:val="20"/>
          <w:szCs w:val="20"/>
        </w:rPr>
        <w:t xml:space="preserve">, |height </w:t>
      </w:r>
      <w:r>
        <w:rPr>
          <w:rFonts w:ascii="Cambria" w:eastAsia="Cambria" w:hAnsi="Cambria" w:cs="Cambria"/>
          <w:i/>
          <w:color w:val="000000"/>
          <w:sz w:val="20"/>
          <w:szCs w:val="20"/>
        </w:rPr>
        <w:t>z</w:t>
      </w:r>
      <w:r>
        <w:rPr>
          <w:rFonts w:ascii="Cambria" w:eastAsia="Cambria" w:hAnsi="Cambria" w:cs="Cambria"/>
          <w:color w:val="000000"/>
          <w:sz w:val="20"/>
          <w:szCs w:val="20"/>
        </w:rPr>
        <w:t xml:space="preserve">| &gt; 5, child |BMI </w:t>
      </w:r>
      <w:r>
        <w:rPr>
          <w:rFonts w:ascii="Cambria" w:eastAsia="Cambria" w:hAnsi="Cambria" w:cs="Cambria"/>
          <w:i/>
          <w:color w:val="000000"/>
          <w:sz w:val="20"/>
          <w:szCs w:val="20"/>
        </w:rPr>
        <w:t>z</w:t>
      </w:r>
      <w:r>
        <w:rPr>
          <w:rFonts w:ascii="Cambria" w:eastAsia="Cambria" w:hAnsi="Cambria" w:cs="Cambria"/>
          <w:color w:val="000000"/>
          <w:sz w:val="20"/>
          <w:szCs w:val="20"/>
        </w:rPr>
        <w:t>| &gt; 5 and head circumference outside 30-70 cm or |</w:t>
      </w:r>
      <w:r>
        <w:rPr>
          <w:rFonts w:ascii="Cambria" w:eastAsia="Cambria" w:hAnsi="Cambria" w:cs="Cambria"/>
          <w:i/>
          <w:color w:val="000000"/>
          <w:sz w:val="20"/>
          <w:szCs w:val="20"/>
        </w:rPr>
        <w:t>z</w:t>
      </w:r>
      <w:r>
        <w:rPr>
          <w:rFonts w:ascii="Cambria" w:eastAsia="Cambria" w:hAnsi="Cambria" w:cs="Cambria"/>
          <w:color w:val="000000"/>
          <w:sz w:val="20"/>
          <w:szCs w:val="20"/>
        </w:rPr>
        <w:t>| &gt; 5 were set to missing before any model was fitted. The screen was applied to the cross-sectional genomatrix and to the longitudinal Simons VIP series. Flagged records were listed for manual review and a correction sheet is applied automatically when filled in.</w:t>
      </w:r>
    </w:p>
    <w:p w14:paraId="0B78D698" w14:textId="77777777" w:rsidR="009F4713" w:rsidRDefault="00DA4967">
      <w:r>
        <w:rPr>
          <w:rFonts w:ascii="Cambria" w:eastAsia="Cambria" w:hAnsi="Cambria" w:cs="Cambria"/>
          <w:b/>
          <w:color w:val="000000"/>
          <w:sz w:val="20"/>
          <w:szCs w:val="20"/>
        </w:rPr>
        <w:t>Longitudinal models</w:t>
      </w:r>
    </w:p>
    <w:p w14:paraId="35CD3DDE" w14:textId="77777777" w:rsidR="009F4713" w:rsidRDefault="00DA4967">
      <w:r>
        <w:rPr>
          <w:rFonts w:ascii="Cambria" w:eastAsia="Cambria" w:hAnsi="Cambria" w:cs="Cambria"/>
          <w:color w:val="000000"/>
          <w:sz w:val="20"/>
          <w:szCs w:val="20"/>
        </w:rPr>
        <w:t xml:space="preserve">In carriers under 18 years, the change in height </w:t>
      </w:r>
      <w:r>
        <w:rPr>
          <w:rFonts w:ascii="Cambria" w:eastAsia="Cambria" w:hAnsi="Cambria" w:cs="Cambria"/>
          <w:i/>
          <w:color w:val="000000"/>
          <w:sz w:val="20"/>
          <w:szCs w:val="20"/>
        </w:rPr>
        <w:t>z</w:t>
      </w:r>
      <w:r>
        <w:rPr>
          <w:rFonts w:ascii="Cambria" w:eastAsia="Cambria" w:hAnsi="Cambria" w:cs="Cambria"/>
          <w:color w:val="000000"/>
          <w:sz w:val="20"/>
          <w:szCs w:val="20"/>
        </w:rPr>
        <w:t xml:space="preserve"> or head-circumference </w:t>
      </w:r>
      <w:r>
        <w:rPr>
          <w:rFonts w:ascii="Cambria" w:eastAsia="Cambria" w:hAnsi="Cambria" w:cs="Cambria"/>
          <w:i/>
          <w:color w:val="000000"/>
          <w:sz w:val="20"/>
          <w:szCs w:val="20"/>
        </w:rPr>
        <w:t>z</w:t>
      </w:r>
      <w:r>
        <w:rPr>
          <w:rFonts w:ascii="Cambria" w:eastAsia="Cambria" w:hAnsi="Cambria" w:cs="Cambria"/>
          <w:color w:val="000000"/>
          <w:sz w:val="20"/>
          <w:szCs w:val="20"/>
        </w:rPr>
        <w:t xml:space="preserve"> from one visit to the next was regressed on BMI </w:t>
      </w:r>
      <w:r>
        <w:rPr>
          <w:rFonts w:ascii="Cambria" w:eastAsia="Cambria" w:hAnsi="Cambria" w:cs="Cambria"/>
          <w:i/>
          <w:color w:val="000000"/>
          <w:sz w:val="20"/>
          <w:szCs w:val="20"/>
        </w:rPr>
        <w:t>z</w:t>
      </w:r>
      <w:r>
        <w:rPr>
          <w:rFonts w:ascii="Cambria" w:eastAsia="Cambria" w:hAnsi="Cambria" w:cs="Cambria"/>
          <w:color w:val="000000"/>
          <w:sz w:val="20"/>
          <w:szCs w:val="20"/>
        </w:rPr>
        <w:t xml:space="preserve"> at the first visit, adjusting for </w:t>
      </w:r>
      <w:r>
        <w:rPr>
          <w:rFonts w:ascii="Cambria" w:eastAsia="Cambria" w:hAnsi="Cambria" w:cs="Cambria"/>
          <w:i/>
          <w:color w:val="000000"/>
          <w:sz w:val="20"/>
          <w:szCs w:val="20"/>
        </w:rPr>
        <w:t>z</w:t>
      </w:r>
      <w:r>
        <w:rPr>
          <w:rFonts w:ascii="Cambria" w:eastAsia="Cambria" w:hAnsi="Cambria" w:cs="Cambria"/>
          <w:color w:val="000000"/>
          <w:sz w:val="20"/>
          <w:szCs w:val="20"/>
        </w:rPr>
        <w:t xml:space="preserve"> at that visit, interval length, sex and, in pooled models, locus and cohort, with a child random intercept. A mixed GAM with s(age, by = BMI) gave the age-varying effect and its test against zero at any age; the same model with a constant BMI term gave the all-ages coefficient; linear mixed models with BMI x age-window terms gave window-specific coefficients (height: &lt; 8, 8-13, 13-18 years; head circumference: 2-5, 5-18 years). Height used longitudinal visits of Simons VIP, Searchlight and Cardiff carriers</w:t>
      </w:r>
      <w:r>
        <w:rPr>
          <w:rFonts w:ascii="Cambria" w:eastAsia="Cambria" w:hAnsi="Cambria" w:cs="Cambria"/>
          <w:color w:val="000000"/>
          <w:sz w:val="20"/>
          <w:szCs w:val="20"/>
        </w:rPr>
        <w:t xml:space="preserve"> (intervals &gt;= 0.5 years); head circumference used the full Simons VIP measurement series plus Cardiff, G2MH and SSC carrier visits. 22q11.2 duplication children were too few (</w:t>
      </w:r>
      <w:r>
        <w:rPr>
          <w:rFonts w:ascii="Cambria" w:eastAsia="Cambria" w:hAnsi="Cambria" w:cs="Cambria"/>
          <w:i/>
          <w:color w:val="000000"/>
          <w:sz w:val="20"/>
          <w:szCs w:val="20"/>
        </w:rPr>
        <w:t>n</w:t>
      </w:r>
      <w:r>
        <w:rPr>
          <w:rFonts w:ascii="Cambria" w:eastAsia="Cambria" w:hAnsi="Cambria" w:cs="Cambria"/>
          <w:color w:val="000000"/>
          <w:sz w:val="20"/>
          <w:szCs w:val="20"/>
        </w:rPr>
        <w:t xml:space="preserve"> &lt;= 12) for separate estimates.</w:t>
      </w:r>
    </w:p>
    <w:p w14:paraId="1DCB2D6A" w14:textId="77777777" w:rsidR="009F4713" w:rsidRDefault="00DA4967">
      <w:r>
        <w:rPr>
          <w:rFonts w:ascii="Cambria" w:eastAsia="Cambria" w:hAnsi="Cambria" w:cs="Cambria"/>
          <w:b/>
          <w:color w:val="000000"/>
          <w:sz w:val="20"/>
          <w:szCs w:val="20"/>
        </w:rPr>
        <w:t>Autism diagnosis within CNV group</w:t>
      </w:r>
    </w:p>
    <w:p w14:paraId="169A0517" w14:textId="77777777" w:rsidR="009F4713" w:rsidRDefault="00DA4967">
      <w:r>
        <w:rPr>
          <w:rFonts w:ascii="Cambria" w:eastAsia="Cambria" w:hAnsi="Cambria" w:cs="Cambria"/>
          <w:color w:val="000000"/>
          <w:sz w:val="20"/>
          <w:szCs w:val="20"/>
        </w:rPr>
        <w:t xml:space="preserve">Within each CNV group, the pooled overgrowth and undergrowth groups and the SSC (probands versus designated siblings), height, head-circumference and BMI </w:t>
      </w:r>
      <w:r>
        <w:rPr>
          <w:rFonts w:ascii="Cambria" w:eastAsia="Cambria" w:hAnsi="Cambria" w:cs="Cambria"/>
          <w:i/>
          <w:color w:val="000000"/>
          <w:sz w:val="20"/>
          <w:szCs w:val="20"/>
        </w:rPr>
        <w:t>z</w:t>
      </w:r>
      <w:r>
        <w:rPr>
          <w:rFonts w:ascii="Cambria" w:eastAsia="Cambria" w:hAnsi="Cambria" w:cs="Cambria"/>
          <w:color w:val="000000"/>
          <w:sz w:val="20"/>
          <w:szCs w:val="20"/>
        </w:rPr>
        <w:t xml:space="preserve"> were compared between individuals with and without an autism diagnosis in GAMs </w:t>
      </w:r>
      <w:r>
        <w:rPr>
          <w:rFonts w:ascii="Cambria" w:eastAsia="Cambria" w:hAnsi="Cambria" w:cs="Cambria"/>
          <w:i/>
          <w:color w:val="000000"/>
          <w:sz w:val="20"/>
          <w:szCs w:val="20"/>
        </w:rPr>
        <w:t>y</w:t>
      </w:r>
      <w:r>
        <w:rPr>
          <w:rFonts w:ascii="Cambria" w:eastAsia="Cambria" w:hAnsi="Cambria" w:cs="Cambria"/>
          <w:color w:val="000000"/>
          <w:sz w:val="20"/>
          <w:szCs w:val="20"/>
        </w:rPr>
        <w:t xml:space="preserve"> ~ autism + s(age) + sex, plus cohort and, in pooled groups, locus. The difference between the autism effect in a carrier group and that in SSC non-carriers was tested by pooling the carrier group with the non-carriers and fitting </w:t>
      </w:r>
      <w:r>
        <w:rPr>
          <w:rFonts w:ascii="Cambria" w:eastAsia="Cambria" w:hAnsi="Cambria" w:cs="Cambria"/>
          <w:i/>
          <w:color w:val="000000"/>
          <w:sz w:val="20"/>
          <w:szCs w:val="20"/>
        </w:rPr>
        <w:t>y</w:t>
      </w:r>
      <w:r>
        <w:rPr>
          <w:rFonts w:ascii="Cambria" w:eastAsia="Cambria" w:hAnsi="Cambria" w:cs="Cambria"/>
          <w:color w:val="000000"/>
          <w:sz w:val="20"/>
          <w:szCs w:val="20"/>
        </w:rPr>
        <w:t xml:space="preserve"> ~ autism + locus + autism x carrier + s(age, by = carrier) + sex + cohort. Sensitivity models added each polygenic score, and all four, in the subset with scores.</w:t>
      </w:r>
    </w:p>
    <w:p w14:paraId="2DC20512" w14:textId="77777777" w:rsidR="009F4713" w:rsidRDefault="00DA4967">
      <w:r>
        <w:rPr>
          <w:rFonts w:ascii="Cambria" w:eastAsia="Cambria" w:hAnsi="Cambria" w:cs="Cambria"/>
          <w:b/>
          <w:color w:val="000000"/>
          <w:sz w:val="20"/>
          <w:szCs w:val="20"/>
        </w:rPr>
        <w:t>Polygenic scores</w:t>
      </w:r>
    </w:p>
    <w:p w14:paraId="0749427C" w14:textId="77777777" w:rsidR="009F4713" w:rsidRDefault="00DA4967">
      <w:r>
        <w:rPr>
          <w:rFonts w:ascii="Cambria" w:eastAsia="Cambria" w:hAnsi="Cambria" w:cs="Cambria"/>
          <w:color w:val="000000"/>
          <w:sz w:val="20"/>
          <w:szCs w:val="20"/>
        </w:rPr>
        <w:t>Weights were SBayesRC posterior effects</w:t>
      </w:r>
      <w:r>
        <w:rPr>
          <w:rFonts w:ascii="Cambria" w:eastAsia="Cambria" w:hAnsi="Cambria" w:cs="Cambria"/>
          <w:color w:val="000000"/>
          <w:sz w:val="20"/>
          <w:szCs w:val="20"/>
          <w:vertAlign w:val="superscript"/>
        </w:rPr>
        <w:t>15</w:t>
      </w:r>
      <w:r>
        <w:rPr>
          <w:rFonts w:ascii="Cambria" w:eastAsia="Cambria" w:hAnsi="Cambria" w:cs="Cambria"/>
          <w:color w:val="000000"/>
          <w:sz w:val="20"/>
          <w:szCs w:val="20"/>
        </w:rPr>
        <w:t xml:space="preserve"> (UK Biobank European HapMap3 LD reference, baseline-LD 2.2 annotations) derived from published summary statistics for adult BMI</w:t>
      </w:r>
      <w:r>
        <w:rPr>
          <w:rFonts w:ascii="Cambria" w:eastAsia="Cambria" w:hAnsi="Cambria" w:cs="Cambria"/>
          <w:color w:val="000000"/>
          <w:sz w:val="20"/>
          <w:szCs w:val="20"/>
          <w:vertAlign w:val="superscript"/>
        </w:rPr>
        <w:t>16</w:t>
      </w:r>
      <w:r>
        <w:rPr>
          <w:rFonts w:ascii="Cambria" w:eastAsia="Cambria" w:hAnsi="Cambria" w:cs="Cambria"/>
          <w:color w:val="000000"/>
          <w:sz w:val="20"/>
          <w:szCs w:val="20"/>
        </w:rPr>
        <w:t>, childhood obesity</w:t>
      </w:r>
      <w:r>
        <w:rPr>
          <w:rFonts w:ascii="Cambria" w:eastAsia="Cambria" w:hAnsi="Cambria" w:cs="Cambria"/>
          <w:color w:val="000000"/>
          <w:sz w:val="20"/>
          <w:szCs w:val="20"/>
          <w:vertAlign w:val="superscript"/>
        </w:rPr>
        <w:t>17</w:t>
      </w:r>
      <w:r>
        <w:rPr>
          <w:rFonts w:ascii="Cambria" w:eastAsia="Cambria" w:hAnsi="Cambria" w:cs="Cambria"/>
          <w:color w:val="000000"/>
          <w:sz w:val="20"/>
          <w:szCs w:val="20"/>
        </w:rPr>
        <w:t xml:space="preserve"> and height</w:t>
      </w:r>
      <w:r>
        <w:rPr>
          <w:rFonts w:ascii="Cambria" w:eastAsia="Cambria" w:hAnsi="Cambria" w:cs="Cambria"/>
          <w:color w:val="000000"/>
          <w:sz w:val="20"/>
          <w:szCs w:val="20"/>
          <w:vertAlign w:val="superscript"/>
        </w:rPr>
        <w:t>18</w:t>
      </w:r>
      <w:r>
        <w:rPr>
          <w:rFonts w:ascii="Cambria" w:eastAsia="Cambria" w:hAnsi="Cambria" w:cs="Cambria"/>
          <w:color w:val="000000"/>
          <w:sz w:val="20"/>
          <w:szCs w:val="20"/>
        </w:rPr>
        <w:t>, and from the April 2026 autism GWAS meta-analysis (iPSYCH, PGC, SPARK, SSC and MoBa; unpublished; the 2019 release is ref. 19). Scores were computed with PLINK 2</w:t>
      </w:r>
      <w:r>
        <w:rPr>
          <w:rFonts w:ascii="Cambria" w:eastAsia="Cambria" w:hAnsi="Cambria" w:cs="Cambria"/>
          <w:color w:val="000000"/>
          <w:sz w:val="20"/>
          <w:szCs w:val="20"/>
          <w:vertAlign w:val="superscript"/>
        </w:rPr>
        <w:t>20</w:t>
      </w:r>
      <w:r>
        <w:rPr>
          <w:rFonts w:ascii="Cambria" w:eastAsia="Cambria" w:hAnsi="Cambria" w:cs="Cambria"/>
          <w:color w:val="000000"/>
          <w:sz w:val="20"/>
          <w:szCs w:val="20"/>
        </w:rPr>
        <w:t xml:space="preserve"> on whole-genome sequence genotypes of G2MH carriers and on the SSC genotype set; for autism, SSC was scored with weights derived leaving the SSC out of the discovery GWAS, because the SSC contributes to that GWAS. Scores were residualized on ten ancestry principal components within cohort and standardized within cohort. Simons VIP, Searchlight and Cardiff carriers were not scored.</w:t>
      </w:r>
    </w:p>
    <w:p w14:paraId="20883257" w14:textId="77777777" w:rsidR="009F4713" w:rsidRDefault="00DA4967">
      <w:r>
        <w:rPr>
          <w:rFonts w:ascii="Cambria" w:eastAsia="Cambria" w:hAnsi="Cambria" w:cs="Cambria"/>
          <w:b/>
          <w:color w:val="000000"/>
          <w:sz w:val="20"/>
          <w:szCs w:val="20"/>
        </w:rPr>
        <w:t>Sex and polygenic-score sensitivity analyses</w:t>
      </w:r>
    </w:p>
    <w:p w14:paraId="23FFFC4A" w14:textId="77777777" w:rsidR="009F4713" w:rsidRDefault="00DA4967">
      <w:r>
        <w:rPr>
          <w:rFonts w:ascii="Cambria" w:eastAsia="Cambria" w:hAnsi="Cambria" w:cs="Cambria"/>
          <w:color w:val="000000"/>
          <w:sz w:val="20"/>
          <w:szCs w:val="20"/>
        </w:rPr>
        <w:t>Confounding (Supplementary Table 5): for each trait and group, the carrier BMI slope and the CNV x BMI contrast versus unaffected controls were refitted on the individuals with all four scores, unadjusted; adding sex and sex x BMI; adding each score with its BMI interaction; adding all four; and all four plus sex. Stratification (Supplementary Table 4): the main-figure tests were repeated within sex and within below- and above-median halves of each score, carriers and controls stratified alike. Interactions</w:t>
      </w:r>
      <w:r>
        <w:rPr>
          <w:rFonts w:ascii="Cambria" w:eastAsia="Cambria" w:hAnsi="Cambria" w:cs="Cambria"/>
          <w:color w:val="000000"/>
          <w:sz w:val="20"/>
          <w:szCs w:val="20"/>
        </w:rPr>
        <w:t xml:space="preserve"> (Supplementary Table 6): for each modifier (sex; each score as a continuous </w:t>
      </w:r>
      <w:r>
        <w:rPr>
          <w:rFonts w:ascii="Cambria" w:eastAsia="Cambria" w:hAnsi="Cambria" w:cs="Cambria"/>
          <w:i/>
          <w:color w:val="000000"/>
          <w:sz w:val="20"/>
          <w:szCs w:val="20"/>
        </w:rPr>
        <w:t>z</w:t>
      </w:r>
      <w:r>
        <w:rPr>
          <w:rFonts w:ascii="Cambria" w:eastAsia="Cambria" w:hAnsi="Cambria" w:cs="Cambria"/>
          <w:color w:val="000000"/>
          <w:sz w:val="20"/>
          <w:szCs w:val="20"/>
        </w:rPr>
        <w:t>), BMI x modifier was fitted within carriers (</w:t>
      </w:r>
      <w:r>
        <w:rPr>
          <w:rFonts w:ascii="Cambria" w:eastAsia="Cambria" w:hAnsi="Cambria" w:cs="Cambria"/>
          <w:i/>
          <w:color w:val="000000"/>
          <w:sz w:val="20"/>
          <w:szCs w:val="20"/>
        </w:rPr>
        <w:t>y</w:t>
      </w:r>
      <w:r>
        <w:rPr>
          <w:rFonts w:ascii="Cambria" w:eastAsia="Cambria" w:hAnsi="Cambria" w:cs="Cambria"/>
          <w:color w:val="000000"/>
          <w:sz w:val="20"/>
          <w:szCs w:val="20"/>
        </w:rPr>
        <w:t xml:space="preserve"> ~ s(age) + BMI x modifier [+ locus]); power to detect an interaction as large as the carriers' own BMI effect was computed from the term's standard error (normal approximation) and interactions are reported only where that power was at least 80%.</w:t>
      </w:r>
    </w:p>
    <w:p w14:paraId="2E7E5DB4" w14:textId="77777777" w:rsidR="009F4713" w:rsidRDefault="00DA4967">
      <w:r>
        <w:rPr>
          <w:rFonts w:ascii="Cambria" w:eastAsia="Cambria" w:hAnsi="Cambria" w:cs="Cambria"/>
          <w:b/>
          <w:color w:val="000000"/>
          <w:sz w:val="20"/>
          <w:szCs w:val="20"/>
        </w:rPr>
        <w:t>Medication</w:t>
      </w:r>
    </w:p>
    <w:p w14:paraId="40DD8C6C" w14:textId="77777777" w:rsidR="009F4713" w:rsidRDefault="00DA4967">
      <w:r>
        <w:rPr>
          <w:rFonts w:ascii="Cambria" w:eastAsia="Cambria" w:hAnsi="Cambria" w:cs="Cambria"/>
          <w:color w:val="000000"/>
          <w:sz w:val="20"/>
          <w:szCs w:val="20"/>
        </w:rPr>
        <w:t>Current medication from the G2MH medications release was classified by drug name into antipsychotics, stimulant and other ADHD medication, ADHD alpha-agonists, antidepressants, antiepileptics and mood stabilizers, and anxiolytics; weight-gain-associated (antipsychotics, valproate, lithium, mirtazapine, gabapentinoids) and weight-loss-associated (stimulants, atomoxetine, topiramate, metformin, GLP-1 agonists) groupings were also formed. Within-carrier BMI slopes for height, head circumference, SRS, SCQ and C</w:t>
      </w:r>
      <w:r>
        <w:rPr>
          <w:rFonts w:ascii="Cambria" w:eastAsia="Cambria" w:hAnsi="Cambria" w:cs="Cambria"/>
          <w:color w:val="000000"/>
          <w:sz w:val="20"/>
          <w:szCs w:val="20"/>
        </w:rPr>
        <w:t>NB were refitted unadjusted, with class indicators, in carriers on no psychotropic, and with classes plus autism diagnosis. Associations of each class with BMI and with the trait were tested in age- and locus-adjusted GAMs. Controls have no medication data, so the carrier-control contrasts cannot be medication-adjusted.</w:t>
      </w:r>
    </w:p>
    <w:p w14:paraId="0E60D066" w14:textId="77777777" w:rsidR="009F4713" w:rsidRDefault="00DA4967">
      <w:r>
        <w:rPr>
          <w:rFonts w:ascii="Cambria" w:eastAsia="Cambria" w:hAnsi="Cambria" w:cs="Cambria"/>
          <w:b/>
          <w:color w:val="000000"/>
          <w:sz w:val="20"/>
          <w:szCs w:val="20"/>
        </w:rPr>
        <w:t>Cognitive measures</w:t>
      </w:r>
    </w:p>
    <w:p w14:paraId="33277F45" w14:textId="77777777" w:rsidR="009F4713" w:rsidRDefault="00DA4967">
      <w:r>
        <w:rPr>
          <w:rFonts w:ascii="Cambria" w:eastAsia="Cambria" w:hAnsi="Cambria" w:cs="Cambria"/>
          <w:color w:val="000000"/>
          <w:sz w:val="20"/>
          <w:szCs w:val="20"/>
        </w:rPr>
        <w:t>Penn CNB</w:t>
      </w:r>
      <w:r>
        <w:rPr>
          <w:rFonts w:ascii="Cambria" w:eastAsia="Cambria" w:hAnsi="Cambria" w:cs="Cambria"/>
          <w:color w:val="000000"/>
          <w:sz w:val="20"/>
          <w:szCs w:val="20"/>
          <w:vertAlign w:val="superscript"/>
        </w:rPr>
        <w:t>13,14</w:t>
      </w:r>
      <w:r>
        <w:rPr>
          <w:rFonts w:ascii="Cambria" w:eastAsia="Cambria" w:hAnsi="Cambria" w:cs="Cambria"/>
          <w:color w:val="000000"/>
          <w:sz w:val="20"/>
          <w:szCs w:val="20"/>
        </w:rPr>
        <w:t xml:space="preserve"> accuracy and speed scores were standardized against G2MH non-carriers (speed as the negative </w:t>
      </w:r>
      <w:r>
        <w:rPr>
          <w:rFonts w:ascii="Cambria" w:eastAsia="Cambria" w:hAnsi="Cambria" w:cs="Cambria"/>
          <w:i/>
          <w:color w:val="000000"/>
          <w:sz w:val="20"/>
          <w:szCs w:val="20"/>
        </w:rPr>
        <w:t>z</w:t>
      </w:r>
      <w:r>
        <w:rPr>
          <w:rFonts w:ascii="Cambria" w:eastAsia="Cambria" w:hAnsi="Cambria" w:cs="Cambria"/>
          <w:color w:val="000000"/>
          <w:sz w:val="20"/>
          <w:szCs w:val="20"/>
        </w:rPr>
        <w:t xml:space="preserve"> of median correct response time); totals are the mean of subtest </w:t>
      </w:r>
      <w:r>
        <w:rPr>
          <w:rFonts w:ascii="Cambria" w:eastAsia="Cambria" w:hAnsi="Cambria" w:cs="Cambria"/>
          <w:i/>
          <w:color w:val="000000"/>
          <w:sz w:val="20"/>
          <w:szCs w:val="20"/>
        </w:rPr>
        <w:t>z</w:t>
      </w:r>
      <w:r>
        <w:rPr>
          <w:rFonts w:ascii="Cambria" w:eastAsia="Cambria" w:hAnsi="Cambria" w:cs="Cambria"/>
          <w:color w:val="000000"/>
          <w:sz w:val="20"/>
          <w:szCs w:val="20"/>
        </w:rPr>
        <w:t xml:space="preserve"> scores over at least five subtests, and BMI was taken within three years of the battery. G2MH non-carriers with CNB data have no BMI, so no control contrast is available.</w:t>
      </w:r>
    </w:p>
    <w:p w14:paraId="0D4A45F9" w14:textId="77777777" w:rsidR="009F4713" w:rsidRDefault="00DA4967" w:rsidP="00356462">
      <w:pPr>
        <w:pStyle w:val="Heading2"/>
        <w:numPr>
          <w:ilvl w:val="0"/>
          <w:numId w:val="0"/>
        </w:numPr>
      </w:pPr>
      <w:r>
        <w:t>Supplementary Figures</w:t>
      </w:r>
    </w:p>
    <w:p w14:paraId="756B1501" w14:textId="77777777" w:rsidR="009F4713" w:rsidRDefault="00DA4967">
      <w:r>
        <w:br w:type="page"/>
      </w:r>
    </w:p>
    <w:p w14:paraId="2811C65E" w14:textId="77777777" w:rsidR="009F4713" w:rsidRDefault="00DA4967">
      <w:r>
        <w:rPr>
          <w:rFonts w:ascii="Cambria" w:eastAsia="Cambria" w:hAnsi="Cambria" w:cs="Cambria"/>
          <w:b/>
          <w:color w:val="000000"/>
          <w:sz w:val="20"/>
          <w:szCs w:val="20"/>
        </w:rPr>
        <w:t>Supplementary Fig. 1 | Prospective, age-varying effect of body mass on subsequent growth in CNV carriers under 18 years.</w:t>
      </w:r>
    </w:p>
    <w:p w14:paraId="4CF3D97E" w14:textId="77777777" w:rsidR="009F4713" w:rsidRDefault="00DA4967">
      <w:r>
        <w:rPr>
          <w:rFonts w:ascii="Cambria" w:eastAsia="Cambria" w:hAnsi="Cambria" w:cs="Cambria"/>
          <w:color w:val="000000"/>
          <w:sz w:val="20"/>
          <w:szCs w:val="20"/>
        </w:rPr>
        <w:t xml:space="preserve">Change in height </w:t>
      </w:r>
      <w:r>
        <w:rPr>
          <w:rFonts w:ascii="Cambria" w:eastAsia="Cambria" w:hAnsi="Cambria" w:cs="Cambria"/>
          <w:i/>
          <w:color w:val="000000"/>
          <w:sz w:val="20"/>
          <w:szCs w:val="20"/>
        </w:rPr>
        <w:t>z</w:t>
      </w:r>
      <w:r>
        <w:rPr>
          <w:rFonts w:ascii="Cambria" w:eastAsia="Cambria" w:hAnsi="Cambria" w:cs="Cambria"/>
          <w:color w:val="000000"/>
          <w:sz w:val="20"/>
          <w:szCs w:val="20"/>
        </w:rPr>
        <w:t xml:space="preserve"> (WHO; top row) or head-circumference </w:t>
      </w:r>
      <w:r>
        <w:rPr>
          <w:rFonts w:ascii="Cambria" w:eastAsia="Cambria" w:hAnsi="Cambria" w:cs="Cambria"/>
          <w:i/>
          <w:color w:val="000000"/>
          <w:sz w:val="20"/>
          <w:szCs w:val="20"/>
        </w:rPr>
        <w:t>z</w:t>
      </w:r>
      <w:r>
        <w:rPr>
          <w:rFonts w:ascii="Cambria" w:eastAsia="Cambria" w:hAnsi="Cambria" w:cs="Cambria"/>
          <w:color w:val="000000"/>
          <w:sz w:val="20"/>
          <w:szCs w:val="20"/>
        </w:rPr>
        <w:t xml:space="preserve"> (UK90; bottom row) from one visit to the next, per 1 s.d. of BMI </w:t>
      </w:r>
      <w:r>
        <w:rPr>
          <w:rFonts w:ascii="Cambria" w:eastAsia="Cambria" w:hAnsi="Cambria" w:cs="Cambria"/>
          <w:i/>
          <w:color w:val="000000"/>
          <w:sz w:val="20"/>
          <w:szCs w:val="20"/>
        </w:rPr>
        <w:t>z</w:t>
      </w:r>
      <w:r>
        <w:rPr>
          <w:rFonts w:ascii="Cambria" w:eastAsia="Cambria" w:hAnsi="Cambria" w:cs="Cambria"/>
          <w:color w:val="000000"/>
          <w:sz w:val="20"/>
          <w:szCs w:val="20"/>
        </w:rPr>
        <w:t xml:space="preserve"> at the first visit, as a smooth function of age at that visit (line, 95% CI). Columns: 16p11.2 deletion, 16p11.2 duplication, 22q11.2 deletion and all carriers pooled (including 22q11.2 duplication children). Mixed GAM with a child random intercept, adjusted for </w:t>
      </w:r>
      <w:r>
        <w:rPr>
          <w:rFonts w:ascii="Cambria" w:eastAsia="Cambria" w:hAnsi="Cambria" w:cs="Cambria"/>
          <w:i/>
          <w:color w:val="000000"/>
          <w:sz w:val="20"/>
          <w:szCs w:val="20"/>
        </w:rPr>
        <w:t>z</w:t>
      </w:r>
      <w:r>
        <w:rPr>
          <w:rFonts w:ascii="Cambria" w:eastAsia="Cambria" w:hAnsi="Cambria" w:cs="Cambria"/>
          <w:color w:val="000000"/>
          <w:sz w:val="20"/>
          <w:szCs w:val="20"/>
        </w:rPr>
        <w:t xml:space="preserve"> at the visit, interval length, sex and (pooled) locus and cohort; the age-varying </w:t>
      </w:r>
      <w:r>
        <w:rPr>
          <w:rFonts w:ascii="Cambria" w:eastAsia="Cambria" w:hAnsi="Cambria" w:cs="Cambria"/>
          <w:i/>
          <w:color w:val="000000"/>
          <w:sz w:val="20"/>
          <w:szCs w:val="20"/>
        </w:rPr>
        <w:t>P</w:t>
      </w:r>
      <w:r>
        <w:rPr>
          <w:rFonts w:ascii="Cambria" w:eastAsia="Cambria" w:hAnsi="Cambria" w:cs="Cambria"/>
          <w:color w:val="000000"/>
          <w:sz w:val="20"/>
          <w:szCs w:val="20"/>
        </w:rPr>
        <w:t xml:space="preserve"> tests whether the BMI effect differs from zero at any age; 'all ages' is the same model with a single constant BMI coefficient (+/- s.e.). Grey band, 8-13 years. Height: 116, 48, 73 and 248 children (224, 84, 102 and 422 intervals); head circumference: 91, 46, 50 and 193 children (287, 159, 56 and 509 intervals). Two-sided tests. Statistics in Supplementary Table 3.</w:t>
      </w:r>
    </w:p>
    <w:p w14:paraId="41EB8C57" w14:textId="77777777" w:rsidR="009F4713" w:rsidRDefault="00DA4967">
      <w:r>
        <w:rPr>
          <w:noProof/>
        </w:rPr>
        <w:drawing>
          <wp:inline distT="0" distB="0" distL="0" distR="0" wp14:anchorId="6978DA15" wp14:editId="5C533C2E">
            <wp:extent cx="5943600" cy="3368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6"/>
                    <a:stretch>
                      <a:fillRect/>
                    </a:stretch>
                  </pic:blipFill>
                  <pic:spPr bwMode="auto">
                    <a:xfrm>
                      <a:off x="0" y="0"/>
                      <a:ext cx="5943600" cy="3368040"/>
                    </a:xfrm>
                    <a:prstGeom prst="rect">
                      <a:avLst/>
                    </a:prstGeom>
                    <a:noFill/>
                  </pic:spPr>
                </pic:pic>
              </a:graphicData>
            </a:graphic>
          </wp:inline>
        </w:drawing>
      </w:r>
    </w:p>
    <w:p w14:paraId="0473D015" w14:textId="77777777" w:rsidR="009F4713" w:rsidRDefault="00DA4967">
      <w:r>
        <w:br w:type="page"/>
      </w:r>
    </w:p>
    <w:p w14:paraId="6A026D60" w14:textId="77777777" w:rsidR="009F4713" w:rsidRDefault="00DA4967">
      <w:r>
        <w:rPr>
          <w:rFonts w:ascii="Cambria" w:eastAsia="Cambria" w:hAnsi="Cambria" w:cs="Cambria"/>
          <w:b/>
          <w:color w:val="000000"/>
          <w:sz w:val="20"/>
          <w:szCs w:val="20"/>
        </w:rPr>
        <w:t>Supplementary Fig. 2 | Body mass and Penn CNB accuracy in CNV carriers.</w:t>
      </w:r>
    </w:p>
    <w:p w14:paraId="7A2ADB1B" w14:textId="77777777" w:rsidR="009F4713" w:rsidRDefault="00DA4967">
      <w:r>
        <w:rPr>
          <w:rFonts w:ascii="Cambria" w:eastAsia="Cambria" w:hAnsi="Cambria" w:cs="Cambria"/>
          <w:color w:val="000000"/>
          <w:sz w:val="20"/>
          <w:szCs w:val="20"/>
        </w:rPr>
        <w:t xml:space="preserve">Penn Computerized Neurocognitive Battery accuracy total (mean </w:t>
      </w:r>
      <w:r>
        <w:rPr>
          <w:rFonts w:ascii="Cambria" w:eastAsia="Cambria" w:hAnsi="Cambria" w:cs="Cambria"/>
          <w:i/>
          <w:color w:val="000000"/>
          <w:sz w:val="20"/>
          <w:szCs w:val="20"/>
        </w:rPr>
        <w:t>z</w:t>
      </w:r>
      <w:r>
        <w:rPr>
          <w:rFonts w:ascii="Cambria" w:eastAsia="Cambria" w:hAnsi="Cambria" w:cs="Cambria"/>
          <w:color w:val="000000"/>
          <w:sz w:val="20"/>
          <w:szCs w:val="20"/>
        </w:rPr>
        <w:t xml:space="preserve"> across subtests relative to G2MH non-carriers; at least five subtests), adjusted for age within group, against BMI </w:t>
      </w:r>
      <w:r>
        <w:rPr>
          <w:rFonts w:ascii="Cambria" w:eastAsia="Cambria" w:hAnsi="Cambria" w:cs="Cambria"/>
          <w:i/>
          <w:color w:val="000000"/>
          <w:sz w:val="20"/>
          <w:szCs w:val="20"/>
        </w:rPr>
        <w:t>z</w:t>
      </w:r>
      <w:r>
        <w:rPr>
          <w:rFonts w:ascii="Cambria" w:eastAsia="Cambria" w:hAnsi="Cambria" w:cs="Cambria"/>
          <w:color w:val="000000"/>
          <w:sz w:val="20"/>
          <w:szCs w:val="20"/>
        </w:rPr>
        <w:t xml:space="preserve"> (measured within three years of the battery), in carriers of 16p11.2 deletion (</w:t>
      </w:r>
      <w:r>
        <w:rPr>
          <w:rFonts w:ascii="Cambria" w:eastAsia="Cambria" w:hAnsi="Cambria" w:cs="Cambria"/>
          <w:b/>
          <w:color w:val="000000"/>
          <w:sz w:val="20"/>
          <w:szCs w:val="20"/>
        </w:rPr>
        <w:t>a</w:t>
      </w:r>
      <w:r>
        <w:rPr>
          <w:rFonts w:ascii="Cambria" w:eastAsia="Cambria" w:hAnsi="Cambria" w:cs="Cambria"/>
          <w:color w:val="000000"/>
          <w:sz w:val="20"/>
          <w:szCs w:val="20"/>
        </w:rPr>
        <w:t xml:space="preserve">, </w:t>
      </w:r>
      <w:r>
        <w:rPr>
          <w:rFonts w:ascii="Cambria" w:eastAsia="Cambria" w:hAnsi="Cambria" w:cs="Cambria"/>
          <w:i/>
          <w:color w:val="000000"/>
          <w:sz w:val="20"/>
          <w:szCs w:val="20"/>
        </w:rPr>
        <w:t>n</w:t>
      </w:r>
      <w:r>
        <w:rPr>
          <w:rFonts w:ascii="Cambria" w:eastAsia="Cambria" w:hAnsi="Cambria" w:cs="Cambria"/>
          <w:color w:val="000000"/>
          <w:sz w:val="20"/>
          <w:szCs w:val="20"/>
        </w:rPr>
        <w:t xml:space="preserve"> = 140), 16p11.2 duplication (</w:t>
      </w:r>
      <w:r>
        <w:rPr>
          <w:rFonts w:ascii="Cambria" w:eastAsia="Cambria" w:hAnsi="Cambria" w:cs="Cambria"/>
          <w:b/>
          <w:color w:val="000000"/>
          <w:sz w:val="20"/>
          <w:szCs w:val="20"/>
        </w:rPr>
        <w:t>b</w:t>
      </w:r>
      <w:r>
        <w:rPr>
          <w:rFonts w:ascii="Cambria" w:eastAsia="Cambria" w:hAnsi="Cambria" w:cs="Cambria"/>
          <w:color w:val="000000"/>
          <w:sz w:val="20"/>
          <w:szCs w:val="20"/>
        </w:rPr>
        <w:t xml:space="preserve">, </w:t>
      </w:r>
      <w:r>
        <w:rPr>
          <w:rFonts w:ascii="Cambria" w:eastAsia="Cambria" w:hAnsi="Cambria" w:cs="Cambria"/>
          <w:i/>
          <w:color w:val="000000"/>
          <w:sz w:val="20"/>
          <w:szCs w:val="20"/>
        </w:rPr>
        <w:t>n</w:t>
      </w:r>
      <w:r>
        <w:rPr>
          <w:rFonts w:ascii="Cambria" w:eastAsia="Cambria" w:hAnsi="Cambria" w:cs="Cambria"/>
          <w:color w:val="000000"/>
          <w:sz w:val="20"/>
          <w:szCs w:val="20"/>
        </w:rPr>
        <w:t xml:space="preserve"> = 56), 22q11.2 deletion (</w:t>
      </w:r>
      <w:r>
        <w:rPr>
          <w:rFonts w:ascii="Cambria" w:eastAsia="Cambria" w:hAnsi="Cambria" w:cs="Cambria"/>
          <w:b/>
          <w:color w:val="000000"/>
          <w:sz w:val="20"/>
          <w:szCs w:val="20"/>
        </w:rPr>
        <w:t>c</w:t>
      </w:r>
      <w:r>
        <w:rPr>
          <w:rFonts w:ascii="Cambria" w:eastAsia="Cambria" w:hAnsi="Cambria" w:cs="Cambria"/>
          <w:color w:val="000000"/>
          <w:sz w:val="20"/>
          <w:szCs w:val="20"/>
        </w:rPr>
        <w:t xml:space="preserve">, </w:t>
      </w:r>
      <w:r>
        <w:rPr>
          <w:rFonts w:ascii="Cambria" w:eastAsia="Cambria" w:hAnsi="Cambria" w:cs="Cambria"/>
          <w:i/>
          <w:color w:val="000000"/>
          <w:sz w:val="20"/>
          <w:szCs w:val="20"/>
        </w:rPr>
        <w:t>n</w:t>
      </w:r>
      <w:r>
        <w:rPr>
          <w:rFonts w:ascii="Cambria" w:eastAsia="Cambria" w:hAnsi="Cambria" w:cs="Cambria"/>
          <w:color w:val="000000"/>
          <w:sz w:val="20"/>
          <w:szCs w:val="20"/>
        </w:rPr>
        <w:t xml:space="preserve"> = 347) and 22q11.2 duplication (</w:t>
      </w:r>
      <w:r>
        <w:rPr>
          <w:rFonts w:ascii="Cambria" w:eastAsia="Cambria" w:hAnsi="Cambria" w:cs="Cambria"/>
          <w:b/>
          <w:color w:val="000000"/>
          <w:sz w:val="20"/>
          <w:szCs w:val="20"/>
        </w:rPr>
        <w:t>d</w:t>
      </w:r>
      <w:r>
        <w:rPr>
          <w:rFonts w:ascii="Cambria" w:eastAsia="Cambria" w:hAnsi="Cambria" w:cs="Cambria"/>
          <w:color w:val="000000"/>
          <w:sz w:val="20"/>
          <w:szCs w:val="20"/>
        </w:rPr>
        <w:t xml:space="preserve">, </w:t>
      </w:r>
      <w:r>
        <w:rPr>
          <w:rFonts w:ascii="Cambria" w:eastAsia="Cambria" w:hAnsi="Cambria" w:cs="Cambria"/>
          <w:i/>
          <w:color w:val="000000"/>
          <w:sz w:val="20"/>
          <w:szCs w:val="20"/>
        </w:rPr>
        <w:t>n</w:t>
      </w:r>
      <w:r>
        <w:rPr>
          <w:rFonts w:ascii="Cambria" w:eastAsia="Cambria" w:hAnsi="Cambria" w:cs="Cambria"/>
          <w:color w:val="000000"/>
          <w:sz w:val="20"/>
          <w:szCs w:val="20"/>
        </w:rPr>
        <w:t xml:space="preserve"> = 142). Points coloured by BMI tail as in Fig. 1; black line and band, linear fit with 95% CI; diamonds, mean +/- s.e.m. in BMI bins. Printed, the BMI slope (s.d. per s.d.; GAM </w:t>
      </w:r>
      <w:r>
        <w:rPr>
          <w:rFonts w:ascii="Cambria" w:eastAsia="Cambria" w:hAnsi="Cambria" w:cs="Cambria"/>
          <w:i/>
          <w:color w:val="000000"/>
          <w:sz w:val="20"/>
          <w:szCs w:val="20"/>
        </w:rPr>
        <w:t>y</w:t>
      </w:r>
      <w:r>
        <w:rPr>
          <w:rFonts w:ascii="Cambria" w:eastAsia="Cambria" w:hAnsi="Cambria" w:cs="Cambria"/>
          <w:color w:val="000000"/>
          <w:sz w:val="20"/>
          <w:szCs w:val="20"/>
        </w:rPr>
        <w:t xml:space="preserve"> ~ s(age) + BMI) and its two-sided </w:t>
      </w:r>
      <w:r>
        <w:rPr>
          <w:rFonts w:ascii="Cambria" w:eastAsia="Cambria" w:hAnsi="Cambria" w:cs="Cambria"/>
          <w:i/>
          <w:color w:val="000000"/>
          <w:sz w:val="20"/>
          <w:szCs w:val="20"/>
        </w:rPr>
        <w:t>P</w:t>
      </w:r>
      <w:r>
        <w:rPr>
          <w:rFonts w:ascii="Cambria" w:eastAsia="Cambria" w:hAnsi="Cambria" w:cs="Cambria"/>
          <w:color w:val="000000"/>
          <w:sz w:val="20"/>
          <w:szCs w:val="20"/>
        </w:rPr>
        <w:t xml:space="preserve"> value. Heterogeneity of the slope across the four CNVs (Wald test of locus x BMI): </w:t>
      </w:r>
      <w:r>
        <w:rPr>
          <w:rFonts w:ascii="Cambria" w:eastAsia="Cambria" w:hAnsi="Cambria" w:cs="Cambria"/>
          <w:i/>
          <w:color w:val="000000"/>
          <w:sz w:val="20"/>
          <w:szCs w:val="20"/>
        </w:rPr>
        <w:t>F</w:t>
      </w:r>
      <w:r>
        <w:rPr>
          <w:rFonts w:ascii="Cambria" w:eastAsia="Cambria" w:hAnsi="Cambria" w:cs="Cambria"/>
          <w:color w:val="000000"/>
          <w:sz w:val="20"/>
          <w:szCs w:val="20"/>
        </w:rPr>
        <w:t xml:space="preserve"> = 2.02 on 3 d.f., </w:t>
      </w:r>
      <w:r>
        <w:rPr>
          <w:rFonts w:ascii="Cambria" w:eastAsia="Cambria" w:hAnsi="Cambria" w:cs="Cambria"/>
          <w:i/>
          <w:color w:val="000000"/>
          <w:sz w:val="20"/>
          <w:szCs w:val="20"/>
        </w:rPr>
        <w:t>P</w:t>
      </w:r>
      <w:r>
        <w:rPr>
          <w:rFonts w:ascii="Cambria" w:eastAsia="Cambria" w:hAnsi="Cambria" w:cs="Cambria"/>
          <w:color w:val="000000"/>
          <w:sz w:val="20"/>
          <w:szCs w:val="20"/>
        </w:rPr>
        <w:t xml:space="preserve"> = 0.11. G2MH non-carriers with CNB data have no BMI, so no control panel is shown.</w:t>
      </w:r>
    </w:p>
    <w:p w14:paraId="592495D7" w14:textId="77777777" w:rsidR="009F4713" w:rsidRDefault="00DA4967">
      <w:r>
        <w:rPr>
          <w:noProof/>
        </w:rPr>
        <w:drawing>
          <wp:inline distT="0" distB="0" distL="0" distR="0" wp14:anchorId="0038A7C7" wp14:editId="18892276">
            <wp:extent cx="5943600" cy="20802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7"/>
                    <a:stretch>
                      <a:fillRect/>
                    </a:stretch>
                  </pic:blipFill>
                  <pic:spPr bwMode="auto">
                    <a:xfrm>
                      <a:off x="0" y="0"/>
                      <a:ext cx="5943600" cy="2080260"/>
                    </a:xfrm>
                    <a:prstGeom prst="rect">
                      <a:avLst/>
                    </a:prstGeom>
                    <a:noFill/>
                  </pic:spPr>
                </pic:pic>
              </a:graphicData>
            </a:graphic>
          </wp:inline>
        </w:drawing>
      </w:r>
    </w:p>
    <w:p w14:paraId="6B953CD5" w14:textId="77777777" w:rsidR="009F4713" w:rsidRDefault="00DA4967">
      <w:r>
        <w:br w:type="page"/>
      </w:r>
    </w:p>
    <w:p w14:paraId="574BAE84" w14:textId="77777777" w:rsidR="009F4713" w:rsidRDefault="00DA4967">
      <w:r>
        <w:rPr>
          <w:rFonts w:ascii="Cambria" w:eastAsia="Cambria" w:hAnsi="Cambria" w:cs="Cambria"/>
          <w:b/>
          <w:color w:val="000000"/>
          <w:sz w:val="20"/>
          <w:szCs w:val="20"/>
        </w:rPr>
        <w:t>Supplementary Fig. 3 | Body mass and Penn CNB subtest performance in CNV carriers.</w:t>
      </w:r>
    </w:p>
    <w:p w14:paraId="0D72D09A" w14:textId="77777777" w:rsidR="009F4713" w:rsidRDefault="00DA4967">
      <w:r>
        <w:rPr>
          <w:rFonts w:ascii="Cambria" w:eastAsia="Cambria" w:hAnsi="Cambria" w:cs="Cambria"/>
          <w:b/>
          <w:color w:val="000000"/>
          <w:sz w:val="20"/>
          <w:szCs w:val="20"/>
        </w:rPr>
        <w:t>a</w:t>
      </w:r>
      <w:r>
        <w:rPr>
          <w:rFonts w:ascii="Cambria" w:eastAsia="Cambria" w:hAnsi="Cambria" w:cs="Cambria"/>
          <w:color w:val="000000"/>
          <w:sz w:val="20"/>
          <w:szCs w:val="20"/>
        </w:rPr>
        <w:t xml:space="preserve">, Accuracy (ten subtests and the accuracy total). </w:t>
      </w:r>
      <w:r>
        <w:rPr>
          <w:rFonts w:ascii="Cambria" w:eastAsia="Cambria" w:hAnsi="Cambria" w:cs="Cambria"/>
          <w:b/>
          <w:color w:val="000000"/>
          <w:sz w:val="20"/>
          <w:szCs w:val="20"/>
        </w:rPr>
        <w:t>b</w:t>
      </w:r>
      <w:r>
        <w:rPr>
          <w:rFonts w:ascii="Cambria" w:eastAsia="Cambria" w:hAnsi="Cambria" w:cs="Cambria"/>
          <w:color w:val="000000"/>
          <w:sz w:val="20"/>
          <w:szCs w:val="20"/>
        </w:rPr>
        <w:t xml:space="preserve">, Speed (eleven subtests and the speed total; speed is the negative </w:t>
      </w:r>
      <w:r>
        <w:rPr>
          <w:rFonts w:ascii="Cambria" w:eastAsia="Cambria" w:hAnsi="Cambria" w:cs="Cambria"/>
          <w:i/>
          <w:color w:val="000000"/>
          <w:sz w:val="20"/>
          <w:szCs w:val="20"/>
        </w:rPr>
        <w:t>z</w:t>
      </w:r>
      <w:r>
        <w:rPr>
          <w:rFonts w:ascii="Cambria" w:eastAsia="Cambria" w:hAnsi="Cambria" w:cs="Cambria"/>
          <w:color w:val="000000"/>
          <w:sz w:val="20"/>
          <w:szCs w:val="20"/>
        </w:rPr>
        <w:t xml:space="preserve"> of median correct response time, higher = faster). Columns, CNB measures; rows, 16p11.2 deletion, 16p11.2 duplication, 22q11.2 deletion and 22q11.2 duplication carriers (G2MH). Each panel plots the age-adjusted score against BMI </w:t>
      </w:r>
      <w:r>
        <w:rPr>
          <w:rFonts w:ascii="Cambria" w:eastAsia="Cambria" w:hAnsi="Cambria" w:cs="Cambria"/>
          <w:i/>
          <w:color w:val="000000"/>
          <w:sz w:val="20"/>
          <w:szCs w:val="20"/>
        </w:rPr>
        <w:t>z</w:t>
      </w:r>
      <w:r>
        <w:rPr>
          <w:rFonts w:ascii="Cambria" w:eastAsia="Cambria" w:hAnsi="Cambria" w:cs="Cambria"/>
          <w:color w:val="000000"/>
          <w:sz w:val="20"/>
          <w:szCs w:val="20"/>
        </w:rPr>
        <w:t xml:space="preserve"> with the conventions of Supplementary Fig. 2 and prints the BMI slope (s.d. per s.d.) and its two-sided </w:t>
      </w:r>
      <w:r>
        <w:rPr>
          <w:rFonts w:ascii="Cambria" w:eastAsia="Cambria" w:hAnsi="Cambria" w:cs="Cambria"/>
          <w:i/>
          <w:color w:val="000000"/>
          <w:sz w:val="20"/>
          <w:szCs w:val="20"/>
        </w:rPr>
        <w:t>P</w:t>
      </w:r>
      <w:r>
        <w:rPr>
          <w:rFonts w:ascii="Cambria" w:eastAsia="Cambria" w:hAnsi="Cambria" w:cs="Cambria"/>
          <w:color w:val="000000"/>
          <w:sz w:val="20"/>
          <w:szCs w:val="20"/>
        </w:rPr>
        <w:t xml:space="preserve"> value (bold, </w:t>
      </w:r>
      <w:r>
        <w:rPr>
          <w:rFonts w:ascii="Cambria" w:eastAsia="Cambria" w:hAnsi="Cambria" w:cs="Cambria"/>
          <w:i/>
          <w:color w:val="000000"/>
          <w:sz w:val="20"/>
          <w:szCs w:val="20"/>
        </w:rPr>
        <w:t>P</w:t>
      </w:r>
      <w:r>
        <w:rPr>
          <w:rFonts w:ascii="Cambria" w:eastAsia="Cambria" w:hAnsi="Cambria" w:cs="Cambria"/>
          <w:color w:val="000000"/>
          <w:sz w:val="20"/>
          <w:szCs w:val="20"/>
        </w:rPr>
        <w:t xml:space="preserve"> &lt; 0.05). </w:t>
      </w:r>
      <w:r>
        <w:rPr>
          <w:rFonts w:ascii="Cambria" w:eastAsia="Cambria" w:hAnsi="Cambria" w:cs="Cambria"/>
          <w:i/>
          <w:color w:val="000000"/>
          <w:sz w:val="20"/>
          <w:szCs w:val="20"/>
        </w:rPr>
        <w:t>n</w:t>
      </w:r>
      <w:r>
        <w:rPr>
          <w:rFonts w:ascii="Cambria" w:eastAsia="Cambria" w:hAnsi="Cambria" w:cs="Cambria"/>
          <w:color w:val="000000"/>
          <w:sz w:val="20"/>
          <w:szCs w:val="20"/>
        </w:rPr>
        <w:t xml:space="preserve"> (accuracy total / speed total): 140/142, 56/56, 347/353, 142/142. No subtest or total shows significant heterogeneity of the slope across CNVs after the plausibility screen (accuracy total </w:t>
      </w:r>
      <w:r>
        <w:rPr>
          <w:rFonts w:ascii="Cambria" w:eastAsia="Cambria" w:hAnsi="Cambria" w:cs="Cambria"/>
          <w:i/>
          <w:color w:val="000000"/>
          <w:sz w:val="20"/>
          <w:szCs w:val="20"/>
        </w:rPr>
        <w:t>P</w:t>
      </w:r>
      <w:r>
        <w:rPr>
          <w:rFonts w:ascii="Cambria" w:eastAsia="Cambria" w:hAnsi="Cambria" w:cs="Cambria"/>
          <w:color w:val="000000"/>
          <w:sz w:val="20"/>
          <w:szCs w:val="20"/>
        </w:rPr>
        <w:t xml:space="preserve"> = 0.11; speed total </w:t>
      </w:r>
      <w:r>
        <w:rPr>
          <w:rFonts w:ascii="Cambria" w:eastAsia="Cambria" w:hAnsi="Cambria" w:cs="Cambria"/>
          <w:i/>
          <w:color w:val="000000"/>
          <w:sz w:val="20"/>
          <w:szCs w:val="20"/>
        </w:rPr>
        <w:t>P</w:t>
      </w:r>
      <w:r>
        <w:rPr>
          <w:rFonts w:ascii="Cambria" w:eastAsia="Cambria" w:hAnsi="Cambria" w:cs="Cambria"/>
          <w:color w:val="000000"/>
          <w:sz w:val="20"/>
          <w:szCs w:val="20"/>
        </w:rPr>
        <w:t xml:space="preserve"> = 0.94; all subtests </w:t>
      </w:r>
      <w:r>
        <w:rPr>
          <w:rFonts w:ascii="Cambria" w:eastAsia="Cambria" w:hAnsi="Cambria" w:cs="Cambria"/>
          <w:i/>
          <w:color w:val="000000"/>
          <w:sz w:val="20"/>
          <w:szCs w:val="20"/>
        </w:rPr>
        <w:t>P</w:t>
      </w:r>
      <w:r>
        <w:rPr>
          <w:rFonts w:ascii="Cambria" w:eastAsia="Cambria" w:hAnsi="Cambria" w:cs="Cambria"/>
          <w:color w:val="000000"/>
          <w:sz w:val="20"/>
          <w:szCs w:val="20"/>
        </w:rPr>
        <w:t xml:space="preserve"> &gt;= 0.086).</w:t>
      </w:r>
    </w:p>
    <w:p w14:paraId="08B964D6" w14:textId="77777777" w:rsidR="009F4713" w:rsidRDefault="00DA4967">
      <w:r>
        <w:rPr>
          <w:noProof/>
        </w:rPr>
        <w:drawing>
          <wp:inline distT="0" distB="0" distL="0" distR="0" wp14:anchorId="5FFBBFF0" wp14:editId="57FF55CD">
            <wp:extent cx="5943600" cy="34527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8"/>
                    <a:stretch>
                      <a:fillRect/>
                    </a:stretch>
                  </pic:blipFill>
                  <pic:spPr bwMode="auto">
                    <a:xfrm>
                      <a:off x="0" y="0"/>
                      <a:ext cx="5943600" cy="3452714"/>
                    </a:xfrm>
                    <a:prstGeom prst="rect">
                      <a:avLst/>
                    </a:prstGeom>
                    <a:noFill/>
                  </pic:spPr>
                </pic:pic>
              </a:graphicData>
            </a:graphic>
          </wp:inline>
        </w:drawing>
      </w:r>
    </w:p>
    <w:p w14:paraId="4B5E24C2" w14:textId="77777777" w:rsidR="009F4713" w:rsidRDefault="00DA4967">
      <w:r>
        <w:rPr>
          <w:noProof/>
        </w:rPr>
        <w:drawing>
          <wp:inline distT="0" distB="0" distL="0" distR="0" wp14:anchorId="798B6FF0" wp14:editId="75523B8D">
            <wp:extent cx="5943600" cy="317596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9"/>
                    <a:stretch>
                      <a:fillRect/>
                    </a:stretch>
                  </pic:blipFill>
                  <pic:spPr bwMode="auto">
                    <a:xfrm>
                      <a:off x="0" y="0"/>
                      <a:ext cx="5943600" cy="3175969"/>
                    </a:xfrm>
                    <a:prstGeom prst="rect">
                      <a:avLst/>
                    </a:prstGeom>
                    <a:noFill/>
                  </pic:spPr>
                </pic:pic>
              </a:graphicData>
            </a:graphic>
          </wp:inline>
        </w:drawing>
      </w:r>
    </w:p>
    <w:p w14:paraId="75B4F719" w14:textId="77777777" w:rsidR="009F4713" w:rsidRDefault="00DA4967">
      <w:r>
        <w:br w:type="page"/>
      </w:r>
    </w:p>
    <w:p w14:paraId="3A786501" w14:textId="77777777" w:rsidR="009F4713" w:rsidRDefault="00DA4967">
      <w:r>
        <w:rPr>
          <w:rFonts w:ascii="Cambria" w:eastAsia="Cambria" w:hAnsi="Cambria" w:cs="Cambria"/>
          <w:b/>
          <w:color w:val="000000"/>
          <w:sz w:val="20"/>
          <w:szCs w:val="20"/>
        </w:rPr>
        <w:t>Supplementary Fig. 4 | Height, head circumference and BMI by autism diagnosis within CNV group.</w:t>
      </w:r>
    </w:p>
    <w:p w14:paraId="37C7B8FF" w14:textId="77777777" w:rsidR="009F4713" w:rsidRDefault="00DA4967">
      <w:r>
        <w:rPr>
          <w:rFonts w:ascii="Cambria" w:eastAsia="Cambria" w:hAnsi="Cambria" w:cs="Cambria"/>
          <w:color w:val="000000"/>
          <w:sz w:val="20"/>
          <w:szCs w:val="20"/>
        </w:rPr>
        <w:t xml:space="preserve">Mean +/- s.e.m. of height </w:t>
      </w:r>
      <w:r>
        <w:rPr>
          <w:rFonts w:ascii="Cambria" w:eastAsia="Cambria" w:hAnsi="Cambria" w:cs="Cambria"/>
          <w:i/>
          <w:color w:val="000000"/>
          <w:sz w:val="20"/>
          <w:szCs w:val="20"/>
        </w:rPr>
        <w:t>z</w:t>
      </w:r>
      <w:r>
        <w:rPr>
          <w:rFonts w:ascii="Cambria" w:eastAsia="Cambria" w:hAnsi="Cambria" w:cs="Cambria"/>
          <w:color w:val="000000"/>
          <w:sz w:val="20"/>
          <w:szCs w:val="20"/>
        </w:rPr>
        <w:t xml:space="preserve"> (</w:t>
      </w:r>
      <w:r>
        <w:rPr>
          <w:rFonts w:ascii="Cambria" w:eastAsia="Cambria" w:hAnsi="Cambria" w:cs="Cambria"/>
          <w:b/>
          <w:color w:val="000000"/>
          <w:sz w:val="20"/>
          <w:szCs w:val="20"/>
        </w:rPr>
        <w:t>a</w:t>
      </w:r>
      <w:r>
        <w:rPr>
          <w:rFonts w:ascii="Cambria" w:eastAsia="Cambria" w:hAnsi="Cambria" w:cs="Cambria"/>
          <w:color w:val="000000"/>
          <w:sz w:val="20"/>
          <w:szCs w:val="20"/>
        </w:rPr>
        <w:t xml:space="preserve">), head-circumference </w:t>
      </w:r>
      <w:r>
        <w:rPr>
          <w:rFonts w:ascii="Cambria" w:eastAsia="Cambria" w:hAnsi="Cambria" w:cs="Cambria"/>
          <w:i/>
          <w:color w:val="000000"/>
          <w:sz w:val="20"/>
          <w:szCs w:val="20"/>
        </w:rPr>
        <w:t>z</w:t>
      </w:r>
      <w:r>
        <w:rPr>
          <w:rFonts w:ascii="Cambria" w:eastAsia="Cambria" w:hAnsi="Cambria" w:cs="Cambria"/>
          <w:color w:val="000000"/>
          <w:sz w:val="20"/>
          <w:szCs w:val="20"/>
        </w:rPr>
        <w:t xml:space="preserve"> (</w:t>
      </w:r>
      <w:r>
        <w:rPr>
          <w:rFonts w:ascii="Cambria" w:eastAsia="Cambria" w:hAnsi="Cambria" w:cs="Cambria"/>
          <w:b/>
          <w:color w:val="000000"/>
          <w:sz w:val="20"/>
          <w:szCs w:val="20"/>
        </w:rPr>
        <w:t>b</w:t>
      </w:r>
      <w:r>
        <w:rPr>
          <w:rFonts w:ascii="Cambria" w:eastAsia="Cambria" w:hAnsi="Cambria" w:cs="Cambria"/>
          <w:color w:val="000000"/>
          <w:sz w:val="20"/>
          <w:szCs w:val="20"/>
        </w:rPr>
        <w:t xml:space="preserve">) and BMI </w:t>
      </w:r>
      <w:r>
        <w:rPr>
          <w:rFonts w:ascii="Cambria" w:eastAsia="Cambria" w:hAnsi="Cambria" w:cs="Cambria"/>
          <w:i/>
          <w:color w:val="000000"/>
          <w:sz w:val="20"/>
          <w:szCs w:val="20"/>
        </w:rPr>
        <w:t>z</w:t>
      </w:r>
      <w:r>
        <w:rPr>
          <w:rFonts w:ascii="Cambria" w:eastAsia="Cambria" w:hAnsi="Cambria" w:cs="Cambria"/>
          <w:color w:val="000000"/>
          <w:sz w:val="20"/>
          <w:szCs w:val="20"/>
        </w:rPr>
        <w:t xml:space="preserve"> (</w:t>
      </w:r>
      <w:r>
        <w:rPr>
          <w:rFonts w:ascii="Cambria" w:eastAsia="Cambria" w:hAnsi="Cambria" w:cs="Cambria"/>
          <w:b/>
          <w:color w:val="000000"/>
          <w:sz w:val="20"/>
          <w:szCs w:val="20"/>
        </w:rPr>
        <w:t>c</w:t>
      </w:r>
      <w:r>
        <w:rPr>
          <w:rFonts w:ascii="Cambria" w:eastAsia="Cambria" w:hAnsi="Cambria" w:cs="Cambria"/>
          <w:color w:val="000000"/>
          <w:sz w:val="20"/>
          <w:szCs w:val="20"/>
        </w:rPr>
        <w:t xml:space="preserve">) in carriers with (blue) versus without (grey) an autism diagnosis, for each CNV, the pooled overgrowth (16p11.2 deletion + 22q11.2 duplication) and undergrowth (16p11.2 duplication + 22q11.2 deletion) groups and, as the non-carrier comparison, SSC probands with autism versus SSC designated siblings. Numbers under the bars are </w:t>
      </w:r>
      <w:r>
        <w:rPr>
          <w:rFonts w:ascii="Cambria" w:eastAsia="Cambria" w:hAnsi="Cambria" w:cs="Cambria"/>
          <w:i/>
          <w:color w:val="000000"/>
          <w:sz w:val="20"/>
          <w:szCs w:val="20"/>
        </w:rPr>
        <w:t>n</w:t>
      </w:r>
      <w:r>
        <w:rPr>
          <w:rFonts w:ascii="Cambria" w:eastAsia="Cambria" w:hAnsi="Cambria" w:cs="Cambria"/>
          <w:color w:val="000000"/>
          <w:sz w:val="20"/>
          <w:szCs w:val="20"/>
        </w:rPr>
        <w:t xml:space="preserve">. Printed above each group is the age- and sex-adjusted autism effect (delta, s.d.; GAM </w:t>
      </w:r>
      <w:r>
        <w:rPr>
          <w:rFonts w:ascii="Cambria" w:eastAsia="Cambria" w:hAnsi="Cambria" w:cs="Cambria"/>
          <w:i/>
          <w:color w:val="000000"/>
          <w:sz w:val="20"/>
          <w:szCs w:val="20"/>
        </w:rPr>
        <w:t>y</w:t>
      </w:r>
      <w:r>
        <w:rPr>
          <w:rFonts w:ascii="Cambria" w:eastAsia="Cambria" w:hAnsi="Cambria" w:cs="Cambria"/>
          <w:color w:val="000000"/>
          <w:sz w:val="20"/>
          <w:szCs w:val="20"/>
        </w:rPr>
        <w:t xml:space="preserve"> ~ autism + s(age) + sex, plus cohort and, for pooled groups, locus) with its two-sided </w:t>
      </w:r>
      <w:r>
        <w:rPr>
          <w:rFonts w:ascii="Cambria" w:eastAsia="Cambria" w:hAnsi="Cambria" w:cs="Cambria"/>
          <w:i/>
          <w:color w:val="000000"/>
          <w:sz w:val="20"/>
          <w:szCs w:val="20"/>
        </w:rPr>
        <w:t>P</w:t>
      </w:r>
      <w:r>
        <w:rPr>
          <w:rFonts w:ascii="Cambria" w:eastAsia="Cambria" w:hAnsi="Cambria" w:cs="Cambria"/>
          <w:color w:val="000000"/>
          <w:sz w:val="20"/>
          <w:szCs w:val="20"/>
        </w:rPr>
        <w:t xml:space="preserve"> value (bold, </w:t>
      </w:r>
      <w:r>
        <w:rPr>
          <w:rFonts w:ascii="Cambria" w:eastAsia="Cambria" w:hAnsi="Cambria" w:cs="Cambria"/>
          <w:i/>
          <w:color w:val="000000"/>
          <w:sz w:val="20"/>
          <w:szCs w:val="20"/>
        </w:rPr>
        <w:t>P</w:t>
      </w:r>
      <w:r>
        <w:rPr>
          <w:rFonts w:ascii="Cambria" w:eastAsia="Cambria" w:hAnsi="Cambria" w:cs="Cambria"/>
          <w:color w:val="000000"/>
          <w:sz w:val="20"/>
          <w:szCs w:val="20"/>
        </w:rPr>
        <w:t xml:space="preserve"> &lt; 0.05). Carriers with autism are mostly children and carriers without include adult relatives; the age smooth addresses this and the head-circumference effect holds within children. The difference between each carrier group's autism effect and the proband-sibling difference (autism x carrier interaction), and the same contrasts with polygenic scores as covariates, are in Supplementary Tables 7 and 8.</w:t>
      </w:r>
    </w:p>
    <w:p w14:paraId="0410DC1E" w14:textId="77777777" w:rsidR="009F4713" w:rsidRDefault="00DA4967">
      <w:r>
        <w:rPr>
          <w:noProof/>
        </w:rPr>
        <w:drawing>
          <wp:inline distT="0" distB="0" distL="0" distR="0" wp14:anchorId="6EC389AE" wp14:editId="5E85C2FB">
            <wp:extent cx="5943600" cy="206044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0"/>
                    <a:stretch>
                      <a:fillRect/>
                    </a:stretch>
                  </pic:blipFill>
                  <pic:spPr bwMode="auto">
                    <a:xfrm>
                      <a:off x="0" y="0"/>
                      <a:ext cx="5943600" cy="2060448"/>
                    </a:xfrm>
                    <a:prstGeom prst="rect">
                      <a:avLst/>
                    </a:prstGeom>
                    <a:noFill/>
                  </pic:spPr>
                </pic:pic>
              </a:graphicData>
            </a:graphic>
          </wp:inline>
        </w:drawing>
      </w:r>
    </w:p>
    <w:p w14:paraId="15D91755" w14:textId="77777777" w:rsidR="009F4713" w:rsidRDefault="00DA4967">
      <w:r>
        <w:br w:type="page"/>
      </w:r>
    </w:p>
    <w:p w14:paraId="4460E6B4" w14:textId="77777777" w:rsidR="009F4713" w:rsidRDefault="00DA4967" w:rsidP="00356462">
      <w:pPr>
        <w:pStyle w:val="Heading2"/>
        <w:numPr>
          <w:ilvl w:val="0"/>
          <w:numId w:val="0"/>
        </w:numPr>
      </w:pPr>
      <w:r>
        <w:t>Supplementary Tables</w:t>
      </w:r>
    </w:p>
    <w:p w14:paraId="547F6487" w14:textId="77777777" w:rsidR="009F4713" w:rsidRDefault="00DA4967">
      <w:r>
        <w:rPr>
          <w:rFonts w:ascii="Cambria" w:eastAsia="Cambria" w:hAnsi="Cambria" w:cs="Cambria"/>
          <w:color w:val="000000"/>
          <w:sz w:val="20"/>
          <w:szCs w:val="20"/>
        </w:rPr>
        <w:t xml:space="preserve">Supplementary Tables 1-10 are provided as an Excel workbook (Supplementary_Tables.xlsx; a 'notes' sheet defines every column). Effect sizes are in s.d. of outcome per s.d. of BMI unless stated; all </w:t>
      </w:r>
      <w:r>
        <w:rPr>
          <w:rFonts w:ascii="Cambria" w:eastAsia="Cambria" w:hAnsi="Cambria" w:cs="Cambria"/>
          <w:i/>
          <w:color w:val="000000"/>
          <w:sz w:val="20"/>
          <w:szCs w:val="20"/>
        </w:rPr>
        <w:t>P</w:t>
      </w:r>
      <w:r>
        <w:rPr>
          <w:rFonts w:ascii="Cambria" w:eastAsia="Cambria" w:hAnsi="Cambria" w:cs="Cambria"/>
          <w:color w:val="000000"/>
          <w:sz w:val="20"/>
          <w:szCs w:val="20"/>
        </w:rPr>
        <w:t xml:space="preserve"> values are two-sided and unadjusted.</w:t>
      </w:r>
    </w:p>
    <w:tbl>
      <w:tblPr>
        <w:tblStyle w:val="tabletemplate"/>
        <w:tblW w:w="9360" w:type="dxa"/>
        <w:tblLayout w:type="fixed"/>
        <w:tblLook w:val="0420" w:firstRow="1" w:lastRow="0" w:firstColumn="0" w:lastColumn="0" w:noHBand="0" w:noVBand="1"/>
      </w:tblPr>
      <w:tblGrid>
        <w:gridCol w:w="1200"/>
        <w:gridCol w:w="4600"/>
        <w:gridCol w:w="3560"/>
      </w:tblGrid>
      <w:tr w:rsidR="009F4713" w14:paraId="4CF6711A" w14:textId="77777777" w:rsidTr="00356462">
        <w:trPr>
          <w:cnfStyle w:val="100000000000" w:firstRow="1" w:lastRow="0" w:firstColumn="0" w:lastColumn="0" w:oddVBand="0" w:evenVBand="0" w:oddHBand="0" w:evenHBand="0" w:firstRowFirstColumn="0" w:firstRowLastColumn="0" w:lastRowFirstColumn="0" w:lastRowLastColumn="0"/>
          <w:tblHeader/>
        </w:trPr>
        <w:tc>
          <w:tcPr>
            <w:tcW w:w="1200" w:type="dxa"/>
          </w:tcPr>
          <w:p w14:paraId="3640606A" w14:textId="77777777" w:rsidR="009F4713" w:rsidRDefault="00DA4967" w:rsidP="00356462">
            <w:pPr>
              <w:jc w:val="left"/>
            </w:pPr>
            <w:r>
              <w:t>Table</w:t>
            </w:r>
          </w:p>
        </w:tc>
        <w:tc>
          <w:tcPr>
            <w:tcW w:w="4600" w:type="dxa"/>
          </w:tcPr>
          <w:p w14:paraId="5EBFA663" w14:textId="77777777" w:rsidR="009F4713" w:rsidRDefault="00DA4967" w:rsidP="00356462">
            <w:pPr>
              <w:jc w:val="left"/>
            </w:pPr>
            <w:r>
              <w:t>Title</w:t>
            </w:r>
          </w:p>
        </w:tc>
        <w:tc>
          <w:tcPr>
            <w:tcW w:w="3560" w:type="dxa"/>
          </w:tcPr>
          <w:p w14:paraId="795F02AC" w14:textId="77777777" w:rsidR="009F4713" w:rsidRDefault="00DA4967" w:rsidP="00356462">
            <w:pPr>
              <w:jc w:val="left"/>
            </w:pPr>
            <w:r>
              <w:t>Source</w:t>
            </w:r>
          </w:p>
        </w:tc>
      </w:tr>
      <w:tr w:rsidR="009F4713" w14:paraId="31F781D7" w14:textId="77777777" w:rsidTr="00356462">
        <w:tc>
          <w:tcPr>
            <w:tcW w:w="1200" w:type="dxa"/>
          </w:tcPr>
          <w:p w14:paraId="255DCC96" w14:textId="77777777" w:rsidR="009F4713" w:rsidRDefault="00DA4967" w:rsidP="00356462">
            <w:pPr>
              <w:jc w:val="left"/>
            </w:pPr>
            <w:r>
              <w:t>Supplementary Table 1</w:t>
            </w:r>
          </w:p>
        </w:tc>
        <w:tc>
          <w:tcPr>
            <w:tcW w:w="4600" w:type="dxa"/>
          </w:tcPr>
          <w:p w14:paraId="1A7E5DAD" w14:textId="77777777" w:rsidR="009F4713" w:rsidRDefault="00DA4967" w:rsidP="00356462">
            <w:pPr>
              <w:jc w:val="left"/>
            </w:pPr>
            <w:r>
              <w:t>Height and head circumference: within-group BMI slope and age x BMI, and CNV x BMI and CNV x age x BMI versus unaffected relatives and versus autistic SSC probands, per locus and pooled</w:t>
            </w:r>
          </w:p>
        </w:tc>
        <w:tc>
          <w:tcPr>
            <w:tcW w:w="3560" w:type="dxa"/>
          </w:tcPr>
          <w:p w14:paraId="7CDC7EC0" w14:textId="77777777" w:rsidR="009F4713" w:rsidRDefault="00DA4967" w:rsidP="00356462">
            <w:pPr>
              <w:jc w:val="left"/>
            </w:pPr>
            <w:r>
              <w:t>supp_table_S1_growth.csv</w:t>
            </w:r>
          </w:p>
        </w:tc>
      </w:tr>
      <w:tr w:rsidR="009F4713" w14:paraId="5E70E9D4" w14:textId="77777777" w:rsidTr="00356462">
        <w:tc>
          <w:tcPr>
            <w:tcW w:w="1200" w:type="dxa"/>
          </w:tcPr>
          <w:p w14:paraId="7F3CD2C5" w14:textId="77777777" w:rsidR="009F4713" w:rsidRDefault="00DA4967" w:rsidP="00356462">
            <w:pPr>
              <w:jc w:val="left"/>
            </w:pPr>
            <w:r>
              <w:t>Supplementary Table 2</w:t>
            </w:r>
          </w:p>
        </w:tc>
        <w:tc>
          <w:tcPr>
            <w:tcW w:w="4600" w:type="dxa"/>
          </w:tcPr>
          <w:p w14:paraId="5B6EBC36" w14:textId="77777777" w:rsidR="009F4713" w:rsidRDefault="00DA4967" w:rsidP="00356462">
            <w:pPr>
              <w:jc w:val="left"/>
            </w:pPr>
            <w:r>
              <w:t>SRS, SCQ and Penn CNB accuracy and speed: the same quantities (CNB within carriers only)</w:t>
            </w:r>
          </w:p>
        </w:tc>
        <w:tc>
          <w:tcPr>
            <w:tcW w:w="3560" w:type="dxa"/>
          </w:tcPr>
          <w:p w14:paraId="42374C24" w14:textId="77777777" w:rsidR="009F4713" w:rsidRDefault="00DA4967" w:rsidP="00356462">
            <w:pPr>
              <w:jc w:val="left"/>
            </w:pPr>
            <w:r>
              <w:t>supp_table_S2_cognition.csv</w:t>
            </w:r>
          </w:p>
        </w:tc>
      </w:tr>
      <w:tr w:rsidR="009F4713" w14:paraId="2473000F" w14:textId="77777777" w:rsidTr="00356462">
        <w:tc>
          <w:tcPr>
            <w:tcW w:w="1200" w:type="dxa"/>
          </w:tcPr>
          <w:p w14:paraId="2CC7414F" w14:textId="77777777" w:rsidR="009F4713" w:rsidRDefault="00DA4967" w:rsidP="00356462">
            <w:pPr>
              <w:jc w:val="left"/>
            </w:pPr>
            <w:r>
              <w:t>Supplementary Table 3</w:t>
            </w:r>
          </w:p>
        </w:tc>
        <w:tc>
          <w:tcPr>
            <w:tcW w:w="4600" w:type="dxa"/>
          </w:tcPr>
          <w:p w14:paraId="73213EA0" w14:textId="77777777" w:rsidR="009F4713" w:rsidRDefault="00DA4967" w:rsidP="00356462">
            <w:pPr>
              <w:jc w:val="left"/>
            </w:pPr>
            <w:r>
              <w:t>Prospective effect of BMI on subsequent height and head-circumference growth in carriers under 18 years: age-varying P, all-ages coefficient (estimate, s.e., t, P) and age-window coefficients</w:t>
            </w:r>
          </w:p>
        </w:tc>
        <w:tc>
          <w:tcPr>
            <w:tcW w:w="3560" w:type="dxa"/>
          </w:tcPr>
          <w:p w14:paraId="5D6C728A" w14:textId="77777777" w:rsidR="009F4713" w:rsidRDefault="00DA4967" w:rsidP="00356462">
            <w:pPr>
              <w:jc w:val="left"/>
            </w:pPr>
            <w:r>
              <w:t>supp_table_S3_prospective.csv</w:t>
            </w:r>
          </w:p>
        </w:tc>
      </w:tr>
      <w:tr w:rsidR="009F4713" w14:paraId="1348133A" w14:textId="77777777" w:rsidTr="00356462">
        <w:tc>
          <w:tcPr>
            <w:tcW w:w="1200" w:type="dxa"/>
          </w:tcPr>
          <w:p w14:paraId="6AD616D0" w14:textId="77777777" w:rsidR="009F4713" w:rsidRDefault="00DA4967" w:rsidP="00356462">
            <w:pPr>
              <w:jc w:val="left"/>
            </w:pPr>
            <w:r>
              <w:t>Supplementary Table 4</w:t>
            </w:r>
          </w:p>
        </w:tc>
        <w:tc>
          <w:tcPr>
            <w:tcW w:w="4600" w:type="dxa"/>
          </w:tcPr>
          <w:p w14:paraId="323621D3" w14:textId="77777777" w:rsidR="009F4713" w:rsidRDefault="00DA4967" w:rsidP="00356462">
            <w:pPr>
              <w:jc w:val="left"/>
            </w:pPr>
            <w:r>
              <w:t>Main-figure tests within strata of sex and of childhood obesity, adult BMI, height and autism polygenic scores (carriers and controls stratified alike)</w:t>
            </w:r>
          </w:p>
        </w:tc>
        <w:tc>
          <w:tcPr>
            <w:tcW w:w="3560" w:type="dxa"/>
          </w:tcPr>
          <w:p w14:paraId="61BC63A8" w14:textId="77777777" w:rsidR="009F4713" w:rsidRDefault="00DA4967" w:rsidP="00356462">
            <w:pPr>
              <w:jc w:val="left"/>
            </w:pPr>
            <w:r>
              <w:t>supp_table_S4_sex_pgs_strata.csv</w:t>
            </w:r>
          </w:p>
        </w:tc>
      </w:tr>
      <w:tr w:rsidR="009F4713" w14:paraId="49AF0EEB" w14:textId="77777777" w:rsidTr="00356462">
        <w:tc>
          <w:tcPr>
            <w:tcW w:w="1200" w:type="dxa"/>
          </w:tcPr>
          <w:p w14:paraId="4F1660D3" w14:textId="77777777" w:rsidR="009F4713" w:rsidRDefault="00DA4967" w:rsidP="00356462">
            <w:pPr>
              <w:jc w:val="left"/>
            </w:pPr>
            <w:r>
              <w:t>Supplementary Table 5</w:t>
            </w:r>
          </w:p>
        </w:tc>
        <w:tc>
          <w:tcPr>
            <w:tcW w:w="4600" w:type="dxa"/>
          </w:tcPr>
          <w:p w14:paraId="288D66CE" w14:textId="77777777" w:rsidR="009F4713" w:rsidRDefault="00DA4967" w:rsidP="00356462">
            <w:pPr>
              <w:jc w:val="left"/>
            </w:pPr>
            <w:r>
              <w:t>BMI effects with sex and polygenic scores as covariates (confounding check; same individuals in every row)</w:t>
            </w:r>
          </w:p>
        </w:tc>
        <w:tc>
          <w:tcPr>
            <w:tcW w:w="3560" w:type="dxa"/>
          </w:tcPr>
          <w:p w14:paraId="53ADB2BE" w14:textId="77777777" w:rsidR="009F4713" w:rsidRDefault="00DA4967" w:rsidP="00356462">
            <w:pPr>
              <w:jc w:val="left"/>
            </w:pPr>
            <w:r>
              <w:t>supp_table_S5_pgs_adjusted.csv</w:t>
            </w:r>
          </w:p>
        </w:tc>
      </w:tr>
      <w:tr w:rsidR="009F4713" w14:paraId="2F786A0E" w14:textId="77777777" w:rsidTr="00356462">
        <w:tc>
          <w:tcPr>
            <w:tcW w:w="1200" w:type="dxa"/>
          </w:tcPr>
          <w:p w14:paraId="5BDC3CCA" w14:textId="77777777" w:rsidR="009F4713" w:rsidRDefault="00DA4967" w:rsidP="00356462">
            <w:pPr>
              <w:jc w:val="left"/>
            </w:pPr>
            <w:r>
              <w:t>Supplementary Table 6</w:t>
            </w:r>
          </w:p>
        </w:tc>
        <w:tc>
          <w:tcPr>
            <w:tcW w:w="4600" w:type="dxa"/>
          </w:tcPr>
          <w:p w14:paraId="2B14EF0B" w14:textId="77777777" w:rsidR="009F4713" w:rsidRDefault="00DA4967" w:rsidP="00356462">
            <w:pPr>
              <w:jc w:val="left"/>
            </w:pPr>
            <w:r>
              <w:t>Power to detect modifier x BMI interactions (sex and each polygenic score) and the observed interactions</w:t>
            </w:r>
          </w:p>
        </w:tc>
        <w:tc>
          <w:tcPr>
            <w:tcW w:w="3560" w:type="dxa"/>
          </w:tcPr>
          <w:p w14:paraId="5D2354C8" w14:textId="77777777" w:rsidR="009F4713" w:rsidRDefault="00DA4967" w:rsidP="00356462">
            <w:pPr>
              <w:jc w:val="left"/>
            </w:pPr>
            <w:r>
              <w:t>supp_table_S6_interaction_power.csv</w:t>
            </w:r>
          </w:p>
        </w:tc>
      </w:tr>
      <w:tr w:rsidR="009F4713" w14:paraId="05BB98B1" w14:textId="77777777" w:rsidTr="00356462">
        <w:tc>
          <w:tcPr>
            <w:tcW w:w="1200" w:type="dxa"/>
          </w:tcPr>
          <w:p w14:paraId="3989560E" w14:textId="77777777" w:rsidR="009F4713" w:rsidRDefault="00DA4967" w:rsidP="00356462">
            <w:pPr>
              <w:jc w:val="left"/>
            </w:pPr>
            <w:r>
              <w:t>Supplementary Table 7</w:t>
            </w:r>
          </w:p>
        </w:tc>
        <w:tc>
          <w:tcPr>
            <w:tcW w:w="4600" w:type="dxa"/>
          </w:tcPr>
          <w:p w14:paraId="64B72F0D" w14:textId="77777777" w:rsidR="009F4713" w:rsidRDefault="00DA4967" w:rsidP="00356462">
            <w:pPr>
              <w:jc w:val="left"/>
            </w:pPr>
            <w:r>
              <w:t>Height, head circumference and BMI by autism diagnosis within each CNV group, the pooled groups and SSC probands versus siblings: means, n, age- and sex-adjusted autism effect, and the autism x carrier interaction versus SSC non-carriers</w:t>
            </w:r>
          </w:p>
        </w:tc>
        <w:tc>
          <w:tcPr>
            <w:tcW w:w="3560" w:type="dxa"/>
          </w:tcPr>
          <w:p w14:paraId="6294E900" w14:textId="77777777" w:rsidR="009F4713" w:rsidRDefault="00DA4967" w:rsidP="00356462">
            <w:pPr>
              <w:jc w:val="left"/>
            </w:pPr>
            <w:r>
              <w:t>supp_table_S7_asd_by_cnv.csv</w:t>
            </w:r>
          </w:p>
        </w:tc>
      </w:tr>
      <w:tr w:rsidR="009F4713" w14:paraId="1B919B88" w14:textId="77777777" w:rsidTr="00356462">
        <w:tc>
          <w:tcPr>
            <w:tcW w:w="1200" w:type="dxa"/>
          </w:tcPr>
          <w:p w14:paraId="08DD832A" w14:textId="77777777" w:rsidR="009F4713" w:rsidRDefault="00DA4967" w:rsidP="00356462">
            <w:pPr>
              <w:jc w:val="left"/>
            </w:pPr>
            <w:r>
              <w:t>Supplementary Table 8</w:t>
            </w:r>
          </w:p>
        </w:tc>
        <w:tc>
          <w:tcPr>
            <w:tcW w:w="4600" w:type="dxa"/>
          </w:tcPr>
          <w:p w14:paraId="34FD92F6" w14:textId="77777777" w:rsidR="009F4713" w:rsidRDefault="00DA4967" w:rsidP="00356462">
            <w:pPr>
              <w:jc w:val="left"/>
            </w:pPr>
            <w:r>
              <w:t>Supplementary Table 7 contrasts and interactions in the subset with polygenic scores, unadjusted and adjusted for each score and for all four</w:t>
            </w:r>
          </w:p>
        </w:tc>
        <w:tc>
          <w:tcPr>
            <w:tcW w:w="3560" w:type="dxa"/>
          </w:tcPr>
          <w:p w14:paraId="7EFBC3C0" w14:textId="77777777" w:rsidR="009F4713" w:rsidRDefault="00DA4967" w:rsidP="00356462">
            <w:pPr>
              <w:jc w:val="left"/>
            </w:pPr>
            <w:r>
              <w:t>supp_table_S8_asd_by_cnv_pgs_adjusted.csv</w:t>
            </w:r>
          </w:p>
        </w:tc>
      </w:tr>
      <w:tr w:rsidR="009F4713" w14:paraId="32EBA1E4" w14:textId="77777777" w:rsidTr="00356462">
        <w:tc>
          <w:tcPr>
            <w:tcW w:w="1200" w:type="dxa"/>
          </w:tcPr>
          <w:p w14:paraId="3C0870C5" w14:textId="77777777" w:rsidR="009F4713" w:rsidRDefault="00DA4967" w:rsidP="00356462">
            <w:pPr>
              <w:jc w:val="left"/>
            </w:pPr>
            <w:r>
              <w:t>Supplementary Table 9</w:t>
            </w:r>
          </w:p>
        </w:tc>
        <w:tc>
          <w:tcPr>
            <w:tcW w:w="4600" w:type="dxa"/>
          </w:tcPr>
          <w:p w14:paraId="2ADB1088" w14:textId="77777777" w:rsidR="009F4713" w:rsidRDefault="00DA4967" w:rsidP="00356462">
            <w:pPr>
              <w:jc w:val="left"/>
            </w:pPr>
            <w:r>
              <w:t>Medication sensitivity: prevalence of current psychotropic use and within-carrier BMI slopes on height, head circumference, SRS, SCQ and CNB unadjusted, adjusted for medication classes, in unmedicated carriers, and adjusted for classes plus autism</w:t>
            </w:r>
          </w:p>
        </w:tc>
        <w:tc>
          <w:tcPr>
            <w:tcW w:w="3560" w:type="dxa"/>
          </w:tcPr>
          <w:p w14:paraId="3115F884" w14:textId="77777777" w:rsidR="009F4713" w:rsidRDefault="00DA4967" w:rsidP="00356462">
            <w:pPr>
              <w:jc w:val="left"/>
            </w:pPr>
            <w:r>
              <w:t>medication_sensitivity.csv; medication_prevalence.csv</w:t>
            </w:r>
          </w:p>
        </w:tc>
      </w:tr>
      <w:tr w:rsidR="009F4713" w14:paraId="6EFB4BB7" w14:textId="77777777" w:rsidTr="00356462">
        <w:tc>
          <w:tcPr>
            <w:tcW w:w="1200" w:type="dxa"/>
          </w:tcPr>
          <w:p w14:paraId="14AE7BAD" w14:textId="77777777" w:rsidR="009F4713" w:rsidRDefault="00DA4967" w:rsidP="00356462">
            <w:pPr>
              <w:jc w:val="left"/>
            </w:pPr>
            <w:r>
              <w:t>Supplementary Table 10</w:t>
            </w:r>
          </w:p>
        </w:tc>
        <w:tc>
          <w:tcPr>
            <w:tcW w:w="4600" w:type="dxa"/>
          </w:tcPr>
          <w:p w14:paraId="04CB5925" w14:textId="77777777" w:rsidR="009F4713" w:rsidRDefault="00DA4967" w:rsidP="00356462">
            <w:pPr>
              <w:jc w:val="left"/>
            </w:pPr>
            <w:r>
              <w:t>BMI slope on SRS and SCQ by group and autism status: SSC siblings, SSC parents, autistic SSC probands, each CNV and all CNVs, for all carriers, carriers without an autism diagnosis and all carriers with autism diagnosis as a covariate (slope, s.e., P, 95% CI, and the difference from unaffected relatives with its P); the contrasts against autistic probands for all carriers are in Supplementary Table 2</w:t>
            </w:r>
          </w:p>
        </w:tc>
        <w:tc>
          <w:tcPr>
            <w:tcW w:w="3560" w:type="dxa"/>
          </w:tcPr>
          <w:p w14:paraId="082783E3" w14:textId="77777777" w:rsidR="009F4713" w:rsidRDefault="00DA4967" w:rsidP="00356462">
            <w:pPr>
              <w:jc w:val="left"/>
            </w:pPr>
            <w:r>
              <w:t>cognition_bmi_slopes.csv (24_cognition_bmi_slopes.R)</w:t>
            </w:r>
          </w:p>
        </w:tc>
      </w:tr>
    </w:tbl>
    <w:p w14:paraId="3994AAC9" w14:textId="77777777" w:rsidR="009F4713" w:rsidRDefault="009F4713"/>
    <w:p w14:paraId="1768ABE0" w14:textId="77777777" w:rsidR="009F4713" w:rsidRDefault="00DA4967">
      <w:r>
        <w:rPr>
          <w:rFonts w:ascii="Cambria" w:eastAsia="Cambria" w:hAnsi="Cambria" w:cs="Cambria"/>
          <w:b/>
          <w:color w:val="000000"/>
          <w:sz w:val="20"/>
          <w:szCs w:val="20"/>
        </w:rPr>
        <w:t>Supplementary Table 9 (abridged) | Age-adjusted BMI slope (s.d. of trait per s.d. of BMI; estimate (s.e.), P) by medication model, G2MH carriers.</w:t>
      </w:r>
    </w:p>
    <w:tbl>
      <w:tblPr>
        <w:tblStyle w:val="tabletemplate"/>
        <w:tblW w:w="5000" w:type="pct"/>
        <w:tblLook w:val="0420" w:firstRow="1" w:lastRow="0" w:firstColumn="0" w:lastColumn="0" w:noHBand="0" w:noVBand="1"/>
      </w:tblPr>
      <w:tblGrid>
        <w:gridCol w:w="1689"/>
        <w:gridCol w:w="1389"/>
        <w:gridCol w:w="1390"/>
        <w:gridCol w:w="1480"/>
        <w:gridCol w:w="1462"/>
        <w:gridCol w:w="1656"/>
      </w:tblGrid>
      <w:tr w:rsidR="009F4713" w14:paraId="1CF24CD6" w14:textId="77777777" w:rsidTr="00356462">
        <w:trPr>
          <w:cnfStyle w:val="100000000000" w:firstRow="1" w:lastRow="0" w:firstColumn="0" w:lastColumn="0" w:oddVBand="0" w:evenVBand="0" w:oddHBand="0" w:evenHBand="0" w:firstRowFirstColumn="0" w:firstRowLastColumn="0" w:lastRowFirstColumn="0" w:lastRowLastColumn="0"/>
          <w:tblHeader/>
        </w:trPr>
        <w:tc>
          <w:tcPr>
            <w:tcW w:w="833" w:type="pct"/>
          </w:tcPr>
          <w:p w14:paraId="25967576" w14:textId="77777777" w:rsidR="009F4713" w:rsidRDefault="00DA4967" w:rsidP="00356462">
            <w:pPr>
              <w:jc w:val="left"/>
            </w:pPr>
            <w:r>
              <w:t>Trait</w:t>
            </w:r>
          </w:p>
        </w:tc>
        <w:tc>
          <w:tcPr>
            <w:tcW w:w="833" w:type="pct"/>
          </w:tcPr>
          <w:p w14:paraId="1824F57A" w14:textId="77777777" w:rsidR="009F4713" w:rsidRDefault="00DA4967" w:rsidP="00356462">
            <w:pPr>
              <w:jc w:val="left"/>
            </w:pPr>
            <w:r>
              <w:t>Group</w:t>
            </w:r>
          </w:p>
        </w:tc>
        <w:tc>
          <w:tcPr>
            <w:tcW w:w="833" w:type="pct"/>
          </w:tcPr>
          <w:p w14:paraId="5CEA1958" w14:textId="77777777" w:rsidR="009F4713" w:rsidRDefault="00DA4967" w:rsidP="00356462">
            <w:pPr>
              <w:jc w:val="left"/>
            </w:pPr>
            <w:r>
              <w:t>n</w:t>
            </w:r>
          </w:p>
        </w:tc>
        <w:tc>
          <w:tcPr>
            <w:tcW w:w="833" w:type="pct"/>
          </w:tcPr>
          <w:p w14:paraId="1BDB1E83" w14:textId="77777777" w:rsidR="009F4713" w:rsidRDefault="00DA4967" w:rsidP="00356462">
            <w:pPr>
              <w:jc w:val="left"/>
            </w:pPr>
            <w:r>
              <w:t>Unadjusted</w:t>
            </w:r>
          </w:p>
        </w:tc>
        <w:tc>
          <w:tcPr>
            <w:tcW w:w="833" w:type="pct"/>
          </w:tcPr>
          <w:p w14:paraId="402E3D64" w14:textId="77777777" w:rsidR="009F4713" w:rsidRDefault="00DA4967" w:rsidP="00356462">
            <w:pPr>
              <w:jc w:val="left"/>
            </w:pPr>
            <w:r>
              <w:t>+ medication classes</w:t>
            </w:r>
          </w:p>
        </w:tc>
        <w:tc>
          <w:tcPr>
            <w:tcW w:w="833" w:type="pct"/>
          </w:tcPr>
          <w:p w14:paraId="48F5E8D7" w14:textId="77777777" w:rsidR="009F4713" w:rsidRDefault="00DA4967" w:rsidP="00356462">
            <w:pPr>
              <w:jc w:val="left"/>
            </w:pPr>
            <w:r>
              <w:t>No psychotropic (n)</w:t>
            </w:r>
          </w:p>
        </w:tc>
      </w:tr>
      <w:tr w:rsidR="009F4713" w14:paraId="606EC0CE" w14:textId="77777777" w:rsidTr="00356462">
        <w:tc>
          <w:tcPr>
            <w:tcW w:w="833" w:type="pct"/>
          </w:tcPr>
          <w:p w14:paraId="167A6139" w14:textId="77777777" w:rsidR="009F4713" w:rsidRDefault="00DA4967" w:rsidP="00356462">
            <w:pPr>
              <w:jc w:val="left"/>
            </w:pPr>
            <w:r>
              <w:t>Height</w:t>
            </w:r>
          </w:p>
        </w:tc>
        <w:tc>
          <w:tcPr>
            <w:tcW w:w="833" w:type="pct"/>
          </w:tcPr>
          <w:p w14:paraId="6FF07303" w14:textId="77777777" w:rsidR="009F4713" w:rsidRDefault="00DA4967" w:rsidP="00356462">
            <w:pPr>
              <w:jc w:val="left"/>
            </w:pPr>
            <w:r>
              <w:t>16p11.2 del</w:t>
            </w:r>
          </w:p>
        </w:tc>
        <w:tc>
          <w:tcPr>
            <w:tcW w:w="833" w:type="pct"/>
          </w:tcPr>
          <w:p w14:paraId="767939D7" w14:textId="77777777" w:rsidR="009F4713" w:rsidRDefault="00DA4967" w:rsidP="00356462">
            <w:pPr>
              <w:jc w:val="left"/>
            </w:pPr>
            <w:r>
              <w:t>89</w:t>
            </w:r>
          </w:p>
        </w:tc>
        <w:tc>
          <w:tcPr>
            <w:tcW w:w="833" w:type="pct"/>
          </w:tcPr>
          <w:p w14:paraId="23ACE1C5" w14:textId="77777777" w:rsidR="009F4713" w:rsidRDefault="00DA4967" w:rsidP="00356462">
            <w:pPr>
              <w:jc w:val="left"/>
            </w:pPr>
            <w:r>
              <w:t>+0.31 (0.11), p = 0.0048</w:t>
            </w:r>
          </w:p>
        </w:tc>
        <w:tc>
          <w:tcPr>
            <w:tcW w:w="833" w:type="pct"/>
          </w:tcPr>
          <w:p w14:paraId="3A5E155D" w14:textId="77777777" w:rsidR="009F4713" w:rsidRDefault="00DA4967" w:rsidP="00356462">
            <w:pPr>
              <w:jc w:val="left"/>
            </w:pPr>
            <w:r>
              <w:t>+0.32 (0.11), p = 0.0043</w:t>
            </w:r>
          </w:p>
        </w:tc>
        <w:tc>
          <w:tcPr>
            <w:tcW w:w="833" w:type="pct"/>
          </w:tcPr>
          <w:p w14:paraId="46665F9C" w14:textId="77777777" w:rsidR="009F4713" w:rsidRDefault="00DA4967" w:rsidP="00356462">
            <w:pPr>
              <w:jc w:val="left"/>
            </w:pPr>
            <w:r>
              <w:t>+0.27 (0.12), p = 0.027 (72)</w:t>
            </w:r>
          </w:p>
        </w:tc>
      </w:tr>
      <w:tr w:rsidR="009F4713" w14:paraId="12B2DED9" w14:textId="77777777" w:rsidTr="00356462">
        <w:tc>
          <w:tcPr>
            <w:tcW w:w="833" w:type="pct"/>
          </w:tcPr>
          <w:p w14:paraId="13E79693" w14:textId="77777777" w:rsidR="009F4713" w:rsidRDefault="00DA4967" w:rsidP="00356462">
            <w:pPr>
              <w:jc w:val="left"/>
            </w:pPr>
            <w:r>
              <w:t>Height</w:t>
            </w:r>
          </w:p>
        </w:tc>
        <w:tc>
          <w:tcPr>
            <w:tcW w:w="833" w:type="pct"/>
          </w:tcPr>
          <w:p w14:paraId="368842EB" w14:textId="77777777" w:rsidR="009F4713" w:rsidRDefault="00DA4967" w:rsidP="00356462">
            <w:pPr>
              <w:jc w:val="left"/>
            </w:pPr>
            <w:r>
              <w:t>16p11.2 dup</w:t>
            </w:r>
          </w:p>
        </w:tc>
        <w:tc>
          <w:tcPr>
            <w:tcW w:w="833" w:type="pct"/>
          </w:tcPr>
          <w:p w14:paraId="247C1015" w14:textId="77777777" w:rsidR="009F4713" w:rsidRDefault="00DA4967" w:rsidP="00356462">
            <w:pPr>
              <w:jc w:val="left"/>
            </w:pPr>
            <w:r>
              <w:t>49</w:t>
            </w:r>
          </w:p>
        </w:tc>
        <w:tc>
          <w:tcPr>
            <w:tcW w:w="833" w:type="pct"/>
          </w:tcPr>
          <w:p w14:paraId="4681BFE2" w14:textId="77777777" w:rsidR="009F4713" w:rsidRDefault="00DA4967" w:rsidP="00356462">
            <w:pPr>
              <w:jc w:val="left"/>
            </w:pPr>
            <w:r>
              <w:t>+0.07 (0.12), p = 0.6</w:t>
            </w:r>
          </w:p>
        </w:tc>
        <w:tc>
          <w:tcPr>
            <w:tcW w:w="833" w:type="pct"/>
          </w:tcPr>
          <w:p w14:paraId="7AAB1B2A" w14:textId="77777777" w:rsidR="009F4713" w:rsidRDefault="00DA4967" w:rsidP="00356462">
            <w:pPr>
              <w:jc w:val="left"/>
            </w:pPr>
            <w:r>
              <w:t>+0.05 (0.13), p = 0.69</w:t>
            </w:r>
          </w:p>
        </w:tc>
        <w:tc>
          <w:tcPr>
            <w:tcW w:w="833" w:type="pct"/>
          </w:tcPr>
          <w:p w14:paraId="113E00D6" w14:textId="77777777" w:rsidR="009F4713" w:rsidRDefault="00DA4967" w:rsidP="00356462">
            <w:pPr>
              <w:jc w:val="left"/>
            </w:pPr>
            <w:r>
              <w:t>+0.05 (0.15), p = 0.75 (33)</w:t>
            </w:r>
          </w:p>
        </w:tc>
      </w:tr>
      <w:tr w:rsidR="009F4713" w14:paraId="4B9551DA" w14:textId="77777777" w:rsidTr="00356462">
        <w:tc>
          <w:tcPr>
            <w:tcW w:w="833" w:type="pct"/>
          </w:tcPr>
          <w:p w14:paraId="731BDAC9" w14:textId="77777777" w:rsidR="009F4713" w:rsidRDefault="00DA4967" w:rsidP="00356462">
            <w:pPr>
              <w:jc w:val="left"/>
            </w:pPr>
            <w:r>
              <w:t>Height</w:t>
            </w:r>
          </w:p>
        </w:tc>
        <w:tc>
          <w:tcPr>
            <w:tcW w:w="833" w:type="pct"/>
          </w:tcPr>
          <w:p w14:paraId="0EA53474" w14:textId="77777777" w:rsidR="009F4713" w:rsidRDefault="00DA4967" w:rsidP="00356462">
            <w:pPr>
              <w:jc w:val="left"/>
            </w:pPr>
            <w:r>
              <w:t>22q11.2 del</w:t>
            </w:r>
          </w:p>
        </w:tc>
        <w:tc>
          <w:tcPr>
            <w:tcW w:w="833" w:type="pct"/>
          </w:tcPr>
          <w:p w14:paraId="72D9FB1D" w14:textId="77777777" w:rsidR="009F4713" w:rsidRDefault="00DA4967" w:rsidP="00356462">
            <w:pPr>
              <w:jc w:val="left"/>
            </w:pPr>
            <w:r>
              <w:t>252</w:t>
            </w:r>
          </w:p>
        </w:tc>
        <w:tc>
          <w:tcPr>
            <w:tcW w:w="833" w:type="pct"/>
          </w:tcPr>
          <w:p w14:paraId="2F83717C" w14:textId="77777777" w:rsidR="009F4713" w:rsidRDefault="00DA4967" w:rsidP="00356462">
            <w:pPr>
              <w:jc w:val="left"/>
            </w:pPr>
            <w:r>
              <w:t>+0.05 (0.05), p = 0.34</w:t>
            </w:r>
          </w:p>
        </w:tc>
        <w:tc>
          <w:tcPr>
            <w:tcW w:w="833" w:type="pct"/>
          </w:tcPr>
          <w:p w14:paraId="60A575E4" w14:textId="77777777" w:rsidR="009F4713" w:rsidRDefault="00DA4967" w:rsidP="00356462">
            <w:pPr>
              <w:jc w:val="left"/>
            </w:pPr>
            <w:r>
              <w:t>+0.05 (0.05), p = 0.4</w:t>
            </w:r>
          </w:p>
        </w:tc>
        <w:tc>
          <w:tcPr>
            <w:tcW w:w="833" w:type="pct"/>
          </w:tcPr>
          <w:p w14:paraId="46A88F7C" w14:textId="77777777" w:rsidR="009F4713" w:rsidRDefault="00DA4967" w:rsidP="00356462">
            <w:pPr>
              <w:jc w:val="left"/>
            </w:pPr>
            <w:r>
              <w:t>+0.04 (0.06), p = 0.53 (163)</w:t>
            </w:r>
          </w:p>
        </w:tc>
      </w:tr>
      <w:tr w:rsidR="009F4713" w14:paraId="33CBB47C" w14:textId="77777777" w:rsidTr="00356462">
        <w:tc>
          <w:tcPr>
            <w:tcW w:w="833" w:type="pct"/>
          </w:tcPr>
          <w:p w14:paraId="3A71EED0" w14:textId="77777777" w:rsidR="009F4713" w:rsidRDefault="00DA4967" w:rsidP="00356462">
            <w:pPr>
              <w:jc w:val="left"/>
            </w:pPr>
            <w:r>
              <w:t>Height</w:t>
            </w:r>
          </w:p>
        </w:tc>
        <w:tc>
          <w:tcPr>
            <w:tcW w:w="833" w:type="pct"/>
          </w:tcPr>
          <w:p w14:paraId="3FE37A81" w14:textId="77777777" w:rsidR="009F4713" w:rsidRDefault="00DA4967" w:rsidP="00356462">
            <w:pPr>
              <w:jc w:val="left"/>
            </w:pPr>
            <w:r>
              <w:t>22q11.2 dup</w:t>
            </w:r>
          </w:p>
        </w:tc>
        <w:tc>
          <w:tcPr>
            <w:tcW w:w="833" w:type="pct"/>
          </w:tcPr>
          <w:p w14:paraId="14DF71A5" w14:textId="77777777" w:rsidR="009F4713" w:rsidRDefault="00DA4967" w:rsidP="00356462">
            <w:pPr>
              <w:jc w:val="left"/>
            </w:pPr>
            <w:r>
              <w:t>90</w:t>
            </w:r>
          </w:p>
        </w:tc>
        <w:tc>
          <w:tcPr>
            <w:tcW w:w="833" w:type="pct"/>
          </w:tcPr>
          <w:p w14:paraId="5B17850E" w14:textId="77777777" w:rsidR="009F4713" w:rsidRDefault="00DA4967" w:rsidP="00356462">
            <w:pPr>
              <w:jc w:val="left"/>
            </w:pPr>
            <w:r>
              <w:t>+0.12 (0.09), p = 0.2</w:t>
            </w:r>
          </w:p>
        </w:tc>
        <w:tc>
          <w:tcPr>
            <w:tcW w:w="833" w:type="pct"/>
          </w:tcPr>
          <w:p w14:paraId="30585A2E" w14:textId="77777777" w:rsidR="009F4713" w:rsidRDefault="00DA4967" w:rsidP="00356462">
            <w:pPr>
              <w:jc w:val="left"/>
            </w:pPr>
            <w:r>
              <w:t>+0.04 (0.10), p = 0.65</w:t>
            </w:r>
          </w:p>
        </w:tc>
        <w:tc>
          <w:tcPr>
            <w:tcW w:w="833" w:type="pct"/>
          </w:tcPr>
          <w:p w14:paraId="4888665C" w14:textId="77777777" w:rsidR="009F4713" w:rsidRDefault="00DA4967" w:rsidP="00356462">
            <w:pPr>
              <w:jc w:val="left"/>
            </w:pPr>
            <w:r>
              <w:t>+0.01 (0.11), p = 0.93 (67)</w:t>
            </w:r>
          </w:p>
        </w:tc>
      </w:tr>
      <w:tr w:rsidR="009F4713" w14:paraId="70C7C0CC" w14:textId="77777777" w:rsidTr="00356462">
        <w:tc>
          <w:tcPr>
            <w:tcW w:w="833" w:type="pct"/>
          </w:tcPr>
          <w:p w14:paraId="28D7C374" w14:textId="77777777" w:rsidR="009F4713" w:rsidRDefault="00DA4967" w:rsidP="00356462">
            <w:pPr>
              <w:jc w:val="left"/>
            </w:pPr>
            <w:r>
              <w:t>Height</w:t>
            </w:r>
          </w:p>
        </w:tc>
        <w:tc>
          <w:tcPr>
            <w:tcW w:w="833" w:type="pct"/>
          </w:tcPr>
          <w:p w14:paraId="7871FAC6" w14:textId="77777777" w:rsidR="009F4713" w:rsidRDefault="00DA4967" w:rsidP="00356462">
            <w:pPr>
              <w:jc w:val="left"/>
            </w:pPr>
            <w:r>
              <w:t>All CNVs</w:t>
            </w:r>
          </w:p>
        </w:tc>
        <w:tc>
          <w:tcPr>
            <w:tcW w:w="833" w:type="pct"/>
          </w:tcPr>
          <w:p w14:paraId="47AE82A1" w14:textId="77777777" w:rsidR="009F4713" w:rsidRDefault="00DA4967" w:rsidP="00356462">
            <w:pPr>
              <w:jc w:val="left"/>
            </w:pPr>
            <w:r>
              <w:t>480</w:t>
            </w:r>
          </w:p>
        </w:tc>
        <w:tc>
          <w:tcPr>
            <w:tcW w:w="833" w:type="pct"/>
          </w:tcPr>
          <w:p w14:paraId="0CD62858" w14:textId="77777777" w:rsidR="009F4713" w:rsidRDefault="00DA4967" w:rsidP="00356462">
            <w:pPr>
              <w:jc w:val="left"/>
            </w:pPr>
            <w:r>
              <w:t>+0.12 (0.04), p = 0.006</w:t>
            </w:r>
          </w:p>
        </w:tc>
        <w:tc>
          <w:tcPr>
            <w:tcW w:w="833" w:type="pct"/>
          </w:tcPr>
          <w:p w14:paraId="0ED660E2" w14:textId="77777777" w:rsidR="009F4713" w:rsidRDefault="00DA4967" w:rsidP="00356462">
            <w:pPr>
              <w:jc w:val="left"/>
            </w:pPr>
            <w:r>
              <w:t>+0.11 (0.04), p = 0.0092</w:t>
            </w:r>
          </w:p>
        </w:tc>
        <w:tc>
          <w:tcPr>
            <w:tcW w:w="833" w:type="pct"/>
          </w:tcPr>
          <w:p w14:paraId="514F7852" w14:textId="77777777" w:rsidR="009F4713" w:rsidRDefault="00DA4967" w:rsidP="00356462">
            <w:pPr>
              <w:jc w:val="left"/>
            </w:pPr>
            <w:r>
              <w:t>+0.09 (0.05), p = 0.059 (335)</w:t>
            </w:r>
          </w:p>
        </w:tc>
      </w:tr>
      <w:tr w:rsidR="009F4713" w14:paraId="5A591F36" w14:textId="77777777" w:rsidTr="00356462">
        <w:tc>
          <w:tcPr>
            <w:tcW w:w="833" w:type="pct"/>
          </w:tcPr>
          <w:p w14:paraId="3A3C383D" w14:textId="77777777" w:rsidR="009F4713" w:rsidRDefault="00DA4967" w:rsidP="00356462">
            <w:pPr>
              <w:jc w:val="left"/>
            </w:pPr>
            <w:r>
              <w:t>Head circumference</w:t>
            </w:r>
          </w:p>
        </w:tc>
        <w:tc>
          <w:tcPr>
            <w:tcW w:w="833" w:type="pct"/>
          </w:tcPr>
          <w:p w14:paraId="334645D1" w14:textId="77777777" w:rsidR="009F4713" w:rsidRDefault="00DA4967" w:rsidP="00356462">
            <w:pPr>
              <w:jc w:val="left"/>
            </w:pPr>
            <w:r>
              <w:t>16p11.2 del</w:t>
            </w:r>
          </w:p>
        </w:tc>
        <w:tc>
          <w:tcPr>
            <w:tcW w:w="833" w:type="pct"/>
          </w:tcPr>
          <w:p w14:paraId="29F12B9C" w14:textId="77777777" w:rsidR="009F4713" w:rsidRDefault="00DA4967" w:rsidP="00356462">
            <w:pPr>
              <w:jc w:val="left"/>
            </w:pPr>
            <w:r>
              <w:t>67</w:t>
            </w:r>
          </w:p>
        </w:tc>
        <w:tc>
          <w:tcPr>
            <w:tcW w:w="833" w:type="pct"/>
          </w:tcPr>
          <w:p w14:paraId="2422BA7E" w14:textId="77777777" w:rsidR="009F4713" w:rsidRDefault="00DA4967" w:rsidP="00356462">
            <w:pPr>
              <w:jc w:val="left"/>
            </w:pPr>
            <w:r>
              <w:t>+0.47 (0.09), p = 5.6e-06</w:t>
            </w:r>
          </w:p>
        </w:tc>
        <w:tc>
          <w:tcPr>
            <w:tcW w:w="833" w:type="pct"/>
          </w:tcPr>
          <w:p w14:paraId="63593DCD" w14:textId="77777777" w:rsidR="009F4713" w:rsidRDefault="00DA4967" w:rsidP="00356462">
            <w:pPr>
              <w:jc w:val="left"/>
            </w:pPr>
            <w:r>
              <w:t>+0.48 (0.09), p = 2.3e-06</w:t>
            </w:r>
          </w:p>
        </w:tc>
        <w:tc>
          <w:tcPr>
            <w:tcW w:w="833" w:type="pct"/>
          </w:tcPr>
          <w:p w14:paraId="71A4CCFE" w14:textId="77777777" w:rsidR="009F4713" w:rsidRDefault="00DA4967" w:rsidP="00356462">
            <w:pPr>
              <w:jc w:val="left"/>
            </w:pPr>
            <w:r>
              <w:t>+0.50 (0.11), p = 3.9e-05 (52)</w:t>
            </w:r>
          </w:p>
        </w:tc>
      </w:tr>
      <w:tr w:rsidR="009F4713" w14:paraId="2299BA8A" w14:textId="77777777" w:rsidTr="00356462">
        <w:tc>
          <w:tcPr>
            <w:tcW w:w="833" w:type="pct"/>
          </w:tcPr>
          <w:p w14:paraId="280F4D09" w14:textId="77777777" w:rsidR="009F4713" w:rsidRDefault="00DA4967" w:rsidP="00356462">
            <w:pPr>
              <w:jc w:val="left"/>
            </w:pPr>
            <w:r>
              <w:t>Head circumference</w:t>
            </w:r>
          </w:p>
        </w:tc>
        <w:tc>
          <w:tcPr>
            <w:tcW w:w="833" w:type="pct"/>
          </w:tcPr>
          <w:p w14:paraId="6E0B13C1" w14:textId="77777777" w:rsidR="009F4713" w:rsidRDefault="00DA4967" w:rsidP="00356462">
            <w:pPr>
              <w:jc w:val="left"/>
            </w:pPr>
            <w:r>
              <w:t>16p11.2 dup</w:t>
            </w:r>
          </w:p>
        </w:tc>
        <w:tc>
          <w:tcPr>
            <w:tcW w:w="833" w:type="pct"/>
          </w:tcPr>
          <w:p w14:paraId="3A01C9E0" w14:textId="77777777" w:rsidR="009F4713" w:rsidRDefault="00DA4967" w:rsidP="00356462">
            <w:pPr>
              <w:jc w:val="left"/>
            </w:pPr>
            <w:r>
              <w:t>36</w:t>
            </w:r>
          </w:p>
        </w:tc>
        <w:tc>
          <w:tcPr>
            <w:tcW w:w="833" w:type="pct"/>
          </w:tcPr>
          <w:p w14:paraId="71AA6C77" w14:textId="77777777" w:rsidR="009F4713" w:rsidRDefault="00DA4967" w:rsidP="00356462">
            <w:pPr>
              <w:jc w:val="left"/>
            </w:pPr>
            <w:r>
              <w:t>+0.07 (0.16), p = 0.69</w:t>
            </w:r>
          </w:p>
        </w:tc>
        <w:tc>
          <w:tcPr>
            <w:tcW w:w="833" w:type="pct"/>
          </w:tcPr>
          <w:p w14:paraId="3210061F" w14:textId="77777777" w:rsidR="009F4713" w:rsidRDefault="00DA4967" w:rsidP="00356462">
            <w:pPr>
              <w:jc w:val="left"/>
            </w:pPr>
            <w:r>
              <w:t>+0.07 (0.17), p = 0.67</w:t>
            </w:r>
          </w:p>
        </w:tc>
        <w:tc>
          <w:tcPr>
            <w:tcW w:w="833" w:type="pct"/>
          </w:tcPr>
          <w:p w14:paraId="2BC79487" w14:textId="77777777" w:rsidR="009F4713" w:rsidRDefault="00DA4967" w:rsidP="00356462">
            <w:pPr>
              <w:jc w:val="left"/>
            </w:pPr>
            <w:r>
              <w:t>+0.02 (0.19), p = 0.92 (26)</w:t>
            </w:r>
          </w:p>
        </w:tc>
      </w:tr>
      <w:tr w:rsidR="009F4713" w14:paraId="0DB02417" w14:textId="77777777" w:rsidTr="00356462">
        <w:tc>
          <w:tcPr>
            <w:tcW w:w="833" w:type="pct"/>
          </w:tcPr>
          <w:p w14:paraId="7E95FC26" w14:textId="77777777" w:rsidR="009F4713" w:rsidRDefault="00DA4967" w:rsidP="00356462">
            <w:pPr>
              <w:jc w:val="left"/>
            </w:pPr>
            <w:r>
              <w:t>Head circumference</w:t>
            </w:r>
          </w:p>
        </w:tc>
        <w:tc>
          <w:tcPr>
            <w:tcW w:w="833" w:type="pct"/>
          </w:tcPr>
          <w:p w14:paraId="5AF72A99" w14:textId="77777777" w:rsidR="009F4713" w:rsidRDefault="00DA4967" w:rsidP="00356462">
            <w:pPr>
              <w:jc w:val="left"/>
            </w:pPr>
            <w:r>
              <w:t>22q11.2 del</w:t>
            </w:r>
          </w:p>
        </w:tc>
        <w:tc>
          <w:tcPr>
            <w:tcW w:w="833" w:type="pct"/>
          </w:tcPr>
          <w:p w14:paraId="572A25E5" w14:textId="77777777" w:rsidR="009F4713" w:rsidRDefault="00DA4967" w:rsidP="00356462">
            <w:pPr>
              <w:jc w:val="left"/>
            </w:pPr>
            <w:r>
              <w:t>142</w:t>
            </w:r>
          </w:p>
        </w:tc>
        <w:tc>
          <w:tcPr>
            <w:tcW w:w="833" w:type="pct"/>
          </w:tcPr>
          <w:p w14:paraId="06FC94C4" w14:textId="77777777" w:rsidR="009F4713" w:rsidRDefault="00DA4967" w:rsidP="00356462">
            <w:pPr>
              <w:jc w:val="left"/>
            </w:pPr>
            <w:r>
              <w:t>+0.34 (0.08), p = 1.6e-05</w:t>
            </w:r>
          </w:p>
        </w:tc>
        <w:tc>
          <w:tcPr>
            <w:tcW w:w="833" w:type="pct"/>
          </w:tcPr>
          <w:p w14:paraId="22E3DD20" w14:textId="77777777" w:rsidR="009F4713" w:rsidRDefault="00DA4967" w:rsidP="00356462">
            <w:pPr>
              <w:jc w:val="left"/>
            </w:pPr>
            <w:r>
              <w:t>+0.33 (0.08), p = 4.7e-05</w:t>
            </w:r>
          </w:p>
        </w:tc>
        <w:tc>
          <w:tcPr>
            <w:tcW w:w="833" w:type="pct"/>
          </w:tcPr>
          <w:p w14:paraId="1AA6D7C3" w14:textId="77777777" w:rsidR="009F4713" w:rsidRDefault="00DA4967" w:rsidP="00356462">
            <w:pPr>
              <w:jc w:val="left"/>
            </w:pPr>
            <w:r>
              <w:t>+0.30 (0.10), p = 0.0031 (98)</w:t>
            </w:r>
          </w:p>
        </w:tc>
      </w:tr>
      <w:tr w:rsidR="009F4713" w14:paraId="04A6289A" w14:textId="77777777" w:rsidTr="00356462">
        <w:tc>
          <w:tcPr>
            <w:tcW w:w="833" w:type="pct"/>
          </w:tcPr>
          <w:p w14:paraId="39654E70" w14:textId="77777777" w:rsidR="009F4713" w:rsidRDefault="00DA4967" w:rsidP="00356462">
            <w:pPr>
              <w:jc w:val="left"/>
            </w:pPr>
            <w:r>
              <w:t>Head circumference</w:t>
            </w:r>
          </w:p>
        </w:tc>
        <w:tc>
          <w:tcPr>
            <w:tcW w:w="833" w:type="pct"/>
          </w:tcPr>
          <w:p w14:paraId="7E7EEE7C" w14:textId="77777777" w:rsidR="009F4713" w:rsidRDefault="00DA4967" w:rsidP="00356462">
            <w:pPr>
              <w:jc w:val="left"/>
            </w:pPr>
            <w:r>
              <w:t>22q11.2 dup</w:t>
            </w:r>
          </w:p>
        </w:tc>
        <w:tc>
          <w:tcPr>
            <w:tcW w:w="833" w:type="pct"/>
          </w:tcPr>
          <w:p w14:paraId="668FF60B" w14:textId="77777777" w:rsidR="009F4713" w:rsidRDefault="00DA4967" w:rsidP="00356462">
            <w:pPr>
              <w:jc w:val="left"/>
            </w:pPr>
            <w:r>
              <w:t>65</w:t>
            </w:r>
          </w:p>
        </w:tc>
        <w:tc>
          <w:tcPr>
            <w:tcW w:w="833" w:type="pct"/>
          </w:tcPr>
          <w:p w14:paraId="3BDEEC86" w14:textId="77777777" w:rsidR="009F4713" w:rsidRDefault="00DA4967" w:rsidP="00356462">
            <w:pPr>
              <w:jc w:val="left"/>
            </w:pPr>
            <w:r>
              <w:t>+0.43 (0.12), p = 8.4e-04</w:t>
            </w:r>
          </w:p>
        </w:tc>
        <w:tc>
          <w:tcPr>
            <w:tcW w:w="833" w:type="pct"/>
          </w:tcPr>
          <w:p w14:paraId="72249310" w14:textId="77777777" w:rsidR="009F4713" w:rsidRDefault="00DA4967" w:rsidP="00356462">
            <w:pPr>
              <w:jc w:val="left"/>
            </w:pPr>
            <w:r>
              <w:t>+0.39 (0.14), p = 0.0063</w:t>
            </w:r>
          </w:p>
        </w:tc>
        <w:tc>
          <w:tcPr>
            <w:tcW w:w="833" w:type="pct"/>
          </w:tcPr>
          <w:p w14:paraId="002ACA79" w14:textId="77777777" w:rsidR="009F4713" w:rsidRDefault="00DA4967" w:rsidP="00356462">
            <w:pPr>
              <w:jc w:val="left"/>
            </w:pPr>
            <w:r>
              <w:t>+0.32 (0.16), p = 0.06 (45)</w:t>
            </w:r>
          </w:p>
        </w:tc>
      </w:tr>
      <w:tr w:rsidR="009F4713" w14:paraId="1C5FEBA8" w14:textId="77777777" w:rsidTr="00356462">
        <w:tc>
          <w:tcPr>
            <w:tcW w:w="833" w:type="pct"/>
          </w:tcPr>
          <w:p w14:paraId="7570489A" w14:textId="77777777" w:rsidR="009F4713" w:rsidRDefault="00DA4967" w:rsidP="00356462">
            <w:pPr>
              <w:jc w:val="left"/>
            </w:pPr>
            <w:r>
              <w:t>Head circumference</w:t>
            </w:r>
          </w:p>
        </w:tc>
        <w:tc>
          <w:tcPr>
            <w:tcW w:w="833" w:type="pct"/>
          </w:tcPr>
          <w:p w14:paraId="6F9E2E0B" w14:textId="77777777" w:rsidR="009F4713" w:rsidRDefault="00DA4967" w:rsidP="00356462">
            <w:pPr>
              <w:jc w:val="left"/>
            </w:pPr>
            <w:r>
              <w:t>All CNVs</w:t>
            </w:r>
          </w:p>
        </w:tc>
        <w:tc>
          <w:tcPr>
            <w:tcW w:w="833" w:type="pct"/>
          </w:tcPr>
          <w:p w14:paraId="22595DD9" w14:textId="77777777" w:rsidR="009F4713" w:rsidRDefault="00DA4967" w:rsidP="00356462">
            <w:pPr>
              <w:jc w:val="left"/>
            </w:pPr>
            <w:r>
              <w:t>310</w:t>
            </w:r>
          </w:p>
        </w:tc>
        <w:tc>
          <w:tcPr>
            <w:tcW w:w="833" w:type="pct"/>
          </w:tcPr>
          <w:p w14:paraId="59721F6D" w14:textId="77777777" w:rsidR="009F4713" w:rsidRDefault="00DA4967" w:rsidP="00356462">
            <w:pPr>
              <w:jc w:val="left"/>
            </w:pPr>
            <w:r>
              <w:t>+0.37 (0.05), p = 4.8e-12</w:t>
            </w:r>
          </w:p>
        </w:tc>
        <w:tc>
          <w:tcPr>
            <w:tcW w:w="833" w:type="pct"/>
          </w:tcPr>
          <w:p w14:paraId="0A2C9163" w14:textId="77777777" w:rsidR="009F4713" w:rsidRDefault="00DA4967" w:rsidP="00356462">
            <w:pPr>
              <w:jc w:val="left"/>
            </w:pPr>
            <w:r>
              <w:t>+0.36 (0.05), p = 1.9e-11</w:t>
            </w:r>
          </w:p>
        </w:tc>
        <w:tc>
          <w:tcPr>
            <w:tcW w:w="833" w:type="pct"/>
          </w:tcPr>
          <w:p w14:paraId="6AD22EF2" w14:textId="77777777" w:rsidR="009F4713" w:rsidRDefault="00DA4967" w:rsidP="00356462">
            <w:pPr>
              <w:jc w:val="left"/>
            </w:pPr>
            <w:r>
              <w:t>+0.33 (0.06), p = 6.5e-07 (221)</w:t>
            </w:r>
          </w:p>
        </w:tc>
      </w:tr>
      <w:tr w:rsidR="009F4713" w14:paraId="08571605" w14:textId="77777777" w:rsidTr="00356462">
        <w:tc>
          <w:tcPr>
            <w:tcW w:w="833" w:type="pct"/>
          </w:tcPr>
          <w:p w14:paraId="26E05BAF" w14:textId="77777777" w:rsidR="009F4713" w:rsidRDefault="00DA4967" w:rsidP="00356462">
            <w:pPr>
              <w:jc w:val="left"/>
            </w:pPr>
            <w:r>
              <w:t>SRS</w:t>
            </w:r>
          </w:p>
        </w:tc>
        <w:tc>
          <w:tcPr>
            <w:tcW w:w="833" w:type="pct"/>
          </w:tcPr>
          <w:p w14:paraId="0829FF47" w14:textId="77777777" w:rsidR="009F4713" w:rsidRDefault="00DA4967" w:rsidP="00356462">
            <w:pPr>
              <w:jc w:val="left"/>
            </w:pPr>
            <w:r>
              <w:t>16p11.2 del</w:t>
            </w:r>
          </w:p>
        </w:tc>
        <w:tc>
          <w:tcPr>
            <w:tcW w:w="833" w:type="pct"/>
          </w:tcPr>
          <w:p w14:paraId="4E32EAD5" w14:textId="77777777" w:rsidR="009F4713" w:rsidRDefault="00DA4967" w:rsidP="00356462">
            <w:pPr>
              <w:jc w:val="left"/>
            </w:pPr>
            <w:r>
              <w:t>69</w:t>
            </w:r>
          </w:p>
        </w:tc>
        <w:tc>
          <w:tcPr>
            <w:tcW w:w="833" w:type="pct"/>
          </w:tcPr>
          <w:p w14:paraId="1267D562" w14:textId="77777777" w:rsidR="009F4713" w:rsidRDefault="00DA4967" w:rsidP="00356462">
            <w:pPr>
              <w:jc w:val="left"/>
            </w:pPr>
            <w:r>
              <w:t>+0.09 (0.22), p = 0.69</w:t>
            </w:r>
          </w:p>
        </w:tc>
        <w:tc>
          <w:tcPr>
            <w:tcW w:w="833" w:type="pct"/>
          </w:tcPr>
          <w:p w14:paraId="3471C893" w14:textId="77777777" w:rsidR="009F4713" w:rsidRDefault="00DA4967" w:rsidP="00356462">
            <w:pPr>
              <w:jc w:val="left"/>
            </w:pPr>
            <w:r>
              <w:t>+0.09 (0.23), p = 0.7</w:t>
            </w:r>
          </w:p>
        </w:tc>
        <w:tc>
          <w:tcPr>
            <w:tcW w:w="833" w:type="pct"/>
          </w:tcPr>
          <w:p w14:paraId="0C287D2E" w14:textId="77777777" w:rsidR="009F4713" w:rsidRDefault="00DA4967" w:rsidP="00356462">
            <w:pPr>
              <w:jc w:val="left"/>
            </w:pPr>
            <w:r>
              <w:t>+0.05 (0.28), p = 0.87 (54)</w:t>
            </w:r>
          </w:p>
        </w:tc>
      </w:tr>
      <w:tr w:rsidR="009F4713" w14:paraId="2D76DEF8" w14:textId="77777777" w:rsidTr="00356462">
        <w:tc>
          <w:tcPr>
            <w:tcW w:w="833" w:type="pct"/>
          </w:tcPr>
          <w:p w14:paraId="0FF47C29" w14:textId="77777777" w:rsidR="009F4713" w:rsidRDefault="00DA4967" w:rsidP="00356462">
            <w:pPr>
              <w:jc w:val="left"/>
            </w:pPr>
            <w:r>
              <w:t>SRS</w:t>
            </w:r>
          </w:p>
        </w:tc>
        <w:tc>
          <w:tcPr>
            <w:tcW w:w="833" w:type="pct"/>
          </w:tcPr>
          <w:p w14:paraId="314BE92B" w14:textId="77777777" w:rsidR="009F4713" w:rsidRDefault="00DA4967" w:rsidP="00356462">
            <w:pPr>
              <w:jc w:val="left"/>
            </w:pPr>
            <w:r>
              <w:t>16p11.2 dup</w:t>
            </w:r>
          </w:p>
        </w:tc>
        <w:tc>
          <w:tcPr>
            <w:tcW w:w="833" w:type="pct"/>
          </w:tcPr>
          <w:p w14:paraId="483CD9E8" w14:textId="77777777" w:rsidR="009F4713" w:rsidRDefault="00DA4967" w:rsidP="00356462">
            <w:pPr>
              <w:jc w:val="left"/>
            </w:pPr>
            <w:r>
              <w:t>30</w:t>
            </w:r>
          </w:p>
        </w:tc>
        <w:tc>
          <w:tcPr>
            <w:tcW w:w="833" w:type="pct"/>
          </w:tcPr>
          <w:p w14:paraId="61807777" w14:textId="77777777" w:rsidR="009F4713" w:rsidRDefault="00DA4967" w:rsidP="00356462">
            <w:pPr>
              <w:jc w:val="left"/>
            </w:pPr>
            <w:r>
              <w:t>+0.41 (0.32), p = 0.22</w:t>
            </w:r>
          </w:p>
        </w:tc>
        <w:tc>
          <w:tcPr>
            <w:tcW w:w="833" w:type="pct"/>
          </w:tcPr>
          <w:p w14:paraId="1873F66F" w14:textId="77777777" w:rsidR="009F4713" w:rsidRDefault="00DA4967" w:rsidP="00356462">
            <w:pPr>
              <w:jc w:val="left"/>
            </w:pPr>
            <w:r>
              <w:t>+0.30 (0.34), p = 0.39</w:t>
            </w:r>
          </w:p>
        </w:tc>
        <w:tc>
          <w:tcPr>
            <w:tcW w:w="833" w:type="pct"/>
          </w:tcPr>
          <w:p w14:paraId="33C1D0E0" w14:textId="77777777" w:rsidR="009F4713" w:rsidRDefault="00DA4967" w:rsidP="00356462">
            <w:pPr>
              <w:jc w:val="left"/>
            </w:pPr>
            <w:r>
              <w:t>n/a</w:t>
            </w:r>
          </w:p>
        </w:tc>
      </w:tr>
      <w:tr w:rsidR="009F4713" w14:paraId="1E35D427" w14:textId="77777777" w:rsidTr="00356462">
        <w:tc>
          <w:tcPr>
            <w:tcW w:w="833" w:type="pct"/>
          </w:tcPr>
          <w:p w14:paraId="44548F69" w14:textId="77777777" w:rsidR="009F4713" w:rsidRDefault="00DA4967" w:rsidP="00356462">
            <w:pPr>
              <w:jc w:val="left"/>
            </w:pPr>
            <w:r>
              <w:t>SRS</w:t>
            </w:r>
          </w:p>
        </w:tc>
        <w:tc>
          <w:tcPr>
            <w:tcW w:w="833" w:type="pct"/>
          </w:tcPr>
          <w:p w14:paraId="7B0E7546" w14:textId="77777777" w:rsidR="009F4713" w:rsidRDefault="00DA4967" w:rsidP="00356462">
            <w:pPr>
              <w:jc w:val="left"/>
            </w:pPr>
            <w:r>
              <w:t>22q11.2 del</w:t>
            </w:r>
          </w:p>
        </w:tc>
        <w:tc>
          <w:tcPr>
            <w:tcW w:w="833" w:type="pct"/>
          </w:tcPr>
          <w:p w14:paraId="74B5FF3B" w14:textId="77777777" w:rsidR="009F4713" w:rsidRDefault="00DA4967" w:rsidP="00356462">
            <w:pPr>
              <w:jc w:val="left"/>
            </w:pPr>
            <w:r>
              <w:t>183</w:t>
            </w:r>
          </w:p>
        </w:tc>
        <w:tc>
          <w:tcPr>
            <w:tcW w:w="833" w:type="pct"/>
          </w:tcPr>
          <w:p w14:paraId="050D5D91" w14:textId="77777777" w:rsidR="009F4713" w:rsidRDefault="00DA4967" w:rsidP="00356462">
            <w:pPr>
              <w:jc w:val="left"/>
            </w:pPr>
            <w:r>
              <w:t>+0.27 (0.11), p = 0.013</w:t>
            </w:r>
          </w:p>
        </w:tc>
        <w:tc>
          <w:tcPr>
            <w:tcW w:w="833" w:type="pct"/>
          </w:tcPr>
          <w:p w14:paraId="6CCB4323" w14:textId="77777777" w:rsidR="009F4713" w:rsidRDefault="00DA4967" w:rsidP="00356462">
            <w:pPr>
              <w:jc w:val="left"/>
            </w:pPr>
            <w:r>
              <w:t>+0.23 (0.10), p = 0.027</w:t>
            </w:r>
          </w:p>
        </w:tc>
        <w:tc>
          <w:tcPr>
            <w:tcW w:w="833" w:type="pct"/>
          </w:tcPr>
          <w:p w14:paraId="4CDB9026" w14:textId="77777777" w:rsidR="009F4713" w:rsidRDefault="00DA4967" w:rsidP="00356462">
            <w:pPr>
              <w:jc w:val="left"/>
            </w:pPr>
            <w:r>
              <w:t>+0.29 (0.13), p = 0.026 (115)</w:t>
            </w:r>
          </w:p>
        </w:tc>
      </w:tr>
      <w:tr w:rsidR="009F4713" w14:paraId="4EC9FA85" w14:textId="77777777" w:rsidTr="00356462">
        <w:tc>
          <w:tcPr>
            <w:tcW w:w="833" w:type="pct"/>
          </w:tcPr>
          <w:p w14:paraId="1218A78D" w14:textId="77777777" w:rsidR="009F4713" w:rsidRDefault="00DA4967" w:rsidP="00356462">
            <w:pPr>
              <w:jc w:val="left"/>
            </w:pPr>
            <w:r>
              <w:t>SRS</w:t>
            </w:r>
          </w:p>
        </w:tc>
        <w:tc>
          <w:tcPr>
            <w:tcW w:w="833" w:type="pct"/>
          </w:tcPr>
          <w:p w14:paraId="56E0755B" w14:textId="77777777" w:rsidR="009F4713" w:rsidRDefault="00DA4967" w:rsidP="00356462">
            <w:pPr>
              <w:jc w:val="left"/>
            </w:pPr>
            <w:r>
              <w:t>22q11.2 dup</w:t>
            </w:r>
          </w:p>
        </w:tc>
        <w:tc>
          <w:tcPr>
            <w:tcW w:w="833" w:type="pct"/>
          </w:tcPr>
          <w:p w14:paraId="7C03198B" w14:textId="77777777" w:rsidR="009F4713" w:rsidRDefault="00DA4967" w:rsidP="00356462">
            <w:pPr>
              <w:jc w:val="left"/>
            </w:pPr>
            <w:r>
              <w:t>60</w:t>
            </w:r>
          </w:p>
        </w:tc>
        <w:tc>
          <w:tcPr>
            <w:tcW w:w="833" w:type="pct"/>
          </w:tcPr>
          <w:p w14:paraId="1DF7E282" w14:textId="77777777" w:rsidR="009F4713" w:rsidRDefault="00DA4967" w:rsidP="00356462">
            <w:pPr>
              <w:jc w:val="left"/>
            </w:pPr>
            <w:r>
              <w:t>+0.09 (0.24), p = 0.71</w:t>
            </w:r>
          </w:p>
        </w:tc>
        <w:tc>
          <w:tcPr>
            <w:tcW w:w="833" w:type="pct"/>
          </w:tcPr>
          <w:p w14:paraId="49B95630" w14:textId="77777777" w:rsidR="009F4713" w:rsidRDefault="00DA4967" w:rsidP="00356462">
            <w:pPr>
              <w:jc w:val="left"/>
            </w:pPr>
            <w:r>
              <w:t>+0.10 (0.27), p = 0.7</w:t>
            </w:r>
          </w:p>
        </w:tc>
        <w:tc>
          <w:tcPr>
            <w:tcW w:w="833" w:type="pct"/>
          </w:tcPr>
          <w:p w14:paraId="662C5BC8" w14:textId="77777777" w:rsidR="009F4713" w:rsidRDefault="00DA4967" w:rsidP="00356462">
            <w:pPr>
              <w:jc w:val="left"/>
            </w:pPr>
            <w:r>
              <w:t>+0.06 (0.34), p = 0.86 (42)</w:t>
            </w:r>
          </w:p>
        </w:tc>
      </w:tr>
      <w:tr w:rsidR="009F4713" w14:paraId="22097A24" w14:textId="77777777" w:rsidTr="00356462">
        <w:tc>
          <w:tcPr>
            <w:tcW w:w="833" w:type="pct"/>
          </w:tcPr>
          <w:p w14:paraId="359CAB9D" w14:textId="77777777" w:rsidR="009F4713" w:rsidRDefault="00DA4967" w:rsidP="00356462">
            <w:pPr>
              <w:jc w:val="left"/>
            </w:pPr>
            <w:r>
              <w:t>SRS</w:t>
            </w:r>
          </w:p>
        </w:tc>
        <w:tc>
          <w:tcPr>
            <w:tcW w:w="833" w:type="pct"/>
          </w:tcPr>
          <w:p w14:paraId="56708412" w14:textId="77777777" w:rsidR="009F4713" w:rsidRDefault="00DA4967" w:rsidP="00356462">
            <w:pPr>
              <w:jc w:val="left"/>
            </w:pPr>
            <w:r>
              <w:t>All CNVs</w:t>
            </w:r>
          </w:p>
        </w:tc>
        <w:tc>
          <w:tcPr>
            <w:tcW w:w="833" w:type="pct"/>
          </w:tcPr>
          <w:p w14:paraId="35877ECE" w14:textId="77777777" w:rsidR="009F4713" w:rsidRDefault="00DA4967" w:rsidP="00356462">
            <w:pPr>
              <w:jc w:val="left"/>
            </w:pPr>
            <w:r>
              <w:t>342</w:t>
            </w:r>
          </w:p>
        </w:tc>
        <w:tc>
          <w:tcPr>
            <w:tcW w:w="833" w:type="pct"/>
          </w:tcPr>
          <w:p w14:paraId="2A187DA1" w14:textId="77777777" w:rsidR="009F4713" w:rsidRDefault="00DA4967" w:rsidP="00356462">
            <w:pPr>
              <w:jc w:val="left"/>
            </w:pPr>
            <w:r>
              <w:t>+0.23 (0.09), p = 0.011</w:t>
            </w:r>
          </w:p>
        </w:tc>
        <w:tc>
          <w:tcPr>
            <w:tcW w:w="833" w:type="pct"/>
          </w:tcPr>
          <w:p w14:paraId="08984655" w14:textId="77777777" w:rsidR="009F4713" w:rsidRDefault="00DA4967" w:rsidP="00356462">
            <w:pPr>
              <w:jc w:val="left"/>
            </w:pPr>
            <w:r>
              <w:t>+0.19 (0.09), p = 0.03</w:t>
            </w:r>
          </w:p>
        </w:tc>
        <w:tc>
          <w:tcPr>
            <w:tcW w:w="833" w:type="pct"/>
          </w:tcPr>
          <w:p w14:paraId="54CEF13C" w14:textId="77777777" w:rsidR="009F4713" w:rsidRDefault="00DA4967" w:rsidP="00356462">
            <w:pPr>
              <w:jc w:val="left"/>
            </w:pPr>
            <w:r>
              <w:t>+0.22 (0.11), p = 0.044 (229)</w:t>
            </w:r>
          </w:p>
        </w:tc>
      </w:tr>
      <w:tr w:rsidR="009F4713" w14:paraId="1DD698B6" w14:textId="77777777" w:rsidTr="00356462">
        <w:tc>
          <w:tcPr>
            <w:tcW w:w="833" w:type="pct"/>
          </w:tcPr>
          <w:p w14:paraId="609F8DC5" w14:textId="77777777" w:rsidR="009F4713" w:rsidRDefault="00DA4967" w:rsidP="00356462">
            <w:pPr>
              <w:jc w:val="left"/>
            </w:pPr>
            <w:r>
              <w:t>SCQ</w:t>
            </w:r>
          </w:p>
        </w:tc>
        <w:tc>
          <w:tcPr>
            <w:tcW w:w="833" w:type="pct"/>
          </w:tcPr>
          <w:p w14:paraId="640E9E79" w14:textId="77777777" w:rsidR="009F4713" w:rsidRDefault="00DA4967" w:rsidP="00356462">
            <w:pPr>
              <w:jc w:val="left"/>
            </w:pPr>
            <w:r>
              <w:t>16p11.2 del</w:t>
            </w:r>
          </w:p>
        </w:tc>
        <w:tc>
          <w:tcPr>
            <w:tcW w:w="833" w:type="pct"/>
          </w:tcPr>
          <w:p w14:paraId="1FE274FB" w14:textId="77777777" w:rsidR="009F4713" w:rsidRDefault="00DA4967" w:rsidP="00356462">
            <w:pPr>
              <w:jc w:val="left"/>
            </w:pPr>
            <w:r>
              <w:t>52</w:t>
            </w:r>
          </w:p>
        </w:tc>
        <w:tc>
          <w:tcPr>
            <w:tcW w:w="833" w:type="pct"/>
          </w:tcPr>
          <w:p w14:paraId="4DAE7FAC" w14:textId="77777777" w:rsidR="009F4713" w:rsidRDefault="00DA4967" w:rsidP="00356462">
            <w:pPr>
              <w:jc w:val="left"/>
            </w:pPr>
            <w:r>
              <w:t>+0.45 (0.35), p = 0.21</w:t>
            </w:r>
          </w:p>
        </w:tc>
        <w:tc>
          <w:tcPr>
            <w:tcW w:w="833" w:type="pct"/>
          </w:tcPr>
          <w:p w14:paraId="3A64D60E" w14:textId="77777777" w:rsidR="009F4713" w:rsidRDefault="00DA4967" w:rsidP="00356462">
            <w:pPr>
              <w:jc w:val="left"/>
            </w:pPr>
            <w:r>
              <w:t>+0.26 (0.35), p = 0.45</w:t>
            </w:r>
          </w:p>
        </w:tc>
        <w:tc>
          <w:tcPr>
            <w:tcW w:w="833" w:type="pct"/>
          </w:tcPr>
          <w:p w14:paraId="4974B87E" w14:textId="77777777" w:rsidR="009F4713" w:rsidRDefault="00DA4967" w:rsidP="00356462">
            <w:pPr>
              <w:jc w:val="left"/>
            </w:pPr>
            <w:r>
              <w:t>+0.13 (0.36), p = 0.73 (44)</w:t>
            </w:r>
          </w:p>
        </w:tc>
      </w:tr>
      <w:tr w:rsidR="009F4713" w14:paraId="56081518" w14:textId="77777777" w:rsidTr="00356462">
        <w:tc>
          <w:tcPr>
            <w:tcW w:w="833" w:type="pct"/>
          </w:tcPr>
          <w:p w14:paraId="4CAD36EA" w14:textId="77777777" w:rsidR="009F4713" w:rsidRDefault="00DA4967" w:rsidP="00356462">
            <w:pPr>
              <w:jc w:val="left"/>
            </w:pPr>
            <w:r>
              <w:t>SCQ</w:t>
            </w:r>
          </w:p>
        </w:tc>
        <w:tc>
          <w:tcPr>
            <w:tcW w:w="833" w:type="pct"/>
          </w:tcPr>
          <w:p w14:paraId="2C207CB6" w14:textId="77777777" w:rsidR="009F4713" w:rsidRDefault="00DA4967" w:rsidP="00356462">
            <w:pPr>
              <w:jc w:val="left"/>
            </w:pPr>
            <w:r>
              <w:t>22q11.2 del</w:t>
            </w:r>
          </w:p>
        </w:tc>
        <w:tc>
          <w:tcPr>
            <w:tcW w:w="833" w:type="pct"/>
          </w:tcPr>
          <w:p w14:paraId="755D1374" w14:textId="77777777" w:rsidR="009F4713" w:rsidRDefault="00DA4967" w:rsidP="00356462">
            <w:pPr>
              <w:jc w:val="left"/>
            </w:pPr>
            <w:r>
              <w:t>146</w:t>
            </w:r>
          </w:p>
        </w:tc>
        <w:tc>
          <w:tcPr>
            <w:tcW w:w="833" w:type="pct"/>
          </w:tcPr>
          <w:p w14:paraId="0EC031F8" w14:textId="77777777" w:rsidR="009F4713" w:rsidRDefault="00DA4967" w:rsidP="00356462">
            <w:pPr>
              <w:jc w:val="left"/>
            </w:pPr>
            <w:r>
              <w:t>+0.37 (0.16), p = 0.025</w:t>
            </w:r>
          </w:p>
        </w:tc>
        <w:tc>
          <w:tcPr>
            <w:tcW w:w="833" w:type="pct"/>
          </w:tcPr>
          <w:p w14:paraId="7E49AF10" w14:textId="77777777" w:rsidR="009F4713" w:rsidRDefault="00DA4967" w:rsidP="00356462">
            <w:pPr>
              <w:jc w:val="left"/>
            </w:pPr>
            <w:r>
              <w:t>+0.37 (0.16), p = 0.024</w:t>
            </w:r>
          </w:p>
        </w:tc>
        <w:tc>
          <w:tcPr>
            <w:tcW w:w="833" w:type="pct"/>
          </w:tcPr>
          <w:p w14:paraId="6BCDECF3" w14:textId="77777777" w:rsidR="009F4713" w:rsidRDefault="00DA4967" w:rsidP="00356462">
            <w:pPr>
              <w:jc w:val="left"/>
            </w:pPr>
            <w:r>
              <w:t>+0.41 (0.19), p = 0.04 (90)</w:t>
            </w:r>
          </w:p>
        </w:tc>
      </w:tr>
      <w:tr w:rsidR="009F4713" w14:paraId="51DB547D" w14:textId="77777777" w:rsidTr="00356462">
        <w:tc>
          <w:tcPr>
            <w:tcW w:w="833" w:type="pct"/>
          </w:tcPr>
          <w:p w14:paraId="0F1E2C70" w14:textId="77777777" w:rsidR="009F4713" w:rsidRDefault="00DA4967" w:rsidP="00356462">
            <w:pPr>
              <w:jc w:val="left"/>
            </w:pPr>
            <w:r>
              <w:t>SCQ</w:t>
            </w:r>
          </w:p>
        </w:tc>
        <w:tc>
          <w:tcPr>
            <w:tcW w:w="833" w:type="pct"/>
          </w:tcPr>
          <w:p w14:paraId="139B7BB0" w14:textId="77777777" w:rsidR="009F4713" w:rsidRDefault="00DA4967" w:rsidP="00356462">
            <w:pPr>
              <w:jc w:val="left"/>
            </w:pPr>
            <w:r>
              <w:t>22q11.2 dup</w:t>
            </w:r>
          </w:p>
        </w:tc>
        <w:tc>
          <w:tcPr>
            <w:tcW w:w="833" w:type="pct"/>
          </w:tcPr>
          <w:p w14:paraId="4EE4CEDA" w14:textId="77777777" w:rsidR="009F4713" w:rsidRDefault="00DA4967" w:rsidP="00356462">
            <w:pPr>
              <w:jc w:val="left"/>
            </w:pPr>
            <w:r>
              <w:t>45</w:t>
            </w:r>
          </w:p>
        </w:tc>
        <w:tc>
          <w:tcPr>
            <w:tcW w:w="833" w:type="pct"/>
          </w:tcPr>
          <w:p w14:paraId="3AE058B6" w14:textId="77777777" w:rsidR="009F4713" w:rsidRDefault="00DA4967" w:rsidP="00356462">
            <w:pPr>
              <w:jc w:val="left"/>
            </w:pPr>
            <w:r>
              <w:t>+0.38 (0.37), p = 0.32</w:t>
            </w:r>
          </w:p>
        </w:tc>
        <w:tc>
          <w:tcPr>
            <w:tcW w:w="833" w:type="pct"/>
          </w:tcPr>
          <w:p w14:paraId="4BB81DF3" w14:textId="77777777" w:rsidR="009F4713" w:rsidRDefault="00DA4967" w:rsidP="00356462">
            <w:pPr>
              <w:jc w:val="left"/>
            </w:pPr>
            <w:r>
              <w:t>+0.55 (0.43), p = 0.21</w:t>
            </w:r>
          </w:p>
        </w:tc>
        <w:tc>
          <w:tcPr>
            <w:tcW w:w="833" w:type="pct"/>
          </w:tcPr>
          <w:p w14:paraId="7161D954" w14:textId="77777777" w:rsidR="009F4713" w:rsidRDefault="00DA4967" w:rsidP="00356462">
            <w:pPr>
              <w:jc w:val="left"/>
            </w:pPr>
            <w:r>
              <w:t>+0.82 (0.55), p = 0.15 (29)</w:t>
            </w:r>
          </w:p>
        </w:tc>
      </w:tr>
      <w:tr w:rsidR="009F4713" w14:paraId="3147257E" w14:textId="77777777" w:rsidTr="00356462">
        <w:tc>
          <w:tcPr>
            <w:tcW w:w="833" w:type="pct"/>
          </w:tcPr>
          <w:p w14:paraId="66452BAE" w14:textId="77777777" w:rsidR="009F4713" w:rsidRDefault="00DA4967" w:rsidP="00356462">
            <w:pPr>
              <w:jc w:val="left"/>
            </w:pPr>
            <w:r>
              <w:t>SCQ</w:t>
            </w:r>
          </w:p>
        </w:tc>
        <w:tc>
          <w:tcPr>
            <w:tcW w:w="833" w:type="pct"/>
          </w:tcPr>
          <w:p w14:paraId="06A99E1D" w14:textId="77777777" w:rsidR="009F4713" w:rsidRDefault="00DA4967" w:rsidP="00356462">
            <w:pPr>
              <w:jc w:val="left"/>
            </w:pPr>
            <w:r>
              <w:t>All CNVs</w:t>
            </w:r>
          </w:p>
        </w:tc>
        <w:tc>
          <w:tcPr>
            <w:tcW w:w="833" w:type="pct"/>
          </w:tcPr>
          <w:p w14:paraId="3423613A" w14:textId="77777777" w:rsidR="009F4713" w:rsidRDefault="00DA4967" w:rsidP="00356462">
            <w:pPr>
              <w:jc w:val="left"/>
            </w:pPr>
            <w:r>
              <w:t>261</w:t>
            </w:r>
          </w:p>
        </w:tc>
        <w:tc>
          <w:tcPr>
            <w:tcW w:w="833" w:type="pct"/>
          </w:tcPr>
          <w:p w14:paraId="4C55CBBB" w14:textId="77777777" w:rsidR="009F4713" w:rsidRDefault="00DA4967" w:rsidP="00356462">
            <w:pPr>
              <w:jc w:val="left"/>
            </w:pPr>
            <w:r>
              <w:t>+0.35 (0.14), p = 0.011</w:t>
            </w:r>
          </w:p>
        </w:tc>
        <w:tc>
          <w:tcPr>
            <w:tcW w:w="833" w:type="pct"/>
          </w:tcPr>
          <w:p w14:paraId="1275A0B9" w14:textId="77777777" w:rsidR="009F4713" w:rsidRDefault="00DA4967" w:rsidP="00356462">
            <w:pPr>
              <w:jc w:val="left"/>
            </w:pPr>
            <w:r>
              <w:t>+0.37 (0.14), p = 0.0068</w:t>
            </w:r>
          </w:p>
        </w:tc>
        <w:tc>
          <w:tcPr>
            <w:tcW w:w="833" w:type="pct"/>
          </w:tcPr>
          <w:p w14:paraId="45A3A03D" w14:textId="77777777" w:rsidR="009F4713" w:rsidRDefault="00DA4967" w:rsidP="00356462">
            <w:pPr>
              <w:jc w:val="left"/>
            </w:pPr>
            <w:r>
              <w:t>+0.38 (0.17), p = 0.023 (176)</w:t>
            </w:r>
          </w:p>
        </w:tc>
      </w:tr>
      <w:tr w:rsidR="009F4713" w14:paraId="29272FB8" w14:textId="77777777" w:rsidTr="00356462">
        <w:tc>
          <w:tcPr>
            <w:tcW w:w="833" w:type="pct"/>
          </w:tcPr>
          <w:p w14:paraId="11762ABE" w14:textId="77777777" w:rsidR="009F4713" w:rsidRDefault="00DA4967" w:rsidP="00356462">
            <w:pPr>
              <w:jc w:val="left"/>
            </w:pPr>
            <w:r>
              <w:t>CNB accuracy</w:t>
            </w:r>
          </w:p>
        </w:tc>
        <w:tc>
          <w:tcPr>
            <w:tcW w:w="833" w:type="pct"/>
          </w:tcPr>
          <w:p w14:paraId="7D5277F0" w14:textId="77777777" w:rsidR="009F4713" w:rsidRDefault="00DA4967" w:rsidP="00356462">
            <w:pPr>
              <w:jc w:val="left"/>
            </w:pPr>
            <w:r>
              <w:t>16p11.2 del</w:t>
            </w:r>
          </w:p>
        </w:tc>
        <w:tc>
          <w:tcPr>
            <w:tcW w:w="833" w:type="pct"/>
          </w:tcPr>
          <w:p w14:paraId="5FD025E0" w14:textId="77777777" w:rsidR="009F4713" w:rsidRDefault="00DA4967" w:rsidP="00356462">
            <w:pPr>
              <w:jc w:val="left"/>
            </w:pPr>
            <w:r>
              <w:t>133</w:t>
            </w:r>
          </w:p>
        </w:tc>
        <w:tc>
          <w:tcPr>
            <w:tcW w:w="833" w:type="pct"/>
          </w:tcPr>
          <w:p w14:paraId="4F49ED99" w14:textId="77777777" w:rsidR="009F4713" w:rsidRDefault="00DA4967" w:rsidP="00356462">
            <w:pPr>
              <w:jc w:val="left"/>
            </w:pPr>
            <w:r>
              <w:t>+0.03 (0.04), p = 0.4</w:t>
            </w:r>
          </w:p>
        </w:tc>
        <w:tc>
          <w:tcPr>
            <w:tcW w:w="833" w:type="pct"/>
          </w:tcPr>
          <w:p w14:paraId="622CDDA6" w14:textId="77777777" w:rsidR="009F4713" w:rsidRDefault="00DA4967" w:rsidP="00356462">
            <w:pPr>
              <w:jc w:val="left"/>
            </w:pPr>
            <w:r>
              <w:t>+0.04 (0.04), p = 0.34</w:t>
            </w:r>
          </w:p>
        </w:tc>
        <w:tc>
          <w:tcPr>
            <w:tcW w:w="833" w:type="pct"/>
          </w:tcPr>
          <w:p w14:paraId="6E4005B0" w14:textId="77777777" w:rsidR="009F4713" w:rsidRDefault="00DA4967" w:rsidP="00356462">
            <w:pPr>
              <w:jc w:val="left"/>
            </w:pPr>
            <w:r>
              <w:t>+0.04 (0.05), p = 0.38 (107)</w:t>
            </w:r>
          </w:p>
        </w:tc>
      </w:tr>
      <w:tr w:rsidR="009F4713" w14:paraId="16277BD3" w14:textId="77777777" w:rsidTr="00356462">
        <w:tc>
          <w:tcPr>
            <w:tcW w:w="833" w:type="pct"/>
          </w:tcPr>
          <w:p w14:paraId="5F5E6635" w14:textId="77777777" w:rsidR="009F4713" w:rsidRDefault="00DA4967" w:rsidP="00356462">
            <w:pPr>
              <w:jc w:val="left"/>
            </w:pPr>
            <w:r>
              <w:t>CNB accuracy</w:t>
            </w:r>
          </w:p>
        </w:tc>
        <w:tc>
          <w:tcPr>
            <w:tcW w:w="833" w:type="pct"/>
          </w:tcPr>
          <w:p w14:paraId="4383DA38" w14:textId="77777777" w:rsidR="009F4713" w:rsidRDefault="00DA4967" w:rsidP="00356462">
            <w:pPr>
              <w:jc w:val="left"/>
            </w:pPr>
            <w:r>
              <w:t>16p11.2 dup</w:t>
            </w:r>
          </w:p>
        </w:tc>
        <w:tc>
          <w:tcPr>
            <w:tcW w:w="833" w:type="pct"/>
          </w:tcPr>
          <w:p w14:paraId="34575D74" w14:textId="77777777" w:rsidR="009F4713" w:rsidRDefault="00DA4967" w:rsidP="00356462">
            <w:pPr>
              <w:jc w:val="left"/>
            </w:pPr>
            <w:r>
              <w:t>50</w:t>
            </w:r>
          </w:p>
        </w:tc>
        <w:tc>
          <w:tcPr>
            <w:tcW w:w="833" w:type="pct"/>
          </w:tcPr>
          <w:p w14:paraId="16A8ED15" w14:textId="77777777" w:rsidR="009F4713" w:rsidRDefault="00DA4967" w:rsidP="00356462">
            <w:pPr>
              <w:jc w:val="left"/>
            </w:pPr>
            <w:r>
              <w:t>-0.06 (0.08), p = 0.47</w:t>
            </w:r>
          </w:p>
        </w:tc>
        <w:tc>
          <w:tcPr>
            <w:tcW w:w="833" w:type="pct"/>
          </w:tcPr>
          <w:p w14:paraId="699BEC1C" w14:textId="77777777" w:rsidR="009F4713" w:rsidRDefault="00DA4967" w:rsidP="00356462">
            <w:pPr>
              <w:jc w:val="left"/>
            </w:pPr>
            <w:r>
              <w:t>-0.05 (0.08), p = 0.53</w:t>
            </w:r>
          </w:p>
        </w:tc>
        <w:tc>
          <w:tcPr>
            <w:tcW w:w="833" w:type="pct"/>
          </w:tcPr>
          <w:p w14:paraId="1DBDD1D4" w14:textId="77777777" w:rsidR="009F4713" w:rsidRDefault="00DA4967" w:rsidP="00356462">
            <w:pPr>
              <w:jc w:val="left"/>
            </w:pPr>
            <w:r>
              <w:t>-0.06 (0.09), p = 0.48 (43)</w:t>
            </w:r>
          </w:p>
        </w:tc>
      </w:tr>
      <w:tr w:rsidR="009F4713" w14:paraId="0F0317B8" w14:textId="77777777" w:rsidTr="00356462">
        <w:tc>
          <w:tcPr>
            <w:tcW w:w="833" w:type="pct"/>
          </w:tcPr>
          <w:p w14:paraId="03C5FDE9" w14:textId="77777777" w:rsidR="009F4713" w:rsidRDefault="00DA4967" w:rsidP="00356462">
            <w:pPr>
              <w:jc w:val="left"/>
            </w:pPr>
            <w:r>
              <w:t>CNB accuracy</w:t>
            </w:r>
          </w:p>
        </w:tc>
        <w:tc>
          <w:tcPr>
            <w:tcW w:w="833" w:type="pct"/>
          </w:tcPr>
          <w:p w14:paraId="5DAA8638" w14:textId="77777777" w:rsidR="009F4713" w:rsidRDefault="00DA4967" w:rsidP="00356462">
            <w:pPr>
              <w:jc w:val="left"/>
            </w:pPr>
            <w:r>
              <w:t>22q11.2 del</w:t>
            </w:r>
          </w:p>
        </w:tc>
        <w:tc>
          <w:tcPr>
            <w:tcW w:w="833" w:type="pct"/>
          </w:tcPr>
          <w:p w14:paraId="71EC037C" w14:textId="77777777" w:rsidR="009F4713" w:rsidRDefault="00DA4967" w:rsidP="00356462">
            <w:pPr>
              <w:jc w:val="left"/>
            </w:pPr>
            <w:r>
              <w:t>315</w:t>
            </w:r>
          </w:p>
        </w:tc>
        <w:tc>
          <w:tcPr>
            <w:tcW w:w="833" w:type="pct"/>
          </w:tcPr>
          <w:p w14:paraId="064E9088" w14:textId="77777777" w:rsidR="009F4713" w:rsidRDefault="00DA4967" w:rsidP="00356462">
            <w:pPr>
              <w:jc w:val="left"/>
            </w:pPr>
            <w:r>
              <w:t>-0.02 (0.03), p = 0.57</w:t>
            </w:r>
          </w:p>
        </w:tc>
        <w:tc>
          <w:tcPr>
            <w:tcW w:w="833" w:type="pct"/>
          </w:tcPr>
          <w:p w14:paraId="0F0B54DA" w14:textId="77777777" w:rsidR="009F4713" w:rsidRDefault="00DA4967" w:rsidP="00356462">
            <w:pPr>
              <w:jc w:val="left"/>
            </w:pPr>
            <w:r>
              <w:t>-0.02 (0.03), p = 0.54</w:t>
            </w:r>
          </w:p>
        </w:tc>
        <w:tc>
          <w:tcPr>
            <w:tcW w:w="833" w:type="pct"/>
          </w:tcPr>
          <w:p w14:paraId="40C2DF73" w14:textId="77777777" w:rsidR="009F4713" w:rsidRDefault="00DA4967" w:rsidP="00356462">
            <w:pPr>
              <w:jc w:val="left"/>
            </w:pPr>
            <w:r>
              <w:t>+0.03 (0.04), p = 0.43 (203)</w:t>
            </w:r>
          </w:p>
        </w:tc>
      </w:tr>
      <w:tr w:rsidR="009F4713" w14:paraId="220DD95E" w14:textId="77777777" w:rsidTr="00356462">
        <w:tc>
          <w:tcPr>
            <w:tcW w:w="833" w:type="pct"/>
          </w:tcPr>
          <w:p w14:paraId="04B1B8A0" w14:textId="77777777" w:rsidR="009F4713" w:rsidRDefault="00DA4967" w:rsidP="00356462">
            <w:pPr>
              <w:jc w:val="left"/>
            </w:pPr>
            <w:r>
              <w:t>CNB accuracy</w:t>
            </w:r>
          </w:p>
        </w:tc>
        <w:tc>
          <w:tcPr>
            <w:tcW w:w="833" w:type="pct"/>
          </w:tcPr>
          <w:p w14:paraId="3104903E" w14:textId="77777777" w:rsidR="009F4713" w:rsidRDefault="00DA4967" w:rsidP="00356462">
            <w:pPr>
              <w:jc w:val="left"/>
            </w:pPr>
            <w:r>
              <w:t>22q11.2 dup</w:t>
            </w:r>
          </w:p>
        </w:tc>
        <w:tc>
          <w:tcPr>
            <w:tcW w:w="833" w:type="pct"/>
          </w:tcPr>
          <w:p w14:paraId="171E6441" w14:textId="77777777" w:rsidR="009F4713" w:rsidRDefault="00DA4967" w:rsidP="00356462">
            <w:pPr>
              <w:jc w:val="left"/>
            </w:pPr>
            <w:r>
              <w:t>125</w:t>
            </w:r>
          </w:p>
        </w:tc>
        <w:tc>
          <w:tcPr>
            <w:tcW w:w="833" w:type="pct"/>
          </w:tcPr>
          <w:p w14:paraId="03F8E144" w14:textId="77777777" w:rsidR="009F4713" w:rsidRDefault="00DA4967" w:rsidP="00356462">
            <w:pPr>
              <w:jc w:val="left"/>
            </w:pPr>
            <w:r>
              <w:t>+0.06 (0.06), p = 0.32</w:t>
            </w:r>
          </w:p>
        </w:tc>
        <w:tc>
          <w:tcPr>
            <w:tcW w:w="833" w:type="pct"/>
          </w:tcPr>
          <w:p w14:paraId="7DE6A466" w14:textId="77777777" w:rsidR="009F4713" w:rsidRDefault="00DA4967" w:rsidP="00356462">
            <w:pPr>
              <w:jc w:val="left"/>
            </w:pPr>
            <w:r>
              <w:t>+0.07 (0.06), p = 0.21</w:t>
            </w:r>
          </w:p>
        </w:tc>
        <w:tc>
          <w:tcPr>
            <w:tcW w:w="833" w:type="pct"/>
          </w:tcPr>
          <w:p w14:paraId="143DCDD3" w14:textId="77777777" w:rsidR="009F4713" w:rsidRDefault="00DA4967" w:rsidP="00356462">
            <w:pPr>
              <w:jc w:val="left"/>
            </w:pPr>
            <w:r>
              <w:t>+0.01 (0.07), p = 0.84 (89)</w:t>
            </w:r>
          </w:p>
        </w:tc>
      </w:tr>
      <w:tr w:rsidR="009F4713" w14:paraId="75E35D80" w14:textId="77777777" w:rsidTr="00356462">
        <w:tc>
          <w:tcPr>
            <w:tcW w:w="833" w:type="pct"/>
          </w:tcPr>
          <w:p w14:paraId="0858AA18" w14:textId="77777777" w:rsidR="009F4713" w:rsidRDefault="00DA4967" w:rsidP="00356462">
            <w:pPr>
              <w:jc w:val="left"/>
            </w:pPr>
            <w:r>
              <w:t>CNB accuracy</w:t>
            </w:r>
          </w:p>
        </w:tc>
        <w:tc>
          <w:tcPr>
            <w:tcW w:w="833" w:type="pct"/>
          </w:tcPr>
          <w:p w14:paraId="4C81FE02" w14:textId="77777777" w:rsidR="009F4713" w:rsidRDefault="00DA4967" w:rsidP="00356462">
            <w:pPr>
              <w:jc w:val="left"/>
            </w:pPr>
            <w:r>
              <w:t>All CNVs</w:t>
            </w:r>
          </w:p>
        </w:tc>
        <w:tc>
          <w:tcPr>
            <w:tcW w:w="833" w:type="pct"/>
          </w:tcPr>
          <w:p w14:paraId="31FA81C5" w14:textId="77777777" w:rsidR="009F4713" w:rsidRDefault="00DA4967" w:rsidP="00356462">
            <w:pPr>
              <w:jc w:val="left"/>
            </w:pPr>
            <w:r>
              <w:t>623</w:t>
            </w:r>
          </w:p>
        </w:tc>
        <w:tc>
          <w:tcPr>
            <w:tcW w:w="833" w:type="pct"/>
          </w:tcPr>
          <w:p w14:paraId="725143BF" w14:textId="77777777" w:rsidR="009F4713" w:rsidRDefault="00DA4967" w:rsidP="00356462">
            <w:pPr>
              <w:jc w:val="left"/>
            </w:pPr>
            <w:r>
              <w:t>+0.00 (0.02), p = 0.88</w:t>
            </w:r>
          </w:p>
        </w:tc>
        <w:tc>
          <w:tcPr>
            <w:tcW w:w="833" w:type="pct"/>
          </w:tcPr>
          <w:p w14:paraId="32A0E6C8" w14:textId="77777777" w:rsidR="009F4713" w:rsidRDefault="00DA4967" w:rsidP="00356462">
            <w:pPr>
              <w:jc w:val="left"/>
            </w:pPr>
            <w:r>
              <w:t>+0.01 (0.02), p = 0.82</w:t>
            </w:r>
          </w:p>
        </w:tc>
        <w:tc>
          <w:tcPr>
            <w:tcW w:w="833" w:type="pct"/>
          </w:tcPr>
          <w:p w14:paraId="61C24BD0" w14:textId="77777777" w:rsidR="009F4713" w:rsidRDefault="00DA4967" w:rsidP="00356462">
            <w:pPr>
              <w:jc w:val="left"/>
            </w:pPr>
            <w:r>
              <w:t>+0.02 (0.03), p = 0.39 (442)</w:t>
            </w:r>
          </w:p>
        </w:tc>
      </w:tr>
      <w:tr w:rsidR="009F4713" w14:paraId="5C1A1F00" w14:textId="77777777" w:rsidTr="00356462">
        <w:tc>
          <w:tcPr>
            <w:tcW w:w="833" w:type="pct"/>
          </w:tcPr>
          <w:p w14:paraId="2E86E9C4" w14:textId="77777777" w:rsidR="009F4713" w:rsidRDefault="00DA4967" w:rsidP="00356462">
            <w:pPr>
              <w:jc w:val="left"/>
            </w:pPr>
            <w:r>
              <w:t>CNB speed</w:t>
            </w:r>
          </w:p>
        </w:tc>
        <w:tc>
          <w:tcPr>
            <w:tcW w:w="833" w:type="pct"/>
          </w:tcPr>
          <w:p w14:paraId="08C2DE32" w14:textId="77777777" w:rsidR="009F4713" w:rsidRDefault="00DA4967" w:rsidP="00356462">
            <w:pPr>
              <w:jc w:val="left"/>
            </w:pPr>
            <w:r>
              <w:t>16p11.2 del</w:t>
            </w:r>
          </w:p>
        </w:tc>
        <w:tc>
          <w:tcPr>
            <w:tcW w:w="833" w:type="pct"/>
          </w:tcPr>
          <w:p w14:paraId="36D2DD69" w14:textId="77777777" w:rsidR="009F4713" w:rsidRDefault="00DA4967" w:rsidP="00356462">
            <w:pPr>
              <w:jc w:val="left"/>
            </w:pPr>
            <w:r>
              <w:t>135</w:t>
            </w:r>
          </w:p>
        </w:tc>
        <w:tc>
          <w:tcPr>
            <w:tcW w:w="833" w:type="pct"/>
          </w:tcPr>
          <w:p w14:paraId="5284D64B" w14:textId="77777777" w:rsidR="009F4713" w:rsidRDefault="00DA4967" w:rsidP="00356462">
            <w:pPr>
              <w:jc w:val="left"/>
            </w:pPr>
            <w:r>
              <w:t>-0.01 (0.05), p = 0.75</w:t>
            </w:r>
          </w:p>
        </w:tc>
        <w:tc>
          <w:tcPr>
            <w:tcW w:w="833" w:type="pct"/>
          </w:tcPr>
          <w:p w14:paraId="4D1DCA38" w14:textId="77777777" w:rsidR="009F4713" w:rsidRDefault="00DA4967" w:rsidP="00356462">
            <w:pPr>
              <w:jc w:val="left"/>
            </w:pPr>
            <w:r>
              <w:t>-0.01 (0.05), p = 0.86</w:t>
            </w:r>
          </w:p>
        </w:tc>
        <w:tc>
          <w:tcPr>
            <w:tcW w:w="833" w:type="pct"/>
          </w:tcPr>
          <w:p w14:paraId="0AE3B16B" w14:textId="77777777" w:rsidR="009F4713" w:rsidRDefault="00DA4967" w:rsidP="00356462">
            <w:pPr>
              <w:jc w:val="left"/>
            </w:pPr>
            <w:r>
              <w:t>+0.01 (0.05), p = 0.81 (108)</w:t>
            </w:r>
          </w:p>
        </w:tc>
      </w:tr>
      <w:tr w:rsidR="009F4713" w14:paraId="286C2E18" w14:textId="77777777" w:rsidTr="00356462">
        <w:tc>
          <w:tcPr>
            <w:tcW w:w="833" w:type="pct"/>
          </w:tcPr>
          <w:p w14:paraId="712427A0" w14:textId="77777777" w:rsidR="009F4713" w:rsidRDefault="00DA4967" w:rsidP="00356462">
            <w:pPr>
              <w:jc w:val="left"/>
            </w:pPr>
            <w:r>
              <w:t>CNB speed</w:t>
            </w:r>
          </w:p>
        </w:tc>
        <w:tc>
          <w:tcPr>
            <w:tcW w:w="833" w:type="pct"/>
          </w:tcPr>
          <w:p w14:paraId="13112328" w14:textId="77777777" w:rsidR="009F4713" w:rsidRDefault="00DA4967" w:rsidP="00356462">
            <w:pPr>
              <w:jc w:val="left"/>
            </w:pPr>
            <w:r>
              <w:t>16p11.2 dup</w:t>
            </w:r>
          </w:p>
        </w:tc>
        <w:tc>
          <w:tcPr>
            <w:tcW w:w="833" w:type="pct"/>
          </w:tcPr>
          <w:p w14:paraId="137E7D17" w14:textId="77777777" w:rsidR="009F4713" w:rsidRDefault="00DA4967" w:rsidP="00356462">
            <w:pPr>
              <w:jc w:val="left"/>
            </w:pPr>
            <w:r>
              <w:t>50</w:t>
            </w:r>
          </w:p>
        </w:tc>
        <w:tc>
          <w:tcPr>
            <w:tcW w:w="833" w:type="pct"/>
          </w:tcPr>
          <w:p w14:paraId="7691A0BC" w14:textId="77777777" w:rsidR="009F4713" w:rsidRDefault="00DA4967" w:rsidP="00356462">
            <w:pPr>
              <w:jc w:val="left"/>
            </w:pPr>
            <w:r>
              <w:t>+0.00 (0.11), p = 0.99</w:t>
            </w:r>
          </w:p>
        </w:tc>
        <w:tc>
          <w:tcPr>
            <w:tcW w:w="833" w:type="pct"/>
          </w:tcPr>
          <w:p w14:paraId="4BD05424" w14:textId="77777777" w:rsidR="009F4713" w:rsidRDefault="00DA4967" w:rsidP="00356462">
            <w:pPr>
              <w:jc w:val="left"/>
            </w:pPr>
            <w:r>
              <w:t>-0.01 (0.11), p = 0.94</w:t>
            </w:r>
          </w:p>
        </w:tc>
        <w:tc>
          <w:tcPr>
            <w:tcW w:w="833" w:type="pct"/>
          </w:tcPr>
          <w:p w14:paraId="1238CF0F" w14:textId="77777777" w:rsidR="009F4713" w:rsidRDefault="00DA4967" w:rsidP="00356462">
            <w:pPr>
              <w:jc w:val="left"/>
            </w:pPr>
            <w:r>
              <w:t>-0.03 (0.12), p = 0.82 (43)</w:t>
            </w:r>
          </w:p>
        </w:tc>
      </w:tr>
      <w:tr w:rsidR="009F4713" w14:paraId="6BB00D9D" w14:textId="77777777" w:rsidTr="00356462">
        <w:tc>
          <w:tcPr>
            <w:tcW w:w="833" w:type="pct"/>
          </w:tcPr>
          <w:p w14:paraId="593118AC" w14:textId="77777777" w:rsidR="009F4713" w:rsidRDefault="00DA4967" w:rsidP="00356462">
            <w:pPr>
              <w:jc w:val="left"/>
            </w:pPr>
            <w:r>
              <w:t>CNB speed</w:t>
            </w:r>
          </w:p>
        </w:tc>
        <w:tc>
          <w:tcPr>
            <w:tcW w:w="833" w:type="pct"/>
          </w:tcPr>
          <w:p w14:paraId="4B8C630A" w14:textId="77777777" w:rsidR="009F4713" w:rsidRDefault="00DA4967" w:rsidP="00356462">
            <w:pPr>
              <w:jc w:val="left"/>
            </w:pPr>
            <w:r>
              <w:t>22q11.2 del</w:t>
            </w:r>
          </w:p>
        </w:tc>
        <w:tc>
          <w:tcPr>
            <w:tcW w:w="833" w:type="pct"/>
          </w:tcPr>
          <w:p w14:paraId="63C04754" w14:textId="77777777" w:rsidR="009F4713" w:rsidRDefault="00DA4967" w:rsidP="00356462">
            <w:pPr>
              <w:jc w:val="left"/>
            </w:pPr>
            <w:r>
              <w:t>321</w:t>
            </w:r>
          </w:p>
        </w:tc>
        <w:tc>
          <w:tcPr>
            <w:tcW w:w="833" w:type="pct"/>
          </w:tcPr>
          <w:p w14:paraId="627D5368" w14:textId="77777777" w:rsidR="009F4713" w:rsidRDefault="00DA4967" w:rsidP="00356462">
            <w:pPr>
              <w:jc w:val="left"/>
            </w:pPr>
            <w:r>
              <w:t>-0.01 (0.03), p = 0.87</w:t>
            </w:r>
          </w:p>
        </w:tc>
        <w:tc>
          <w:tcPr>
            <w:tcW w:w="833" w:type="pct"/>
          </w:tcPr>
          <w:p w14:paraId="7CF59A37" w14:textId="77777777" w:rsidR="009F4713" w:rsidRDefault="00DA4967" w:rsidP="00356462">
            <w:pPr>
              <w:jc w:val="left"/>
            </w:pPr>
            <w:r>
              <w:t>-0.01 (0.03), p = 0.68</w:t>
            </w:r>
          </w:p>
        </w:tc>
        <w:tc>
          <w:tcPr>
            <w:tcW w:w="833" w:type="pct"/>
          </w:tcPr>
          <w:p w14:paraId="752A1D39" w14:textId="77777777" w:rsidR="009F4713" w:rsidRDefault="00DA4967" w:rsidP="00356462">
            <w:pPr>
              <w:jc w:val="left"/>
            </w:pPr>
            <w:r>
              <w:t>-0.01 (0.04), p = 0.85 (208)</w:t>
            </w:r>
          </w:p>
        </w:tc>
      </w:tr>
      <w:tr w:rsidR="009F4713" w14:paraId="6D5CFC09" w14:textId="77777777" w:rsidTr="00356462">
        <w:tc>
          <w:tcPr>
            <w:tcW w:w="833" w:type="pct"/>
          </w:tcPr>
          <w:p w14:paraId="5C072E41" w14:textId="77777777" w:rsidR="009F4713" w:rsidRDefault="00DA4967" w:rsidP="00356462">
            <w:pPr>
              <w:jc w:val="left"/>
            </w:pPr>
            <w:r>
              <w:t>CNB speed</w:t>
            </w:r>
          </w:p>
        </w:tc>
        <w:tc>
          <w:tcPr>
            <w:tcW w:w="833" w:type="pct"/>
          </w:tcPr>
          <w:p w14:paraId="1A8654F3" w14:textId="77777777" w:rsidR="009F4713" w:rsidRDefault="00DA4967" w:rsidP="00356462">
            <w:pPr>
              <w:jc w:val="left"/>
            </w:pPr>
            <w:r>
              <w:t>22q11.2 dup</w:t>
            </w:r>
          </w:p>
        </w:tc>
        <w:tc>
          <w:tcPr>
            <w:tcW w:w="833" w:type="pct"/>
          </w:tcPr>
          <w:p w14:paraId="2E759FE2" w14:textId="77777777" w:rsidR="009F4713" w:rsidRDefault="00DA4967" w:rsidP="00356462">
            <w:pPr>
              <w:jc w:val="left"/>
            </w:pPr>
            <w:r>
              <w:t>125</w:t>
            </w:r>
          </w:p>
        </w:tc>
        <w:tc>
          <w:tcPr>
            <w:tcW w:w="833" w:type="pct"/>
          </w:tcPr>
          <w:p w14:paraId="71835E04" w14:textId="77777777" w:rsidR="009F4713" w:rsidRDefault="00DA4967" w:rsidP="00356462">
            <w:pPr>
              <w:jc w:val="left"/>
            </w:pPr>
            <w:r>
              <w:t>+0.04 (0.09), p = 0.65</w:t>
            </w:r>
          </w:p>
        </w:tc>
        <w:tc>
          <w:tcPr>
            <w:tcW w:w="833" w:type="pct"/>
          </w:tcPr>
          <w:p w14:paraId="57BAB324" w14:textId="77777777" w:rsidR="009F4713" w:rsidRDefault="00DA4967" w:rsidP="00356462">
            <w:pPr>
              <w:jc w:val="left"/>
            </w:pPr>
            <w:r>
              <w:t>+0.05 (0.09), p = 0.6</w:t>
            </w:r>
          </w:p>
        </w:tc>
        <w:tc>
          <w:tcPr>
            <w:tcW w:w="833" w:type="pct"/>
          </w:tcPr>
          <w:p w14:paraId="3077574D" w14:textId="77777777" w:rsidR="009F4713" w:rsidRDefault="00DA4967" w:rsidP="00356462">
            <w:pPr>
              <w:jc w:val="left"/>
            </w:pPr>
            <w:r>
              <w:t>+0.08 (0.08), p = 0.32 (89)</w:t>
            </w:r>
          </w:p>
        </w:tc>
      </w:tr>
      <w:tr w:rsidR="009F4713" w14:paraId="1A9BF343" w14:textId="77777777" w:rsidTr="00356462">
        <w:tc>
          <w:tcPr>
            <w:tcW w:w="833" w:type="pct"/>
          </w:tcPr>
          <w:p w14:paraId="233DE806" w14:textId="77777777" w:rsidR="009F4713" w:rsidRDefault="00DA4967" w:rsidP="00356462">
            <w:pPr>
              <w:jc w:val="left"/>
            </w:pPr>
            <w:r>
              <w:t>CNB speed</w:t>
            </w:r>
          </w:p>
        </w:tc>
        <w:tc>
          <w:tcPr>
            <w:tcW w:w="833" w:type="pct"/>
          </w:tcPr>
          <w:p w14:paraId="18FAE04F" w14:textId="77777777" w:rsidR="009F4713" w:rsidRDefault="00DA4967" w:rsidP="00356462">
            <w:pPr>
              <w:jc w:val="left"/>
            </w:pPr>
            <w:r>
              <w:t>All CNVs</w:t>
            </w:r>
          </w:p>
        </w:tc>
        <w:tc>
          <w:tcPr>
            <w:tcW w:w="833" w:type="pct"/>
          </w:tcPr>
          <w:p w14:paraId="6B7BFE07" w14:textId="77777777" w:rsidR="009F4713" w:rsidRDefault="00DA4967" w:rsidP="00356462">
            <w:pPr>
              <w:jc w:val="left"/>
            </w:pPr>
            <w:r>
              <w:t>631</w:t>
            </w:r>
          </w:p>
        </w:tc>
        <w:tc>
          <w:tcPr>
            <w:tcW w:w="833" w:type="pct"/>
          </w:tcPr>
          <w:p w14:paraId="0ECD4FC0" w14:textId="77777777" w:rsidR="009F4713" w:rsidRDefault="00DA4967" w:rsidP="00356462">
            <w:pPr>
              <w:jc w:val="left"/>
            </w:pPr>
            <w:r>
              <w:t>-0.00 (0.03), p = 0.91</w:t>
            </w:r>
          </w:p>
        </w:tc>
        <w:tc>
          <w:tcPr>
            <w:tcW w:w="833" w:type="pct"/>
          </w:tcPr>
          <w:p w14:paraId="7579404E" w14:textId="77777777" w:rsidR="009F4713" w:rsidRDefault="00DA4967" w:rsidP="00356462">
            <w:pPr>
              <w:jc w:val="left"/>
            </w:pPr>
            <w:r>
              <w:t>-0.00 (0.03), p = 0.87</w:t>
            </w:r>
          </w:p>
        </w:tc>
        <w:tc>
          <w:tcPr>
            <w:tcW w:w="833" w:type="pct"/>
          </w:tcPr>
          <w:p w14:paraId="47A4DC15" w14:textId="77777777" w:rsidR="009F4713" w:rsidRDefault="00DA4967" w:rsidP="00356462">
            <w:pPr>
              <w:jc w:val="left"/>
            </w:pPr>
            <w:r>
              <w:t>+0.00 (0.03), p = 0.94 (448)</w:t>
            </w:r>
          </w:p>
        </w:tc>
      </w:tr>
    </w:tbl>
    <w:p w14:paraId="6BD01ED0" w14:textId="77777777" w:rsidR="009F4713" w:rsidRDefault="009F4713"/>
    <w:p w14:paraId="2A3B0AB9" w14:textId="77777777" w:rsidR="009F4713" w:rsidRDefault="00DA4967">
      <w:r>
        <w:rPr>
          <w:rFonts w:ascii="Cambria" w:eastAsia="Cambria" w:hAnsi="Cambria" w:cs="Cambria"/>
          <w:color w:val="000000"/>
          <w:sz w:val="20"/>
          <w:szCs w:val="20"/>
        </w:rPr>
        <w:t>n, carriers with medication information; % psychotropic, current use. 'No psychotropic' is the slope in carriers on no current psychotropic (n in brackets; omitted where n &lt; 20). The full table, including medication prevalence by class, the weight-gain and weight-loss groupings and the model with medication classes plus autism diagnosis, is sheet 'Supplementary Table 9' of the workbook.</w:t>
      </w:r>
    </w:p>
    <w:p w14:paraId="36172A1C" w14:textId="77777777" w:rsidR="009F4713" w:rsidRDefault="00DA4967" w:rsidP="00356462">
      <w:pPr>
        <w:pStyle w:val="Heading2"/>
        <w:numPr>
          <w:ilvl w:val="0"/>
          <w:numId w:val="0"/>
        </w:numPr>
      </w:pPr>
      <w:r>
        <w:t>References</w:t>
      </w:r>
    </w:p>
    <w:p w14:paraId="31B731EA" w14:textId="77777777" w:rsidR="009F4713" w:rsidRDefault="00DA4967">
      <w:r>
        <w:rPr>
          <w:rFonts w:ascii="Cambria" w:eastAsia="Cambria" w:hAnsi="Cambria" w:cs="Cambria"/>
          <w:color w:val="000000"/>
          <w:sz w:val="20"/>
          <w:szCs w:val="20"/>
        </w:rPr>
        <w:t>1. Walters, R. G. et al. A new highly penetrant form of obesity due to deletions on chromosome 16p11.2. Nature 463, 671-675 (2010). PMID 20130649.</w:t>
      </w:r>
    </w:p>
    <w:p w14:paraId="5C02AB42" w14:textId="77777777" w:rsidR="009F4713" w:rsidRDefault="00DA4967">
      <w:r>
        <w:rPr>
          <w:rFonts w:ascii="Cambria" w:eastAsia="Cambria" w:hAnsi="Cambria" w:cs="Cambria"/>
          <w:color w:val="000000"/>
          <w:sz w:val="20"/>
          <w:szCs w:val="20"/>
        </w:rPr>
        <w:t>2. Jacquemont, S. et al. Mirror extreme BMI phenotypes associated with gene dosage at the chromosome 16p11.2 locus. Nature 478, 97-102 (2011). PMID 21881559.</w:t>
      </w:r>
    </w:p>
    <w:p w14:paraId="6D70E73A" w14:textId="77777777" w:rsidR="009F4713" w:rsidRDefault="00DA4967">
      <w:r>
        <w:rPr>
          <w:rFonts w:ascii="Cambria" w:eastAsia="Cambria" w:hAnsi="Cambria" w:cs="Cambria"/>
          <w:color w:val="000000"/>
          <w:sz w:val="20"/>
          <w:szCs w:val="20"/>
        </w:rPr>
        <w:t>3. Shinawi, M. et al. Recurrent reciprocal 16p11.2 rearrangements associated with global developmental delay, behavioural problems, dysmorphism, epilepsy, and abnormal head size. J. Med. Genet. 47, 332-341 (2010). PMID 19914906 [to confirm].</w:t>
      </w:r>
    </w:p>
    <w:p w14:paraId="1F639DA0" w14:textId="77777777" w:rsidR="009F4713" w:rsidRDefault="00DA4967">
      <w:r>
        <w:rPr>
          <w:rFonts w:ascii="Cambria" w:eastAsia="Cambria" w:hAnsi="Cambria" w:cs="Cambria"/>
          <w:color w:val="000000"/>
          <w:sz w:val="20"/>
          <w:szCs w:val="20"/>
        </w:rPr>
        <w:t>4. Voll, S. L. et al. Obesity in adults with 22q11.2 deletion syndrome. Genet. Med. 19, 204-208 (2017). PMID 28471432 [to confirm].</w:t>
      </w:r>
    </w:p>
    <w:p w14:paraId="4BA2B8D9" w14:textId="77777777" w:rsidR="009F4713" w:rsidRDefault="00DA4967">
      <w:r>
        <w:rPr>
          <w:rFonts w:ascii="Cambria" w:eastAsia="Cambria" w:hAnsi="Cambria" w:cs="Cambria"/>
          <w:color w:val="000000"/>
          <w:sz w:val="20"/>
          <w:szCs w:val="20"/>
        </w:rPr>
        <w:t>5. Fischbach, G. D. &amp; Lord, C. The Simons Simplex Collection: a resource for identification of autism genetic risk factors. Neuron 68, 192-195 (2010). PMID 20955926.</w:t>
      </w:r>
    </w:p>
    <w:p w14:paraId="3C9A3FBD" w14:textId="77777777" w:rsidR="009F4713" w:rsidRDefault="00DA4967">
      <w:r>
        <w:rPr>
          <w:rFonts w:ascii="Cambria" w:eastAsia="Cambria" w:hAnsi="Cambria" w:cs="Cambria"/>
          <w:color w:val="000000"/>
          <w:sz w:val="20"/>
          <w:szCs w:val="20"/>
        </w:rPr>
        <w:t>6. Simons VIP Consortium. Simons Variation in Individuals Project (Simons VIP): a genetics-first approach to studying autism spectrum and related neurodevelopmental disorders. Neuron 73, 1063-1067 (2012). PMID 22500628 [to confirm].</w:t>
      </w:r>
    </w:p>
    <w:p w14:paraId="048C0683" w14:textId="77777777" w:rsidR="009F4713" w:rsidRDefault="00DA4967">
      <w:r>
        <w:rPr>
          <w:rFonts w:ascii="Cambria" w:eastAsia="Cambria" w:hAnsi="Cambria" w:cs="Cambria"/>
          <w:color w:val="000000"/>
          <w:sz w:val="20"/>
          <w:szCs w:val="20"/>
        </w:rPr>
        <w:t>7. WHO Multicentre Growth Reference Study Group. WHO Child Growth Standards based on length/height, weight and age. Acta Paediatr. Suppl. 450, 76-85 (2006). PMID 16817681.</w:t>
      </w:r>
    </w:p>
    <w:p w14:paraId="0AE282B2" w14:textId="77777777" w:rsidR="009F4713" w:rsidRDefault="00DA4967">
      <w:r>
        <w:rPr>
          <w:rFonts w:ascii="Cambria" w:eastAsia="Cambria" w:hAnsi="Cambria" w:cs="Cambria"/>
          <w:color w:val="000000"/>
          <w:sz w:val="20"/>
          <w:szCs w:val="20"/>
        </w:rPr>
        <w:t>8. de Onis, M. et al. Development of a WHO growth reference for school-aged children and adolescents. Bull. World Health Organ. 85, 660-667 (2007). PMID 18026621.</w:t>
      </w:r>
    </w:p>
    <w:p w14:paraId="2EBC957F" w14:textId="77777777" w:rsidR="009F4713" w:rsidRDefault="00DA4967">
      <w:r>
        <w:rPr>
          <w:rFonts w:ascii="Cambria" w:eastAsia="Cambria" w:hAnsi="Cambria" w:cs="Cambria"/>
          <w:color w:val="000000"/>
          <w:sz w:val="20"/>
          <w:szCs w:val="20"/>
        </w:rPr>
        <w:t>9. Cole, T. J., Freeman, J. V. &amp; Preece, M. A. British 1990 growth reference centiles for weight, height, body mass index and head circumference fitted by maximum penalized likelihood. Stat. Med. 17, 407-429 (1998). PMID 9496720 [to confirm].</w:t>
      </w:r>
    </w:p>
    <w:p w14:paraId="13BFF0C5" w14:textId="77777777" w:rsidR="009F4713" w:rsidRDefault="00DA4967">
      <w:r>
        <w:rPr>
          <w:rFonts w:ascii="Cambria" w:eastAsia="Cambria" w:hAnsi="Cambria" w:cs="Cambria"/>
          <w:color w:val="000000"/>
          <w:sz w:val="20"/>
          <w:szCs w:val="20"/>
        </w:rPr>
        <w:t>10. Constantino, J. N. et al. Validation of a brief quantitative measure of autistic traits: comparison of the Social Responsiveness Scale with the Autism Diagnostic Interview-Revised. J. Autism Dev. Disord. 33, 427-433 (2003). PMID 12959421 [to confirm].</w:t>
      </w:r>
    </w:p>
    <w:p w14:paraId="458481EB" w14:textId="77777777" w:rsidR="009F4713" w:rsidRDefault="00DA4967">
      <w:r>
        <w:rPr>
          <w:rFonts w:ascii="Cambria" w:eastAsia="Cambria" w:hAnsi="Cambria" w:cs="Cambria"/>
          <w:color w:val="000000"/>
          <w:sz w:val="20"/>
          <w:szCs w:val="20"/>
        </w:rPr>
        <w:t>11. Berument, S. K., Rutter, M., Lord, C., Pickles, A. &amp; Bailey, A. Autism screening questionnaire: diagnostic validity. Br. J. Psychiatry 175, 444-451 (1999). PMID 10789276 [to confirm].</w:t>
      </w:r>
    </w:p>
    <w:p w14:paraId="0778F1BC" w14:textId="77777777" w:rsidR="009F4713" w:rsidRDefault="00DA4967">
      <w:r>
        <w:rPr>
          <w:rFonts w:ascii="Cambria" w:eastAsia="Cambria" w:hAnsi="Cambria" w:cs="Cambria"/>
          <w:color w:val="000000"/>
          <w:sz w:val="20"/>
          <w:szCs w:val="20"/>
        </w:rPr>
        <w:t>12. Wood, S. N. Fast stable restricted maximum likelihood and marginal likelihood estimation of semiparametric generalized linear models. J. R. Stat. Soc. B 73, 3-36 (2011). (No PMID.)</w:t>
      </w:r>
    </w:p>
    <w:p w14:paraId="45DE7936" w14:textId="77777777" w:rsidR="009F4713" w:rsidRDefault="00DA4967">
      <w:r>
        <w:rPr>
          <w:rFonts w:ascii="Cambria" w:eastAsia="Cambria" w:hAnsi="Cambria" w:cs="Cambria"/>
          <w:color w:val="000000"/>
          <w:sz w:val="20"/>
          <w:szCs w:val="20"/>
        </w:rPr>
        <w:t>13. Gur, R. C. et al. A cognitive neuroscience-based computerized battery for efficient measurement of individual differences: standardization and initial construct validation. J. Neurosci. Methods 187, 254-262 (2010). PMID 19900482 [to confirm].</w:t>
      </w:r>
    </w:p>
    <w:p w14:paraId="02DCE423" w14:textId="77777777" w:rsidR="009F4713" w:rsidRDefault="00DA4967">
      <w:r>
        <w:rPr>
          <w:rFonts w:ascii="Cambria" w:eastAsia="Cambria" w:hAnsi="Cambria" w:cs="Cambria"/>
          <w:color w:val="000000"/>
          <w:sz w:val="20"/>
          <w:szCs w:val="20"/>
        </w:rPr>
        <w:t>14. Moore, T. M., Reise, S. P., Gur, R. E., Hakonarson, H. &amp; Gur, R. C. Psychometric properties of the Penn Computerized Neurocognitive Battery. Neuropsychology 29, 235-246 (2015). PMID 25180981 [to confirm].</w:t>
      </w:r>
    </w:p>
    <w:p w14:paraId="6F28CC2F" w14:textId="77777777" w:rsidR="009F4713" w:rsidRDefault="00DA4967">
      <w:r>
        <w:rPr>
          <w:rFonts w:ascii="Cambria" w:eastAsia="Cambria" w:hAnsi="Cambria" w:cs="Cambria"/>
          <w:color w:val="000000"/>
          <w:sz w:val="20"/>
          <w:szCs w:val="20"/>
        </w:rPr>
        <w:t>15. Zheng, Z. et al. Leveraging functional genomic annotations and genome coverage to improve polygenic prediction of complex traits within and between ancestries. Nat. Genet. 56, 767-777 (2024). PMID 38689000.</w:t>
      </w:r>
    </w:p>
    <w:p w14:paraId="0B2E0D22" w14:textId="77777777" w:rsidR="009F4713" w:rsidRDefault="00DA4967">
      <w:r>
        <w:rPr>
          <w:rFonts w:ascii="Cambria" w:eastAsia="Cambria" w:hAnsi="Cambria" w:cs="Cambria"/>
          <w:color w:val="000000"/>
          <w:sz w:val="20"/>
          <w:szCs w:val="20"/>
        </w:rPr>
        <w:t>16. Yengo, L. et al. Meta-analysis of genome-wide association studies for height and body mass index in ~700,000 individuals of European ancestry. Hum. Mol. Genet. 27, 3641-3649 (2018). PMID 30124842.</w:t>
      </w:r>
    </w:p>
    <w:p w14:paraId="00BA84AE" w14:textId="77777777" w:rsidR="009F4713" w:rsidRDefault="00DA4967">
      <w:r>
        <w:rPr>
          <w:rFonts w:ascii="Cambria" w:eastAsia="Cambria" w:hAnsi="Cambria" w:cs="Cambria"/>
          <w:color w:val="000000"/>
          <w:sz w:val="20"/>
          <w:szCs w:val="20"/>
        </w:rPr>
        <w:t>17. Bradfield, J. P. et al. A trans-ancestral meta-analysis of genome-wide association studies reveals loci associated with childhood obesity. Hum. Mol. Genet. 28, 3327-3338 (2019). PMID 31504550.</w:t>
      </w:r>
    </w:p>
    <w:p w14:paraId="0E80CAF3" w14:textId="77777777" w:rsidR="009F4713" w:rsidRDefault="00DA4967">
      <w:r>
        <w:rPr>
          <w:rFonts w:ascii="Cambria" w:eastAsia="Cambria" w:hAnsi="Cambria" w:cs="Cambria"/>
          <w:color w:val="000000"/>
          <w:sz w:val="20"/>
          <w:szCs w:val="20"/>
        </w:rPr>
        <w:t>18. Yengo, L. et al. A saturated map of common genetic variants associated with human height. Nature 610, 704-712 (2022). PMID 36224396.</w:t>
      </w:r>
    </w:p>
    <w:p w14:paraId="7DF6878B" w14:textId="77777777" w:rsidR="009F4713" w:rsidRDefault="00DA4967">
      <w:r>
        <w:rPr>
          <w:rFonts w:ascii="Cambria" w:eastAsia="Cambria" w:hAnsi="Cambria" w:cs="Cambria"/>
          <w:color w:val="000000"/>
          <w:sz w:val="20"/>
          <w:szCs w:val="20"/>
        </w:rPr>
        <w:t>19. Grove, J. et al. Identification of common genetic risk variants for autism spectrum disorder. Nat. Genet. 51, 431-444 (2019). PMID 30804558.</w:t>
      </w:r>
    </w:p>
    <w:p w14:paraId="75BADED5" w14:textId="77777777" w:rsidR="009F4713" w:rsidRDefault="00DA4967">
      <w:r>
        <w:rPr>
          <w:rFonts w:ascii="Cambria" w:eastAsia="Cambria" w:hAnsi="Cambria" w:cs="Cambria"/>
          <w:color w:val="000000"/>
          <w:sz w:val="20"/>
          <w:szCs w:val="20"/>
        </w:rPr>
        <w:t>20. Chang, C. C. et al. Second-generation PLINK: rising to the challenge of larger and richer datasets. GigaScience 4, 7 (2015). PMID 25722852.</w:t>
      </w:r>
    </w:p>
    <w:p w14:paraId="1D03993A" w14:textId="77777777" w:rsidR="009F4713" w:rsidRDefault="00DA4967">
      <w:r>
        <w:rPr>
          <w:rFonts w:ascii="Cambria" w:eastAsia="Cambria" w:hAnsi="Cambria" w:cs="Cambria"/>
          <w:color w:val="000000"/>
          <w:sz w:val="20"/>
          <w:szCs w:val="20"/>
        </w:rPr>
        <w:t>Volume and page numbers were filled from memory for this draft and should be checked against PubMed together with the PMIDs marked [to confirm]; the April 2026 autism GWAS is unpublished and is cited as such in the Supplementary Methods.</w:t>
      </w:r>
    </w:p>
    <w:sectPr w:rsidR="009F4713" w:rsidSect="00747CCE">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06597135">
    <w:abstractNumId w:val="1"/>
  </w:num>
  <w:num w:numId="2" w16cid:durableId="1727800269">
    <w:abstractNumId w:val="2"/>
  </w:num>
  <w:num w:numId="3" w16cid:durableId="2041592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79D"/>
    <w:rsid w:val="00036527"/>
    <w:rsid w:val="00043610"/>
    <w:rsid w:val="00073835"/>
    <w:rsid w:val="001379FE"/>
    <w:rsid w:val="001C0A13"/>
    <w:rsid w:val="001D75AB"/>
    <w:rsid w:val="0035500D"/>
    <w:rsid w:val="00356462"/>
    <w:rsid w:val="00362E65"/>
    <w:rsid w:val="004158F9"/>
    <w:rsid w:val="00457CF1"/>
    <w:rsid w:val="00747CCE"/>
    <w:rsid w:val="007B3E96"/>
    <w:rsid w:val="008F1F48"/>
    <w:rsid w:val="00901463"/>
    <w:rsid w:val="00946CB3"/>
    <w:rsid w:val="009F4713"/>
    <w:rsid w:val="00AE18EF"/>
    <w:rsid w:val="00AE1BDD"/>
    <w:rsid w:val="00B3547C"/>
    <w:rsid w:val="00B4379D"/>
    <w:rsid w:val="00C27329"/>
    <w:rsid w:val="00C31EEB"/>
    <w:rsid w:val="00DA4967"/>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04E167"/>
  <w14:defaultImageDpi w14:val="300"/>
  <w15:docId w15:val="{82A812A4-2F41-F746-AAB1-47BA7D9E8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5632</Words>
  <Characters>32103</Characters>
  <Application>Microsoft Office Word</Application>
  <DocSecurity>0</DocSecurity>
  <Lines>267</Lines>
  <Paragraphs>75</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37660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Sebat, Jonathan</cp:lastModifiedBy>
  <cp:revision>10</cp:revision>
  <dcterms:created xsi:type="dcterms:W3CDTF">2017-02-28T11:18:00Z</dcterms:created>
  <dcterms:modified xsi:type="dcterms:W3CDTF">2026-10-26T17:55:00Z</dcterms:modified>
  <cp:category/>
</cp:coreProperties>
</file>