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Turring Influence Timeline</w:t>
      </w:r>
    </w:p>
    <w:p>
      <w:r>
        <w:t>Key events and their influence on AI</w:t>
      </w:r>
    </w:p>
    <w:p>
      <w:pPr>
        <w:pStyle w:val="Heading2"/>
      </w:pPr>
      <w:r>
        <w:t>1936: The 1936 paper on computability</w:t>
      </w:r>
    </w:p>
    <w:p>
      <w:r>
        <w:rPr>
          <w:sz w:val="22"/>
        </w:rPr>
        <w:t>Influence: Conceptual foundations for AI; formalized computation via the universal machine, enabling algorithms and symbolic manipulation as a substrate for intelligent systems.</w:t>
      </w:r>
    </w:p>
    <w:p>
      <w:r>
        <w:rPr>
          <w:sz w:val="22"/>
        </w:rPr>
        <w:t>Notes: Establishes limits and possibilities of machine computation (foundation for later theoretical AI and complexity thinking).</w:t>
      </w:r>
    </w:p>
    <w:p>
      <w:r>
        <w:rPr>
          <w:b/>
          <w:sz w:val="20"/>
        </w:rPr>
        <w:t>Speaker notes:</w:t>
      </w:r>
    </w:p>
    <w:p>
      <w:r>
        <w:rPr>
          <w:sz w:val="20"/>
        </w:rPr>
        <w:t>Overview: 1936 — The 1936 paper on computability</w:t>
        <w:br/>
        <w:t>Key influence: Conceptual foundations for AI; formalized computation via the universal machine, enabling algorithms and symbolic manipulation as a substrate for intelligent systems.</w:t>
        <w:br/>
        <w:t>Details: Establishes limits and possibilities of machine computation (foundation for later theoretical AI and complexity thinking).</w:t>
        <w:br/>
        <w:br/>
        <w:t>Suggested talking points:</w:t>
        <w:br/>
        <w:t>- One-sentence summary of impact</w:t>
        <w:br/>
        <w:t>- Connection to team aims or model outputs</w:t>
      </w:r>
    </w:p>
    <w:p>
      <w:pPr>
        <w:pStyle w:val="Heading2"/>
      </w:pPr>
      <w:r>
        <w:t>1939: Bletchley Park and Enigma</w:t>
      </w:r>
    </w:p>
    <w:p>
      <w:r>
        <w:rPr>
          <w:sz w:val="22"/>
        </w:rPr>
        <w:t>Influence: Practical legacy and machine-assisted reasoning; demonstrated how computation could solve real strategic problems and introduced engineering approaches to automate reasoning.</w:t>
      </w:r>
    </w:p>
    <w:p>
      <w:r>
        <w:rPr>
          <w:sz w:val="22"/>
        </w:rPr>
        <w:t>Notes: Shaped algorithmic problem-solving and practical systems engineering used in AI pipelines (search, heuristics, automation).</w:t>
      </w:r>
    </w:p>
    <w:p>
      <w:r>
        <w:rPr>
          <w:b/>
          <w:sz w:val="20"/>
        </w:rPr>
        <w:t>Speaker notes:</w:t>
      </w:r>
    </w:p>
    <w:p>
      <w:r>
        <w:rPr>
          <w:sz w:val="20"/>
        </w:rPr>
        <w:t>Overview: 1939 — Bletchley Park and Enigma</w:t>
        <w:br/>
        <w:t>Key influence: Practical legacy and machine-assisted reasoning; demonstrated how computation could solve real strategic problems and introduced engineering approaches to automate reasoning.</w:t>
        <w:br/>
        <w:t>Details: Shaped algorithmic problem-solving and practical systems engineering used in AI pipelines (search, heuristics, automation).</w:t>
        <w:br/>
        <w:br/>
        <w:t>Suggested talking points:</w:t>
        <w:br/>
        <w:t>- One-sentence summary of impact</w:t>
        <w:br/>
        <w:t>- Connection to team aims or model outputs</w:t>
      </w:r>
    </w:p>
    <w:p>
      <w:pPr>
        <w:pStyle w:val="Heading2"/>
      </w:pPr>
      <w:r>
        <w:t>1942: The Bombe and machine-assisted cryptanalysis</w:t>
      </w:r>
    </w:p>
    <w:p>
      <w:r>
        <w:rPr>
          <w:sz w:val="22"/>
        </w:rPr>
        <w:t>Influence: Early automation of reasoning tasks; the Bombe exemplifies mechanizing search and deduction, precursors to programmatic problem solvers.</w:t>
      </w:r>
    </w:p>
    <w:p>
      <w:r>
        <w:rPr>
          <w:sz w:val="22"/>
        </w:rPr>
        <w:t>Notes: Practical example of hardware/software co-design for complex tasks—relevant to later AI system design.</w:t>
      </w:r>
    </w:p>
    <w:p>
      <w:r>
        <w:rPr>
          <w:b/>
          <w:sz w:val="20"/>
        </w:rPr>
        <w:t>Speaker notes:</w:t>
      </w:r>
    </w:p>
    <w:p>
      <w:r>
        <w:rPr>
          <w:sz w:val="20"/>
        </w:rPr>
        <w:t>Overview: 1942 — The Bombe and machine-assisted cryptanalysis</w:t>
        <w:br/>
        <w:t>Key influence: Early automation of reasoning tasks; the Bombe exemplifies mechanizing search and deduction, precursors to programmatic problem solvers.</w:t>
        <w:br/>
        <w:t>Details: Practical example of hardware/software co-design for complex tasks—relevant to later AI system design.</w:t>
        <w:br/>
        <w:br/>
        <w:t>Suggested talking points:</w:t>
        <w:br/>
        <w:t>- One-sentence summary of impact</w:t>
        <w:br/>
        <w:t>- Connection to team aims or model outputs</w:t>
      </w:r>
    </w:p>
    <w:p>
      <w:pPr>
        <w:pStyle w:val="Heading2"/>
      </w:pPr>
      <w:r>
        <w:t>1945: The ACE design proposal</w:t>
      </w:r>
    </w:p>
    <w:p>
      <w:r>
        <w:rPr>
          <w:sz w:val="22"/>
        </w:rPr>
        <w:t>Influence: Machine design and general-purpose computing; the ACE reflects a vision for programmable machines capable of broad tasks, foreshadowing architectures for general AI research.</w:t>
      </w:r>
    </w:p>
    <w:p>
      <w:r>
        <w:rPr>
          <w:sz w:val="22"/>
        </w:rPr>
        <w:t>Notes: Emphasizes programmability and flexible architectures central to modern AI platforms.</w:t>
      </w:r>
    </w:p>
    <w:p>
      <w:r>
        <w:rPr>
          <w:b/>
          <w:sz w:val="20"/>
        </w:rPr>
        <w:t>Speaker notes:</w:t>
      </w:r>
    </w:p>
    <w:p>
      <w:r>
        <w:rPr>
          <w:sz w:val="20"/>
        </w:rPr>
        <w:t>Overview: 1945 — The ACE design proposal</w:t>
        <w:br/>
        <w:t>Key influence: Machine design and general-purpose computing; the ACE reflects a vision for programmable machines capable of broad tasks, foreshadowing architectures for general AI research.</w:t>
        <w:br/>
        <w:t>Details: Emphasizes programmability and flexible architectures central to modern AI platforms.</w:t>
        <w:br/>
        <w:br/>
        <w:t>Suggested talking points:</w:t>
        <w:br/>
        <w:t>- One-sentence summary of impact</w:t>
        <w:br/>
        <w:t>- Connection to team aims or model outputs</w:t>
      </w:r>
    </w:p>
    <w:p>
      <w:pPr>
        <w:pStyle w:val="Heading2"/>
      </w:pPr>
      <w:r>
        <w:t>1950: The imitation game paper</w:t>
      </w:r>
    </w:p>
    <w:p>
      <w:r>
        <w:rPr>
          <w:sz w:val="22"/>
        </w:rPr>
        <w:t>Influence: Operational test for machine intelligence; the imitation game (Turing Test) reframed intelligence as observable behavior, steering evaluation frameworks and philosophical debates in AI.</w:t>
      </w:r>
    </w:p>
    <w:p>
      <w:r>
        <w:rPr>
          <w:sz w:val="22"/>
        </w:rPr>
        <w:t>Notes: Influenced benchmarks, evaluation thinking, and questions about cognition vs. behavior.</w:t>
      </w:r>
    </w:p>
    <w:p>
      <w:r>
        <w:rPr>
          <w:b/>
          <w:sz w:val="20"/>
        </w:rPr>
        <w:t>Speaker notes:</w:t>
      </w:r>
    </w:p>
    <w:p>
      <w:r>
        <w:rPr>
          <w:sz w:val="20"/>
        </w:rPr>
        <w:t>Overview: 1950 — The imitation game paper</w:t>
        <w:br/>
        <w:t>Key influence: Operational test for machine intelligence; the imitation game (Turing Test) reframed intelligence as observable behavior, steering evaluation frameworks and philosophical debates in AI.</w:t>
        <w:br/>
        <w:t>Details: Influenced benchmarks, evaluation thinking, and questions about cognition vs. behavior.</w:t>
        <w:br/>
        <w:br/>
        <w:t>Suggested talking points:</w:t>
        <w:br/>
        <w:t>- One-sentence summary of impact</w:t>
        <w:br/>
        <w:t>- Connection to team aims or model outputs</w:t>
      </w:r>
    </w:p>
    <w:p>
      <w:pPr>
        <w:pStyle w:val="Heading2"/>
      </w:pPr>
      <w:r>
        <w:t>1952: Later life and public persecution</w:t>
      </w:r>
    </w:p>
    <w:p>
      <w:r>
        <w:rPr>
          <w:sz w:val="22"/>
        </w:rPr>
        <w:t>Influence: Ethical and societal framing; Turring's personal story highlights the human, social, and ethical contexts around technology and those who build it.</w:t>
      </w:r>
    </w:p>
    <w:p>
      <w:r>
        <w:rPr>
          <w:sz w:val="22"/>
        </w:rPr>
        <w:t>Notes: Informs modern AI ethics discussions about accountability, social impact, and the treatment of technologists.</w:t>
      </w:r>
    </w:p>
    <w:p>
      <w:r>
        <w:rPr>
          <w:b/>
          <w:sz w:val="20"/>
        </w:rPr>
        <w:t>Speaker notes:</w:t>
      </w:r>
    </w:p>
    <w:p>
      <w:r>
        <w:rPr>
          <w:sz w:val="20"/>
        </w:rPr>
        <w:t>Overview: 1952 — Later life and public persecution</w:t>
        <w:br/>
        <w:t>Key influence: Ethical and societal framing; Turring's personal story highlights the human, social, and ethical contexts around technology and those who build it.</w:t>
        <w:br/>
        <w:t>Details: Informs modern AI ethics discussions about accountability, social impact, and the treatment of technologists.</w:t>
        <w:br/>
        <w:br/>
        <w:t>Suggested talking points:</w:t>
        <w:br/>
        <w:t>- One-sentence summary of impact</w:t>
        <w:br/>
        <w:t>- Connection to team aims or model outputs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