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F61" w:rsidRDefault="00A82F61" w:rsidP="00A82F61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 w:rsidRPr="006D2D6F"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>Fundamentação do financiamento solicitado</w:t>
      </w:r>
    </w:p>
    <w:p w:rsidR="00087200" w:rsidRDefault="00087200" w:rsidP="00A82F61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</w:p>
    <w:p w:rsidR="00087200" w:rsidRDefault="00087200" w:rsidP="00A82F61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 w:rsidRPr="00087200">
        <w:rPr>
          <w:rFonts w:ascii="inherit" w:eastAsia="Times New Roman" w:hAnsi="inherit" w:cs="Times New Roman"/>
          <w:b/>
          <w:bCs/>
          <w:color w:val="242424"/>
          <w:highlight w:val="yellow"/>
          <w:bdr w:val="none" w:sz="0" w:space="0" w:color="auto" w:frame="1"/>
          <w:lang w:eastAsia="en-GB"/>
        </w:rPr>
        <w:t>3495</w:t>
      </w:r>
      <w:bookmarkStart w:id="0" w:name="_GoBack"/>
      <w:bookmarkEnd w:id="0"/>
    </w:p>
    <w:p w:rsidR="006D2D6F" w:rsidRPr="006D2D6F" w:rsidRDefault="006D2D6F" w:rsidP="00A82F61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O financia</w:t>
      </w:r>
      <w:r w:rsid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mento solicitado para o projeto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OAKHIMEDES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 encontra-se diretamente justificado pela natureza multidisciplinar e pela exigência técnica do plano de trabalhos, que requer recursos humanos altamente qualificados, equipamentos científicos de ponta e serviços especializados. O orçamento global é de aproximadamente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580 mil euros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, distribuídos de forma equilibrada pelas diferentes atividades, refletindo a calendarização das tarefas e a necessidade de recursos em cada fase.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A maior fatia do orçamento corresponde a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pessoal técnico, bolsas e investigadores internos (c. 293 mil €)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, o que é coerente com um projeto de I&amp;D que assenta na investigação experimental, recolha intensiva de dados, análises laboratoriai</w:t>
      </w:r>
      <w:r w:rsidR="000C39C1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s e computação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 em larga escala. O investimento em </w:t>
      </w:r>
      <w:r w:rsidR="000C39C1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recursos humanos garante 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a e</w:t>
      </w:r>
      <w:r w:rsidR="000C39C1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xecução do projeto e 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a formação de jovens investigadores, em linha com os objetivos de capacitação científica e criação de emprego qualificado.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Outro eixo relevante é o investimento em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equipamentos científicos e software (c. 58 mil €)</w:t>
      </w:r>
      <w:r w:rsidR="000C39C1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, 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necessário na fase inicial. Estes incluem dendrómetros, sondas </w:t>
      </w:r>
      <w:proofErr w:type="spellStart"/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tensiométricas</w:t>
      </w:r>
      <w:proofErr w:type="spellEnd"/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, estações meteorol</w:t>
      </w:r>
      <w:r w:rsidR="000C39C1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ógicas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 e software específico para análise de dados. Estes equipamentos são essenciais para garantir a monitorização em tempo real dos sobreiros e para produzir datasets de elevada qualidade que sustentem a investigação fundamental e aplicada.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As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matérias-primas e consumíveis (c. 24 mil €)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 asseguram a realização de análises bioquímicas, proteómicas e genómicas previstas, sendo indispensáveis para os ensaios laboratoriais da Atividade 4. Complementarmente, prevê-se a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aquisição de serviços especializados (c. 42 mil €)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 xml:space="preserve">, como o sequenciamento genómico e a análise </w:t>
      </w:r>
      <w:proofErr w:type="spellStart"/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proteómica</w:t>
      </w:r>
      <w:proofErr w:type="spellEnd"/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, que requerem competências e infraestruturas externas especializadas, indispensáveis à qualidade científica dos resultados.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A componente de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deslocações (c. 26 mil €)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 é igualmente fundamentada, dado que a execução do projeto exige trabalho de campo intensivo em áreas florestais de difícil acesso (Serra do Caldeirão e Serra de Monchique), bem como a participação da equipa em conferências internacionais para disseminação científica e integração em redes de cooperação.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Do ponto de vista da distribuição pelas atividades, verifica-se uma afetação coerente:</w:t>
      </w:r>
    </w:p>
    <w:p w:rsidR="00A82F61" w:rsidRPr="006D2D6F" w:rsidRDefault="000E6E94" w:rsidP="000E6E94">
      <w:pPr>
        <w:shd w:val="clear" w:color="auto" w:fill="FFFFFF"/>
        <w:spacing w:after="0" w:line="360" w:lineRule="auto"/>
        <w:jc w:val="both"/>
        <w:rPr>
          <w:rFonts w:ascii="Aptos" w:eastAsia="Times New Roman" w:hAnsi="Aptos" w:cs="Segoe UI"/>
          <w:color w:val="242424"/>
          <w:sz w:val="24"/>
          <w:szCs w:val="24"/>
          <w:lang w:eastAsia="en-GB"/>
        </w:rPr>
      </w:pPr>
      <w:r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-</w:t>
      </w:r>
      <w:r w:rsidR="00A82F61" w:rsidRPr="006D2D6F"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A1 Gestão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 com custo moderado (29 mil €), assegurando coordenação e monitorização do projeto.</w:t>
      </w:r>
    </w:p>
    <w:p w:rsidR="00A82F61" w:rsidRPr="006D2D6F" w:rsidRDefault="000E6E94" w:rsidP="000E6E94">
      <w:pPr>
        <w:shd w:val="clear" w:color="auto" w:fill="FFFFFF"/>
        <w:spacing w:after="0" w:line="360" w:lineRule="auto"/>
        <w:jc w:val="both"/>
        <w:rPr>
          <w:rFonts w:ascii="Aptos" w:eastAsia="Times New Roman" w:hAnsi="Aptos" w:cs="Segoe UI"/>
          <w:color w:val="242424"/>
          <w:sz w:val="24"/>
          <w:szCs w:val="24"/>
          <w:lang w:eastAsia="en-GB"/>
        </w:rPr>
      </w:pPr>
      <w:r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-</w:t>
      </w:r>
      <w:r w:rsidR="00A82F61" w:rsidRPr="006D2D6F"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A2 Monitorização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 (94 mil €) e </w:t>
      </w:r>
      <w:r w:rsidR="00A82F61" w:rsidRPr="006D2D6F"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A3 Ambiente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 (88 mil €), que concentram custos de equipamento, consumíveis e trabalho de campo.</w:t>
      </w:r>
    </w:p>
    <w:p w:rsidR="00A82F61" w:rsidRPr="006D2D6F" w:rsidRDefault="000E6E94" w:rsidP="000E6E94">
      <w:pPr>
        <w:shd w:val="clear" w:color="auto" w:fill="FFFFFF"/>
        <w:spacing w:after="0" w:line="360" w:lineRule="auto"/>
        <w:jc w:val="both"/>
        <w:rPr>
          <w:rFonts w:ascii="Aptos" w:eastAsia="Times New Roman" w:hAnsi="Aptos" w:cs="Segoe UI"/>
          <w:color w:val="242424"/>
          <w:sz w:val="24"/>
          <w:szCs w:val="24"/>
          <w:lang w:eastAsia="en-GB"/>
        </w:rPr>
      </w:pPr>
      <w:r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-</w:t>
      </w:r>
      <w:r w:rsidR="00A82F61" w:rsidRPr="006D2D6F"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A4 Homeostasia e Genómica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 (106 mil €), fortemente dependente de análises laboratoriais avançadas e serviços especializados.</w:t>
      </w:r>
    </w:p>
    <w:p w:rsidR="00A82F61" w:rsidRPr="006D2D6F" w:rsidRDefault="000E6E94" w:rsidP="000E6E94">
      <w:pPr>
        <w:shd w:val="clear" w:color="auto" w:fill="FFFFFF"/>
        <w:spacing w:after="0" w:line="360" w:lineRule="auto"/>
        <w:jc w:val="both"/>
        <w:rPr>
          <w:rFonts w:ascii="Aptos" w:eastAsia="Times New Roman" w:hAnsi="Aptos" w:cs="Segoe UI"/>
          <w:color w:val="242424"/>
          <w:sz w:val="24"/>
          <w:szCs w:val="24"/>
          <w:lang w:eastAsia="en-GB"/>
        </w:rPr>
      </w:pPr>
      <w:r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-</w:t>
      </w:r>
      <w:r w:rsidR="00A82F61" w:rsidRPr="006D2D6F"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A5 Análise de Dados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 (148 mil €), a atividade com maior custo, justifica</w:t>
      </w:r>
      <w:r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 xml:space="preserve">do pelo volume de dados 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e pela necessidade de recursos humanos qualificados em ciência de dados e inteligência artificial.</w:t>
      </w:r>
    </w:p>
    <w:p w:rsidR="00A82F61" w:rsidRPr="006D2D6F" w:rsidRDefault="000E6E94" w:rsidP="000E6E94">
      <w:pPr>
        <w:shd w:val="clear" w:color="auto" w:fill="FFFFFF"/>
        <w:spacing w:after="0" w:line="360" w:lineRule="auto"/>
        <w:jc w:val="both"/>
        <w:rPr>
          <w:rFonts w:ascii="Aptos" w:eastAsia="Times New Roman" w:hAnsi="Aptos" w:cs="Segoe UI"/>
          <w:color w:val="242424"/>
          <w:sz w:val="24"/>
          <w:szCs w:val="24"/>
          <w:lang w:eastAsia="en-GB"/>
        </w:rPr>
      </w:pPr>
      <w:r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lastRenderedPageBreak/>
        <w:t>-</w:t>
      </w:r>
      <w:r w:rsidR="00A82F61" w:rsidRPr="006D2D6F">
        <w:rPr>
          <w:rFonts w:ascii="inherit" w:eastAsia="Times New Roman" w:hAnsi="inherit" w:cs="Segoe UI"/>
          <w:bCs/>
          <w:color w:val="242424"/>
          <w:bdr w:val="none" w:sz="0" w:space="0" w:color="auto" w:frame="1"/>
          <w:lang w:eastAsia="en-GB"/>
        </w:rPr>
        <w:t>A6 Disseminação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 (114 mil €), que cobre aç</w:t>
      </w:r>
      <w:r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>ões de comunicação, materiais,</w:t>
      </w:r>
      <w:r w:rsidR="00A82F61" w:rsidRPr="006D2D6F">
        <w:rPr>
          <w:rFonts w:ascii="inherit" w:eastAsia="Times New Roman" w:hAnsi="inherit" w:cs="Segoe UI"/>
          <w:color w:val="242424"/>
          <w:bdr w:val="none" w:sz="0" w:space="0" w:color="auto" w:frame="1"/>
          <w:lang w:eastAsia="en-GB"/>
        </w:rPr>
        <w:t xml:space="preserve"> congresso e publicações científicas.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O orçamento evidencia ainda um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autofinanciamento da Universidade do Algarve de 145 mil €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, assegurado através de pessoal interno, o que reforça a solidez institucional e o compromisso do beneficiário com o projeto.</w:t>
      </w:r>
    </w:p>
    <w:p w:rsidR="00A82F61" w:rsidRPr="006D2D6F" w:rsidRDefault="00A82F61" w:rsidP="006D2D6F">
      <w:pPr>
        <w:shd w:val="clear" w:color="auto" w:fill="FFFFFF"/>
        <w:spacing w:after="0" w:line="360" w:lineRule="auto"/>
        <w:jc w:val="both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Em síntese, a estrutura de custos demonstra </w:t>
      </w:r>
      <w:r w:rsidRPr="006D2D6F">
        <w:rPr>
          <w:rFonts w:ascii="inherit" w:eastAsia="Times New Roman" w:hAnsi="inherit" w:cs="Times New Roman"/>
          <w:bCs/>
          <w:color w:val="242424"/>
          <w:bdr w:val="none" w:sz="0" w:space="0" w:color="auto" w:frame="1"/>
          <w:lang w:eastAsia="en-GB"/>
        </w:rPr>
        <w:t>consistência interna e adequação ao plano de trabalhos</w:t>
      </w:r>
      <w:r w:rsidRPr="006D2D6F">
        <w:rPr>
          <w:rFonts w:ascii="inherit" w:eastAsia="Times New Roman" w:hAnsi="inherit" w:cs="Times New Roman"/>
          <w:color w:val="242424"/>
          <w:bdr w:val="none" w:sz="0" w:space="0" w:color="auto" w:frame="1"/>
          <w:lang w:eastAsia="en-GB"/>
        </w:rPr>
        <w:t>, equilibrando investimento em pessoal, equipamento e serviços externos. O financiamento solicitado é indispensável para garantir a execução integral das atividades de investigação fundamental e aplicada, bem como para assegurar a transferência de conhecimento e o impacto do projeto.</w:t>
      </w:r>
    </w:p>
    <w:p w:rsidR="00A82F61" w:rsidRPr="006D2D6F" w:rsidRDefault="00A82F61" w:rsidP="006D2D6F">
      <w:pPr>
        <w:spacing w:after="0" w:line="360" w:lineRule="auto"/>
        <w:jc w:val="both"/>
      </w:pPr>
    </w:p>
    <w:sectPr w:rsidR="00A82F61" w:rsidRPr="006D2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">
    <w:altName w:val="Microsoft Sans Serif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F1AF9"/>
    <w:multiLevelType w:val="multilevel"/>
    <w:tmpl w:val="0528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F61"/>
    <w:rsid w:val="00064C36"/>
    <w:rsid w:val="00087200"/>
    <w:rsid w:val="000C39C1"/>
    <w:rsid w:val="000E6E94"/>
    <w:rsid w:val="006D2D6F"/>
    <w:rsid w:val="00A82F61"/>
    <w:rsid w:val="00D0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39B5"/>
  <w15:chartTrackingRefBased/>
  <w15:docId w15:val="{5104C5A6-C65F-424B-A05D-86432AF3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A82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7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2025-09-18T14:55:00Z</dcterms:created>
  <dcterms:modified xsi:type="dcterms:W3CDTF">2025-09-18T15:04:00Z</dcterms:modified>
</cp:coreProperties>
</file>