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817" w:rsidRDefault="00A82817" w:rsidP="00A82817">
      <w:pPr>
        <w:shd w:val="clear" w:color="auto" w:fill="FFFFFF"/>
        <w:spacing w:after="0" w:line="240" w:lineRule="auto"/>
        <w:rPr>
          <w:rFonts w:ascii="inherit" w:eastAsia="Times New Roman" w:hAnsi="inherit" w:cs="Times New Roman"/>
          <w:b/>
          <w:bCs/>
          <w:color w:val="242424"/>
          <w:bdr w:val="none" w:sz="0" w:space="0" w:color="auto" w:frame="1"/>
          <w:lang w:eastAsia="en-GB"/>
        </w:rPr>
      </w:pPr>
      <w:r w:rsidRPr="00A82817">
        <w:rPr>
          <w:rFonts w:ascii="inherit" w:eastAsia="Times New Roman" w:hAnsi="inherit" w:cs="Times New Roman"/>
          <w:b/>
          <w:bCs/>
          <w:color w:val="242424"/>
          <w:bdr w:val="none" w:sz="0" w:space="0" w:color="auto" w:frame="1"/>
          <w:lang w:eastAsia="en-GB"/>
        </w:rPr>
        <w:t>Investigação fundamental e aplicada no OAKHIMEDES</w:t>
      </w:r>
    </w:p>
    <w:p w:rsidR="004B7A4A" w:rsidRDefault="004B7A4A" w:rsidP="00A82817">
      <w:pPr>
        <w:shd w:val="clear" w:color="auto" w:fill="FFFFFF"/>
        <w:spacing w:after="0" w:line="240" w:lineRule="auto"/>
        <w:rPr>
          <w:rFonts w:ascii="inherit" w:eastAsia="Times New Roman" w:hAnsi="inherit" w:cs="Times New Roman"/>
          <w:b/>
          <w:bCs/>
          <w:color w:val="242424"/>
          <w:bdr w:val="none" w:sz="0" w:space="0" w:color="auto" w:frame="1"/>
          <w:lang w:eastAsia="en-GB"/>
        </w:rPr>
      </w:pPr>
    </w:p>
    <w:p w:rsidR="004B7A4A" w:rsidRDefault="004B7A4A" w:rsidP="00A82817">
      <w:pPr>
        <w:shd w:val="clear" w:color="auto" w:fill="FFFFFF"/>
        <w:spacing w:after="0" w:line="240" w:lineRule="auto"/>
        <w:rPr>
          <w:rFonts w:ascii="inherit" w:eastAsia="Times New Roman" w:hAnsi="inherit" w:cs="Times New Roman"/>
          <w:b/>
          <w:bCs/>
          <w:color w:val="242424"/>
          <w:bdr w:val="none" w:sz="0" w:space="0" w:color="auto" w:frame="1"/>
          <w:lang w:eastAsia="en-GB"/>
        </w:rPr>
      </w:pPr>
      <w:r w:rsidRPr="004B7A4A">
        <w:rPr>
          <w:rFonts w:ascii="inherit" w:eastAsia="Times New Roman" w:hAnsi="inherit" w:cs="Times New Roman"/>
          <w:b/>
          <w:bCs/>
          <w:color w:val="242424"/>
          <w:highlight w:val="yellow"/>
          <w:bdr w:val="none" w:sz="0" w:space="0" w:color="auto" w:frame="1"/>
          <w:lang w:eastAsia="en-GB"/>
        </w:rPr>
        <w:t>3332</w:t>
      </w:r>
    </w:p>
    <w:p w:rsidR="00CC5E82" w:rsidRPr="00A82817" w:rsidRDefault="00CC5E82" w:rsidP="00A82817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42424"/>
          <w:sz w:val="24"/>
          <w:szCs w:val="24"/>
          <w:lang w:eastAsia="en-GB"/>
        </w:rPr>
      </w:pPr>
    </w:p>
    <w:p w:rsidR="00A82817" w:rsidRPr="00CC5E82" w:rsidRDefault="00A82817" w:rsidP="00CC5E8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A operação </w:t>
      </w:r>
      <w:r w:rsid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apresenta uma articulação clara </w:t>
      </w:r>
      <w:r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entre</w:t>
      </w:r>
      <w:r w:rsid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</w:t>
      </w:r>
      <w:r w:rsidRPr="00CC5E82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investigação fundamental</w:t>
      </w:r>
      <w:r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e </w:t>
      </w:r>
      <w:r w:rsidRPr="00CC5E82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investigação aplicada</w:t>
      </w:r>
      <w:r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, assegurando que o avanço do conhecimento científico se traduz em soluções práticas para a gestão sustentável do montado de sobro.</w:t>
      </w:r>
    </w:p>
    <w:p w:rsidR="00A82817" w:rsidRPr="004B7A4A" w:rsidRDefault="00A82817" w:rsidP="00CC5E8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Do lado da </w:t>
      </w:r>
      <w:r w:rsidRPr="00CC5E82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investigação a montante (fundamental)</w:t>
      </w:r>
      <w:r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, destacam-se sobretudo as tarefas da </w:t>
      </w:r>
      <w:r w:rsidRPr="00CC5E82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Atividade 4 – Homeostasia e variabilidade genética dos sobreiros</w:t>
      </w:r>
      <w:r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. Esta atividade envolve a caracterização profunda dos mecanismos bioquímicos e moleculares que regulam a resposta dos sobreiros ao stresse ambiental e biótico. </w:t>
      </w:r>
      <w:r w:rsidRPr="004B7A4A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São utilizados métodos de ponta, como:</w:t>
      </w:r>
    </w:p>
    <w:p w:rsidR="00A82817" w:rsidRPr="00CC5E82" w:rsidRDefault="004B7A4A" w:rsidP="004B7A4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-</w:t>
      </w:r>
      <w:r w:rsidR="00A82817" w:rsidRPr="00CC5E82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 xml:space="preserve">Espectroscopia FT-IR (Fourier </w:t>
      </w:r>
      <w:proofErr w:type="spellStart"/>
      <w:r w:rsidR="00A82817" w:rsidRPr="00CC5E82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Transform</w:t>
      </w:r>
      <w:proofErr w:type="spellEnd"/>
      <w:r w:rsidR="00A82817" w:rsidRPr="00CC5E82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="00A82817" w:rsidRPr="00CC5E82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Infrared</w:t>
      </w:r>
      <w:proofErr w:type="spellEnd"/>
      <w:r w:rsidR="00A82817" w:rsidRPr="00CC5E82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)</w:t>
      </w:r>
      <w:r w:rsidR="00A82817"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, que permite identificar grupos funcionais de biomoléculas e detetar alterações nos perfis metabólicos associados à adaptação a condições adversas.</w:t>
      </w:r>
    </w:p>
    <w:p w:rsidR="00A82817" w:rsidRPr="00CC5E82" w:rsidRDefault="004B7A4A" w:rsidP="004B7A4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-</w:t>
      </w:r>
      <w:proofErr w:type="spellStart"/>
      <w:r w:rsidR="00A82817" w:rsidRPr="00CC5E82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Proteómica</w:t>
      </w:r>
      <w:proofErr w:type="spellEnd"/>
      <w:r w:rsidR="00A82817" w:rsidRPr="00CC5E82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 xml:space="preserve"> quantitativa (SWATH-MS)</w:t>
      </w:r>
      <w:r w:rsidR="00A82817"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, que revela variações na expressão de proteínas foliares ligadas à resposta imunitária e aos mecanismos de homeostasia celular.</w:t>
      </w:r>
    </w:p>
    <w:p w:rsidR="00A82817" w:rsidRPr="00CC5E82" w:rsidRDefault="004B7A4A" w:rsidP="004B7A4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-</w:t>
      </w:r>
      <w:r w:rsidR="00A82817" w:rsidRPr="00CC5E82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Genómica (Whole Genome Sequencing)</w:t>
      </w:r>
      <w:r w:rsidR="00A82817"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, que mapeia milhares de polimorfismos de nucleótido único (SNPs) nos genomas nuclear, cloroplástico e mitocondrial, fornecendo informação fundamental sobre diver</w:t>
      </w:r>
      <w:r w:rsid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sidade genética e potenciais </w:t>
      </w:r>
      <w:proofErr w:type="spellStart"/>
      <w:r w:rsid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eco</w:t>
      </w:r>
      <w:r w:rsidR="00A82817"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tipos</w:t>
      </w:r>
      <w:proofErr w:type="spellEnd"/>
      <w:r w:rsidR="00A82817"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adaptados.</w:t>
      </w:r>
    </w:p>
    <w:p w:rsidR="00A82817" w:rsidRPr="00CC5E82" w:rsidRDefault="00A82817" w:rsidP="00CC5E8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Estas tarefas não têm aplicação imediata em campo, mas geram conhecimento novo e essencial sobre os processos biológicos subjacentes à resiliência do sobreiro. A identificação de biomarcadores metabólicos e genéticos constitui um contributo fundamental para a ciência básica da ecologia e fisiologia vegetal, ao mesmo tempo que abre caminho para a sua futura utilização em programas de seleção e reflorestação.</w:t>
      </w:r>
    </w:p>
    <w:p w:rsidR="00A82817" w:rsidRPr="00CC5E82" w:rsidRDefault="00A82817" w:rsidP="00CC5E8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A par desta dimensão, a operação desenvolve </w:t>
      </w:r>
      <w:r w:rsidRPr="00CC5E82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investigação aplicada</w:t>
      </w:r>
      <w:r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através das atividades de monitorização fisiológica (A2), caracterização ambiental (A3), integração de dados e modelação (A5). Estas atividades usam diretamente os resultados obtidos pela investigação fundamental, traduzindo-os em </w:t>
      </w:r>
      <w:r w:rsidRPr="00CC5E82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indicadores práticos de vitalidade</w:t>
      </w:r>
      <w:r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(índices de vegetação, crescimento radial, nutrição mineral, humidade do solo), em </w:t>
      </w:r>
      <w:r w:rsidRPr="00CC5E82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modelos preditivos de declínio</w:t>
      </w:r>
      <w:r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e em </w:t>
      </w:r>
      <w:r w:rsidRPr="00CC5E82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ferramentas de apoio à decisão</w:t>
      </w:r>
      <w:r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para gestores florestais e produtores de cortiça.</w:t>
      </w:r>
    </w:p>
    <w:p w:rsidR="00A82817" w:rsidRPr="00CC5E82" w:rsidRDefault="00A82817" w:rsidP="00CC5E8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Assim, o projeto segue uma lógica de </w:t>
      </w:r>
      <w:r w:rsidRPr="00CC5E82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cadeia de valor da investigação</w:t>
      </w:r>
      <w:r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:</w:t>
      </w:r>
    </w:p>
    <w:p w:rsidR="00A82817" w:rsidRPr="00CC5E82" w:rsidRDefault="00B51218" w:rsidP="00B5121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- </w:t>
      </w:r>
      <w:r w:rsidR="00A82817"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A montante, gera conhecimento científico inédito sobre fisiologia, bioquímica e genética do sobreiro (investigação fundamental).</w:t>
      </w:r>
    </w:p>
    <w:p w:rsidR="00A82817" w:rsidRPr="00CC5E82" w:rsidRDefault="00B51218" w:rsidP="00B5121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lastRenderedPageBreak/>
        <w:t xml:space="preserve">- </w:t>
      </w:r>
      <w:r w:rsidR="00A82817"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A jusante, aplica esse conhecimento em contexto real de campo, produzindo soluções tecnológicas e modelos preditivos úteis à economia regional (investigação aplicada).</w:t>
      </w:r>
    </w:p>
    <w:p w:rsidR="00A82817" w:rsidRPr="00CC5E82" w:rsidRDefault="00A82817" w:rsidP="00CC5E8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Este encadeamento garante que a operação não se limita a observar fenómenos ou a testar soluções isoladas, mas que constrói uma ponte robusta entre ciência básica e aplicabilidade prática. A integração de metodologias de investigação fundamental fortalece a originalidade e a relevância científica do projeto, enquanto o foco na transferência de resultados para programas de reflorestação e para a fileira corticeira assegura o impacto económico e social.</w:t>
      </w:r>
    </w:p>
    <w:p w:rsidR="00A82817" w:rsidRPr="00A82817" w:rsidRDefault="00CC5E82" w:rsidP="00CC5E82">
      <w:pPr>
        <w:shd w:val="clear" w:color="auto" w:fill="FFFFFF"/>
        <w:spacing w:after="0" w:line="360" w:lineRule="auto"/>
        <w:jc w:val="both"/>
        <w:rPr>
          <w:rFonts w:ascii="Aptos" w:eastAsia="Times New Roman" w:hAnsi="Aptos" w:cs="Times New Roman"/>
          <w:color w:val="242424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Ou seja, o projeto</w:t>
      </w:r>
      <w:r w:rsidR="00A82817"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OAKHIMEDES apresenta uma clara componente de </w:t>
      </w:r>
      <w:r w:rsidR="00A82817" w:rsidRPr="00CC5E82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investigação fundamental</w:t>
      </w:r>
      <w:r w:rsidR="00A82817"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(Atividade 4), que serve de base para as vertentes de </w:t>
      </w:r>
      <w:r w:rsidR="00A82817" w:rsidRPr="00CC5E82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investigação aplicada</w:t>
      </w:r>
      <w:r w:rsidR="00A82817" w:rsidRPr="00CC5E82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(monitorização, modelação, disseminação). Este equilíbrio é um dos fatores que distingue a operação, conferindo-lhe profundidade científica e relevância prática para a sustentabilidade dos ecossistemas mediterrânicos.</w:t>
      </w:r>
    </w:p>
    <w:p w:rsidR="00064C36" w:rsidRDefault="00064C36">
      <w:bookmarkStart w:id="0" w:name="_GoBack"/>
      <w:bookmarkEnd w:id="0"/>
    </w:p>
    <w:sectPr w:rsidR="00064C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ptos">
    <w:altName w:val="Microsoft Sans Serif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674CF"/>
    <w:multiLevelType w:val="multilevel"/>
    <w:tmpl w:val="E442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7B7843"/>
    <w:multiLevelType w:val="multilevel"/>
    <w:tmpl w:val="F868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817"/>
    <w:rsid w:val="00064C36"/>
    <w:rsid w:val="004B7A4A"/>
    <w:rsid w:val="00A82817"/>
    <w:rsid w:val="00B51218"/>
    <w:rsid w:val="00C2784C"/>
    <w:rsid w:val="00CC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678D7"/>
  <w15:chartTrackingRefBased/>
  <w15:docId w15:val="{BE927730-1AAA-45DF-8DD0-CC5A01F59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A82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48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Hurtado de Matos Coelho</dc:creator>
  <cp:keywords/>
  <dc:description/>
  <cp:lastModifiedBy>Ana Cristina Hurtado de Matos Coelho</cp:lastModifiedBy>
  <cp:revision>4</cp:revision>
  <dcterms:created xsi:type="dcterms:W3CDTF">2025-09-17T13:31:00Z</dcterms:created>
  <dcterms:modified xsi:type="dcterms:W3CDTF">2025-09-18T17:49:00Z</dcterms:modified>
</cp:coreProperties>
</file>