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02D" w:rsidRPr="00C03080" w:rsidRDefault="00E7402D" w:rsidP="00C03080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242424"/>
          <w:bdr w:val="none" w:sz="0" w:space="0" w:color="auto" w:frame="1"/>
          <w:lang w:val="pt-PT"/>
        </w:rPr>
      </w:pPr>
      <w:r w:rsidRPr="00C03080">
        <w:rPr>
          <w:bCs/>
          <w:color w:val="242424"/>
          <w:bdr w:val="none" w:sz="0" w:space="0" w:color="auto" w:frame="1"/>
          <w:lang w:val="pt-PT"/>
        </w:rPr>
        <w:t>Plano de divulgação, disseminação e transferência de conhecimento</w:t>
      </w:r>
    </w:p>
    <w:p w:rsidR="00E7402D" w:rsidRPr="00C03080" w:rsidRDefault="002D4755" w:rsidP="00C03080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2D4755">
        <w:rPr>
          <w:color w:val="242424"/>
          <w:highlight w:val="yellow"/>
          <w:lang w:val="pt-PT"/>
        </w:rPr>
        <w:t>3486</w:t>
      </w:r>
    </w:p>
    <w:p w:rsidR="00E7402D" w:rsidRPr="00C03080" w:rsidRDefault="00E7402D" w:rsidP="00C03080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C03080">
        <w:rPr>
          <w:color w:val="242424"/>
          <w:bdr w:val="none" w:sz="0" w:space="0" w:color="auto" w:frame="1"/>
          <w:lang w:val="pt-PT"/>
        </w:rPr>
        <w:t>O plano de divulgação de resultados do projeto </w:t>
      </w:r>
      <w:r w:rsidRPr="00C03080">
        <w:rPr>
          <w:bCs/>
          <w:color w:val="242424"/>
          <w:bdr w:val="none" w:sz="0" w:space="0" w:color="auto" w:frame="1"/>
          <w:lang w:val="pt-PT"/>
        </w:rPr>
        <w:t>OAKHIMEDES</w:t>
      </w:r>
      <w:r w:rsidRPr="00C03080">
        <w:rPr>
          <w:color w:val="242424"/>
          <w:bdr w:val="none" w:sz="0" w:space="0" w:color="auto" w:frame="1"/>
          <w:lang w:val="pt-PT"/>
        </w:rPr>
        <w:t> assenta em três eixos complementares: </w:t>
      </w:r>
      <w:r w:rsidR="00C03080">
        <w:rPr>
          <w:bCs/>
          <w:color w:val="242424"/>
          <w:bdr w:val="none" w:sz="0" w:space="0" w:color="auto" w:frame="1"/>
          <w:lang w:val="pt-PT"/>
        </w:rPr>
        <w:t xml:space="preserve">comunicação </w:t>
      </w:r>
      <w:r w:rsidRPr="00C03080">
        <w:rPr>
          <w:bCs/>
          <w:color w:val="242424"/>
          <w:bdr w:val="none" w:sz="0" w:space="0" w:color="auto" w:frame="1"/>
          <w:lang w:val="pt-PT"/>
        </w:rPr>
        <w:t>científica</w:t>
      </w:r>
      <w:r w:rsidRPr="00C03080">
        <w:rPr>
          <w:color w:val="242424"/>
          <w:bdr w:val="none" w:sz="0" w:space="0" w:color="auto" w:frame="1"/>
          <w:lang w:val="pt-PT"/>
        </w:rPr>
        <w:t>, </w:t>
      </w:r>
      <w:r w:rsidRPr="00C03080">
        <w:rPr>
          <w:bCs/>
          <w:color w:val="242424"/>
          <w:bdr w:val="none" w:sz="0" w:space="0" w:color="auto" w:frame="1"/>
          <w:lang w:val="pt-PT"/>
        </w:rPr>
        <w:t>sensibilização social</w:t>
      </w:r>
      <w:r w:rsidRPr="00C03080">
        <w:rPr>
          <w:color w:val="242424"/>
          <w:bdr w:val="none" w:sz="0" w:space="0" w:color="auto" w:frame="1"/>
          <w:lang w:val="pt-PT"/>
        </w:rPr>
        <w:t> e </w:t>
      </w:r>
      <w:r w:rsidRPr="00C03080">
        <w:rPr>
          <w:bCs/>
          <w:color w:val="242424"/>
          <w:bdr w:val="none" w:sz="0" w:space="0" w:color="auto" w:frame="1"/>
          <w:lang w:val="pt-PT"/>
        </w:rPr>
        <w:t>transferência de conhecimento para a economia regional</w:t>
      </w:r>
      <w:r w:rsidRPr="00C03080">
        <w:rPr>
          <w:color w:val="242424"/>
          <w:bdr w:val="none" w:sz="0" w:space="0" w:color="auto" w:frame="1"/>
          <w:lang w:val="pt-PT"/>
        </w:rPr>
        <w:t>. A estratégia é desenhada para maximizar a visibilidade do pr</w:t>
      </w:r>
      <w:bookmarkStart w:id="0" w:name="_GoBack"/>
      <w:bookmarkEnd w:id="0"/>
      <w:r w:rsidRPr="00C03080">
        <w:rPr>
          <w:color w:val="242424"/>
          <w:bdr w:val="none" w:sz="0" w:space="0" w:color="auto" w:frame="1"/>
          <w:lang w:val="pt-PT"/>
        </w:rPr>
        <w:t>ojeto, garantir o acesso aberto aos resultados e assegurar que o conhecimento gerado é efetivamente transformado em valor para a sociedade e para o setor produtivo.</w:t>
      </w:r>
    </w:p>
    <w:p w:rsidR="00E7402D" w:rsidRPr="00C03080" w:rsidRDefault="00E7402D" w:rsidP="00C03080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C03080">
        <w:rPr>
          <w:color w:val="242424"/>
          <w:bdr w:val="none" w:sz="0" w:space="0" w:color="auto" w:frame="1"/>
          <w:lang w:val="pt-PT"/>
        </w:rPr>
        <w:t>No domínio da </w:t>
      </w:r>
      <w:r w:rsidRPr="00C03080">
        <w:rPr>
          <w:bCs/>
          <w:color w:val="242424"/>
          <w:bdr w:val="none" w:sz="0" w:space="0" w:color="auto" w:frame="1"/>
          <w:lang w:val="pt-PT"/>
        </w:rPr>
        <w:t>comunicação científica</w:t>
      </w:r>
      <w:r w:rsidRPr="00C03080">
        <w:rPr>
          <w:color w:val="242424"/>
          <w:bdr w:val="none" w:sz="0" w:space="0" w:color="auto" w:frame="1"/>
          <w:lang w:val="pt-PT"/>
        </w:rPr>
        <w:t>, está prevista a publicação de, pelo menos, três artigos em revistas internacionais de elevado impacto (Q1 ISI), acompanhados de apresentações em conferências nacionais e internacionais de referência na área das ciências florestais</w:t>
      </w:r>
      <w:r w:rsidR="00C03080">
        <w:rPr>
          <w:color w:val="242424"/>
          <w:bdr w:val="none" w:sz="0" w:space="0" w:color="auto" w:frame="1"/>
          <w:lang w:val="pt-PT"/>
        </w:rPr>
        <w:t>, biológicas e ambientais</w:t>
      </w:r>
      <w:r w:rsidRPr="00C03080">
        <w:rPr>
          <w:color w:val="242424"/>
          <w:bdr w:val="none" w:sz="0" w:space="0" w:color="auto" w:frame="1"/>
          <w:lang w:val="pt-PT"/>
        </w:rPr>
        <w:t xml:space="preserve">. Estes outputs garantem a validação externa e a difusão do conhecimento no meio académico global. Os dados produzidos em </w:t>
      </w:r>
      <w:proofErr w:type="spellStart"/>
      <w:r w:rsidRPr="00C03080">
        <w:rPr>
          <w:color w:val="242424"/>
          <w:bdr w:val="none" w:sz="0" w:space="0" w:color="auto" w:frame="1"/>
          <w:lang w:val="pt-PT"/>
        </w:rPr>
        <w:t>proteómica</w:t>
      </w:r>
      <w:proofErr w:type="spellEnd"/>
      <w:r w:rsidRPr="00C03080">
        <w:rPr>
          <w:color w:val="242424"/>
          <w:bdr w:val="none" w:sz="0" w:space="0" w:color="auto" w:frame="1"/>
          <w:lang w:val="pt-PT"/>
        </w:rPr>
        <w:t xml:space="preserve"> e genómica serão depositados em repositórios internacionais, assegurando transparência, rastreabilidade e acesso aberto pela comunidade científica.</w:t>
      </w:r>
    </w:p>
    <w:p w:rsidR="00E7402D" w:rsidRPr="00C03080" w:rsidRDefault="00E7402D" w:rsidP="00C03080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C03080">
        <w:rPr>
          <w:color w:val="242424"/>
          <w:bdr w:val="none" w:sz="0" w:space="0" w:color="auto" w:frame="1"/>
          <w:lang w:val="pt-PT"/>
        </w:rPr>
        <w:t>Em paralelo, a </w:t>
      </w:r>
      <w:r w:rsidRPr="00C03080">
        <w:rPr>
          <w:bCs/>
          <w:color w:val="242424"/>
          <w:bdr w:val="none" w:sz="0" w:space="0" w:color="auto" w:frame="1"/>
          <w:lang w:val="pt-PT"/>
        </w:rPr>
        <w:t>disseminação junto da sociedade</w:t>
      </w:r>
      <w:r w:rsidRPr="00C03080">
        <w:rPr>
          <w:color w:val="242424"/>
          <w:bdr w:val="none" w:sz="0" w:space="0" w:color="auto" w:frame="1"/>
          <w:lang w:val="pt-PT"/>
        </w:rPr>
        <w:t> será assegurada por um conjunto diversificado de ações. O projeto terá uma identidade visual própria (logotipo) e um </w:t>
      </w:r>
      <w:r w:rsidRPr="00C03080">
        <w:rPr>
          <w:bCs/>
          <w:color w:val="242424"/>
          <w:bdr w:val="none" w:sz="0" w:space="0" w:color="auto" w:frame="1"/>
          <w:lang w:val="pt-PT"/>
        </w:rPr>
        <w:t>website dinâmico</w:t>
      </w:r>
      <w:r w:rsidRPr="00C03080">
        <w:rPr>
          <w:color w:val="242424"/>
          <w:bdr w:val="none" w:sz="0" w:space="0" w:color="auto" w:frame="1"/>
          <w:lang w:val="pt-PT"/>
        </w:rPr>
        <w:t>, que funcionará como plataforma de comunicação aberta, disponibilizando documentos técnicos, relatórios, protocolos experimentais, mapas de campo e indicadores de monitorização em tempo real. Estão previstas campanhas em redes sociais, produção de vídeos de curta duração e entrevistas para meios regionais, com o objetivo de sensibilizar a população, em especial os jovens, para os desafios da sustentabilidade do montado. Workshops, seminários e demonstrações de campo serão organizados em colaboração com os municípios e o Centro Ciência Viva do Algarve, promovendo a literacia científica e a ligação entre investigadores, agricultores, gestores florestais e comunidades locais. Um congresso nacional, a realizar no Algarve no final do projeto, reunirá investigadores, decisores políticos e produtores para discutir os resultados e potenciar novas colaborações.</w:t>
      </w:r>
    </w:p>
    <w:p w:rsidR="00E7402D" w:rsidRPr="00C03080" w:rsidRDefault="00E7402D" w:rsidP="00C03080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C03080">
        <w:rPr>
          <w:color w:val="242424"/>
          <w:bdr w:val="none" w:sz="0" w:space="0" w:color="auto" w:frame="1"/>
          <w:lang w:val="pt-PT"/>
        </w:rPr>
        <w:t>A </w:t>
      </w:r>
      <w:r w:rsidRPr="00C03080">
        <w:rPr>
          <w:bCs/>
          <w:color w:val="242424"/>
          <w:bdr w:val="none" w:sz="0" w:space="0" w:color="auto" w:frame="1"/>
          <w:lang w:val="pt-PT"/>
        </w:rPr>
        <w:t>estratégia de transferência de conhecimento</w:t>
      </w:r>
      <w:r w:rsidRPr="00C03080">
        <w:rPr>
          <w:color w:val="242424"/>
          <w:bdr w:val="none" w:sz="0" w:space="0" w:color="auto" w:frame="1"/>
          <w:lang w:val="pt-PT"/>
        </w:rPr>
        <w:t> centra-se na criação de pontes entre a investigação científica e a prática de gestão florestal e empresarial. Os resultados do projeto serão traduzidos em </w:t>
      </w:r>
      <w:r w:rsidRPr="00C03080">
        <w:rPr>
          <w:bCs/>
          <w:color w:val="242424"/>
          <w:bdr w:val="none" w:sz="0" w:space="0" w:color="auto" w:frame="1"/>
          <w:lang w:val="pt-PT"/>
        </w:rPr>
        <w:t>documentos técnicos aplicáveis</w:t>
      </w:r>
      <w:r w:rsidRPr="00C03080">
        <w:rPr>
          <w:color w:val="242424"/>
          <w:bdr w:val="none" w:sz="0" w:space="0" w:color="auto" w:frame="1"/>
          <w:lang w:val="pt-PT"/>
        </w:rPr>
        <w:t>, direcionados a gest</w:t>
      </w:r>
      <w:r w:rsidR="00811ED1">
        <w:rPr>
          <w:color w:val="242424"/>
          <w:bdr w:val="none" w:sz="0" w:space="0" w:color="auto" w:frame="1"/>
          <w:lang w:val="pt-PT"/>
        </w:rPr>
        <w:t xml:space="preserve">ores florestais, </w:t>
      </w:r>
      <w:r w:rsidRPr="00C03080">
        <w:rPr>
          <w:color w:val="242424"/>
          <w:bdr w:val="none" w:sz="0" w:space="0" w:color="auto" w:frame="1"/>
          <w:lang w:val="pt-PT"/>
        </w:rPr>
        <w:t xml:space="preserve">produtores de cortiça e decisores institucionais (ICNF, municípios). Estes documentos incluirão guias de boas práticas de monitorização da vitalidade dos sobreiros, indicadores precoces de declínio e propostas para programas de reflorestação com base </w:t>
      </w:r>
      <w:r w:rsidRPr="00C03080">
        <w:rPr>
          <w:color w:val="242424"/>
          <w:bdr w:val="none" w:sz="0" w:space="0" w:color="auto" w:frame="1"/>
          <w:lang w:val="pt-PT"/>
        </w:rPr>
        <w:lastRenderedPageBreak/>
        <w:t xml:space="preserve">em árvores geneticamente resilientes. A ligação com a fileira corticeira </w:t>
      </w:r>
      <w:r w:rsidR="00C03080">
        <w:rPr>
          <w:color w:val="242424"/>
          <w:bdr w:val="none" w:sz="0" w:space="0" w:color="auto" w:frame="1"/>
          <w:lang w:val="pt-PT"/>
        </w:rPr>
        <w:t xml:space="preserve">estará assim </w:t>
      </w:r>
      <w:r w:rsidRPr="00C03080">
        <w:rPr>
          <w:color w:val="242424"/>
          <w:bdr w:val="none" w:sz="0" w:space="0" w:color="auto" w:frame="1"/>
          <w:lang w:val="pt-PT"/>
        </w:rPr>
        <w:t xml:space="preserve">reforçada </w:t>
      </w:r>
      <w:r w:rsidR="00C03080">
        <w:rPr>
          <w:color w:val="242424"/>
          <w:bdr w:val="none" w:sz="0" w:space="0" w:color="auto" w:frame="1"/>
          <w:lang w:val="pt-PT"/>
        </w:rPr>
        <w:t xml:space="preserve">porque </w:t>
      </w:r>
      <w:r w:rsidRPr="00C03080">
        <w:rPr>
          <w:color w:val="242424"/>
          <w:bdr w:val="none" w:sz="0" w:space="0" w:color="auto" w:frame="1"/>
          <w:lang w:val="pt-PT"/>
        </w:rPr>
        <w:t>o conhecimento científico se converte em ferramentas úteis para melhorar a competitividade da fileira e a resiliência dos territórios.</w:t>
      </w:r>
    </w:p>
    <w:p w:rsidR="00E7402D" w:rsidRPr="00C03080" w:rsidRDefault="00E7402D" w:rsidP="00C03080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C03080">
        <w:rPr>
          <w:color w:val="242424"/>
          <w:bdr w:val="none" w:sz="0" w:space="0" w:color="auto" w:frame="1"/>
          <w:lang w:val="pt-PT"/>
        </w:rPr>
        <w:t xml:space="preserve">Complementarmente, serão exploradas oportunidades de proteção de propriedade intelectual, sempre que se identifiquem algoritmos inovadores, em particular no domínio da inteligência artificial </w:t>
      </w:r>
      <w:r w:rsidR="00811ED1">
        <w:rPr>
          <w:color w:val="242424"/>
          <w:bdr w:val="none" w:sz="0" w:space="0" w:color="auto" w:frame="1"/>
          <w:lang w:val="pt-PT"/>
        </w:rPr>
        <w:t>para previsão de árvores resilientes e adaptadas</w:t>
      </w:r>
      <w:r w:rsidRPr="00C03080">
        <w:rPr>
          <w:color w:val="242424"/>
          <w:bdr w:val="none" w:sz="0" w:space="0" w:color="auto" w:frame="1"/>
          <w:lang w:val="pt-PT"/>
        </w:rPr>
        <w:t xml:space="preserve">. Esta vertente permitirá </w:t>
      </w:r>
      <w:r w:rsidR="00811ED1">
        <w:rPr>
          <w:color w:val="242424"/>
          <w:bdr w:val="none" w:sz="0" w:space="0" w:color="auto" w:frame="1"/>
          <w:lang w:val="pt-PT"/>
        </w:rPr>
        <w:t>fazer</w:t>
      </w:r>
      <w:r w:rsidRPr="00C03080">
        <w:rPr>
          <w:color w:val="242424"/>
          <w:bdr w:val="none" w:sz="0" w:space="0" w:color="auto" w:frame="1"/>
          <w:lang w:val="pt-PT"/>
        </w:rPr>
        <w:t xml:space="preserve"> pedidos de patente.</w:t>
      </w:r>
    </w:p>
    <w:p w:rsidR="00E7402D" w:rsidRPr="00C03080" w:rsidRDefault="00E7402D" w:rsidP="00C03080">
      <w:pPr>
        <w:pStyle w:val="xmsonormal"/>
        <w:shd w:val="clear" w:color="auto" w:fill="FFFFFF"/>
        <w:spacing w:before="0" w:beforeAutospacing="0" w:after="0" w:afterAutospacing="0" w:line="360" w:lineRule="auto"/>
        <w:jc w:val="both"/>
        <w:rPr>
          <w:color w:val="242424"/>
          <w:lang w:val="pt-PT"/>
        </w:rPr>
      </w:pPr>
      <w:r w:rsidRPr="00C03080">
        <w:rPr>
          <w:color w:val="242424"/>
          <w:bdr w:val="none" w:sz="0" w:space="0" w:color="auto" w:frame="1"/>
          <w:lang w:val="pt-PT"/>
        </w:rPr>
        <w:t>Em síntese, o plano de divulgação e transferência garante que o conhecimento gerado pelo OAKHIMEDES não se limita à produção científica, mas contribui ativamente para a formação de recursos humanos, a valorização da fileira corticeira, a consciencialização social e a definição de políticas públicas de sustentabilidade ambiental, em linha com os objetivos da Agenda 2030 e com a E</w:t>
      </w:r>
      <w:r w:rsidR="00811ED1">
        <w:rPr>
          <w:color w:val="242424"/>
          <w:bdr w:val="none" w:sz="0" w:space="0" w:color="auto" w:frame="1"/>
          <w:lang w:val="pt-PT"/>
        </w:rPr>
        <w:t>REI</w:t>
      </w:r>
      <w:r w:rsidRPr="00C03080">
        <w:rPr>
          <w:color w:val="242424"/>
          <w:bdr w:val="none" w:sz="0" w:space="0" w:color="auto" w:frame="1"/>
          <w:lang w:val="pt-PT"/>
        </w:rPr>
        <w:t xml:space="preserve"> do Algarve.</w:t>
      </w:r>
    </w:p>
    <w:p w:rsidR="00064C36" w:rsidRDefault="00064C36"/>
    <w:sectPr w:rsidR="00064C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02D"/>
    <w:rsid w:val="00064C36"/>
    <w:rsid w:val="002D4755"/>
    <w:rsid w:val="00811ED1"/>
    <w:rsid w:val="00C03080"/>
    <w:rsid w:val="00E7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49E7F"/>
  <w15:chartTrackingRefBased/>
  <w15:docId w15:val="{34B3E78B-0A8D-4314-9ACC-08E77B2D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E74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4</cp:revision>
  <dcterms:created xsi:type="dcterms:W3CDTF">2025-09-18T15:24:00Z</dcterms:created>
  <dcterms:modified xsi:type="dcterms:W3CDTF">2025-09-18T15:24:00Z</dcterms:modified>
</cp:coreProperties>
</file>