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6199" w:rsidRDefault="00DA6199" w:rsidP="00DA6199">
      <w:pPr>
        <w:shd w:val="clear" w:color="auto" w:fill="FFFFFF"/>
        <w:spacing w:after="0" w:line="240" w:lineRule="auto"/>
        <w:rPr>
          <w:rFonts w:ascii="inherit" w:eastAsia="Times New Roman" w:hAnsi="inherit" w:cs="Times New Roman"/>
          <w:b/>
          <w:bCs/>
          <w:color w:val="242424"/>
          <w:bdr w:val="none" w:sz="0" w:space="0" w:color="auto" w:frame="1"/>
          <w:lang w:eastAsia="en-GB"/>
        </w:rPr>
      </w:pPr>
      <w:r w:rsidRPr="00DA6199">
        <w:rPr>
          <w:rFonts w:ascii="inherit" w:eastAsia="Times New Roman" w:hAnsi="inherit" w:cs="Times New Roman"/>
          <w:b/>
          <w:bCs/>
          <w:color w:val="242424"/>
          <w:bdr w:val="none" w:sz="0" w:space="0" w:color="auto" w:frame="1"/>
          <w:lang w:eastAsia="en-GB"/>
        </w:rPr>
        <w:t>Plano de investigação e métodos</w:t>
      </w:r>
    </w:p>
    <w:p w:rsidR="006868CC" w:rsidRDefault="006868CC" w:rsidP="00DA6199">
      <w:pPr>
        <w:shd w:val="clear" w:color="auto" w:fill="FFFFFF"/>
        <w:spacing w:after="0" w:line="240" w:lineRule="auto"/>
        <w:rPr>
          <w:rFonts w:ascii="inherit" w:eastAsia="Times New Roman" w:hAnsi="inherit" w:cs="Times New Roman"/>
          <w:b/>
          <w:bCs/>
          <w:color w:val="242424"/>
          <w:bdr w:val="none" w:sz="0" w:space="0" w:color="auto" w:frame="1"/>
          <w:lang w:eastAsia="en-GB"/>
        </w:rPr>
      </w:pPr>
    </w:p>
    <w:p w:rsidR="006868CC" w:rsidRDefault="006868CC" w:rsidP="00DA6199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42424"/>
          <w:sz w:val="24"/>
          <w:szCs w:val="24"/>
          <w:lang w:eastAsia="en-GB"/>
        </w:rPr>
      </w:pPr>
      <w:r w:rsidRPr="006868CC">
        <w:rPr>
          <w:rFonts w:ascii="Aptos" w:eastAsia="Times New Roman" w:hAnsi="Aptos" w:cs="Times New Roman"/>
          <w:color w:val="242424"/>
          <w:sz w:val="24"/>
          <w:szCs w:val="24"/>
          <w:highlight w:val="yellow"/>
          <w:lang w:eastAsia="en-GB"/>
        </w:rPr>
        <w:t>3493</w:t>
      </w:r>
      <w:bookmarkStart w:id="0" w:name="_GoBack"/>
      <w:bookmarkEnd w:id="0"/>
    </w:p>
    <w:p w:rsidR="006868CC" w:rsidRPr="00DA6199" w:rsidRDefault="006868CC" w:rsidP="00DA6199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42424"/>
          <w:sz w:val="24"/>
          <w:szCs w:val="24"/>
          <w:lang w:eastAsia="en-GB"/>
        </w:rPr>
      </w:pPr>
    </w:p>
    <w:p w:rsidR="00DA6199" w:rsidRPr="006868CC" w:rsidRDefault="00DA6199" w:rsidP="006868C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eastAsia="en-GB"/>
        </w:rPr>
      </w:pPr>
      <w:r w:rsidRPr="006868C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O projeto </w:t>
      </w:r>
      <w:r w:rsidRPr="006868CC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OAKHIMEDES</w:t>
      </w:r>
      <w:r w:rsidRPr="006868C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 desenvolve um plano de investigação multidimensional, que integra medições fisiológicas, dados ambientais, perfis bioquímicos e genéticos, bem como análise avançada de dados, com o objetivo de identificar os fatores que mais contribuem para a resiliência dos sobreiros face às alterações climáticas e a agentes de stresse biótico e abiótico.</w:t>
      </w:r>
    </w:p>
    <w:p w:rsidR="00DA6199" w:rsidRPr="006868CC" w:rsidRDefault="00DA6199" w:rsidP="006868C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eastAsia="en-GB"/>
        </w:rPr>
      </w:pPr>
      <w:r w:rsidRPr="006868C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O plano assenta na criação de </w:t>
      </w:r>
      <w:r w:rsidRPr="006868CC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campos experimentais</w:t>
      </w:r>
      <w:r w:rsidR="006868CC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 xml:space="preserve"> em duas regiões</w:t>
      </w:r>
      <w:r w:rsidRPr="006868CC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 xml:space="preserve"> do Algarve</w:t>
      </w:r>
      <w:r w:rsidRPr="006868C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 – Serra do Caldeirão (condições xéricas) e Serra de Monchique (condições mesófilas). Nestes locais serão selecionados 50 sobreiros adultos (25 em cada campo), submetidos a monitor</w:t>
      </w:r>
      <w:r w:rsidR="006868C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ização ao longo de dois</w:t>
      </w:r>
      <w:r w:rsidRPr="006868C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 anos.</w:t>
      </w:r>
    </w:p>
    <w:p w:rsidR="00DA6199" w:rsidRPr="006868CC" w:rsidRDefault="00DA6199" w:rsidP="006868C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eastAsia="en-GB"/>
        </w:rPr>
      </w:pPr>
      <w:r w:rsidRPr="006868C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A investigação divide-se em seis atividades interligadas:</w:t>
      </w:r>
    </w:p>
    <w:p w:rsidR="00DA6199" w:rsidRPr="006868CC" w:rsidRDefault="00DA6199" w:rsidP="006868CC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eastAsia="en-GB"/>
        </w:rPr>
      </w:pPr>
      <w:r w:rsidRPr="006868CC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Gestão e coordenação (A1)</w:t>
      </w:r>
      <w:r w:rsidRPr="006868C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 – garante a articulação científica, técnica e administrativa do projeto, com recurso a ferramentas digitais de gestão co</w:t>
      </w:r>
      <w:r w:rsidR="006868C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laborativa e reuniões</w:t>
      </w:r>
      <w:r w:rsidRPr="006868C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.</w:t>
      </w:r>
    </w:p>
    <w:p w:rsidR="00DA6199" w:rsidRPr="006868CC" w:rsidRDefault="00DA6199" w:rsidP="006868CC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eastAsia="en-GB"/>
        </w:rPr>
      </w:pPr>
      <w:r w:rsidRPr="006868CC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Monitorização da vitalidade das árvores (A2)</w:t>
      </w:r>
      <w:r w:rsidRPr="006868C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 – inclui a utilização de drones equipados com sensores óticos, multiespectrais (VIS-NIR, SWIR) e térmicos para recolha de imagens de alta resolução, análise do vigor vegetativo e cálculo de índices como o NDVI. Em paralelo, dendrómetros automáticos medem o crescimento radial do tronco, e análises foliares quantificam o teor de nutrientes minerais. Estes parâmetros permitem caracterizar o estado fisiológico das árvores.</w:t>
      </w:r>
    </w:p>
    <w:p w:rsidR="00DA6199" w:rsidRPr="006868CC" w:rsidRDefault="00DA6199" w:rsidP="006868CC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eastAsia="en-GB"/>
        </w:rPr>
      </w:pPr>
      <w:r w:rsidRPr="006868CC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Caracterização do ambiente (A3)</w:t>
      </w:r>
      <w:r w:rsidRPr="006868C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 – contempla a instalação de estações meteorológicas automáticas para monitorização climática, bem como sensores tensiométricos para avaliar o potencial hídrico e a temperatura do solo. Amostras de solo serão analisadas para determinar propriedades</w:t>
      </w:r>
      <w:r w:rsidR="006868C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 físico-químicas</w:t>
      </w:r>
      <w:r w:rsidRPr="006868C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 e será avaliada a presença de </w:t>
      </w:r>
      <w:proofErr w:type="spellStart"/>
      <w:r w:rsidRPr="006868CC">
        <w:rPr>
          <w:rFonts w:ascii="Times New Roman" w:eastAsia="Times New Roman" w:hAnsi="Times New Roman" w:cs="Times New Roman"/>
          <w:i/>
          <w:iCs/>
          <w:color w:val="242424"/>
          <w:sz w:val="24"/>
          <w:szCs w:val="24"/>
          <w:bdr w:val="none" w:sz="0" w:space="0" w:color="auto" w:frame="1"/>
          <w:lang w:eastAsia="en-GB"/>
        </w:rPr>
        <w:t>Phytophthora</w:t>
      </w:r>
      <w:proofErr w:type="spellEnd"/>
      <w:r w:rsidRPr="006868CC">
        <w:rPr>
          <w:rFonts w:ascii="Times New Roman" w:eastAsia="Times New Roman" w:hAnsi="Times New Roman" w:cs="Times New Roman"/>
          <w:i/>
          <w:iCs/>
          <w:color w:val="242424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6868CC">
        <w:rPr>
          <w:rFonts w:ascii="Times New Roman" w:eastAsia="Times New Roman" w:hAnsi="Times New Roman" w:cs="Times New Roman"/>
          <w:i/>
          <w:iCs/>
          <w:color w:val="242424"/>
          <w:sz w:val="24"/>
          <w:szCs w:val="24"/>
          <w:bdr w:val="none" w:sz="0" w:space="0" w:color="auto" w:frame="1"/>
          <w:lang w:eastAsia="en-GB"/>
        </w:rPr>
        <w:t>cinnamomi</w:t>
      </w:r>
      <w:proofErr w:type="spellEnd"/>
      <w:r w:rsidRPr="006868C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.</w:t>
      </w:r>
    </w:p>
    <w:p w:rsidR="00DA6199" w:rsidRPr="006868CC" w:rsidRDefault="00DA6199" w:rsidP="006868CC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eastAsia="en-GB"/>
        </w:rPr>
      </w:pPr>
      <w:r w:rsidRPr="006868CC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Homeostasia e variabilidade genética (A4)</w:t>
      </w:r>
      <w:r w:rsidRPr="006868C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 – análise bioquímica e molecular de folhas, utilizando espectroscopia FT-IR para identificar grupos funcionais de biomoléculas e proteómica quantitativa (SWATH-MS) para perfis proteicos associados a respostas de stresse. Em paralelo, será realizada sequenciação genómica completa (WGS) para identificar variantes genéticas relevantes.</w:t>
      </w:r>
    </w:p>
    <w:p w:rsidR="00DA6199" w:rsidRPr="006868CC" w:rsidRDefault="00DA6199" w:rsidP="006868CC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eastAsia="en-GB"/>
        </w:rPr>
      </w:pPr>
      <w:r w:rsidRPr="006868CC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Análise integrada de dados (A5)</w:t>
      </w:r>
      <w:r w:rsidRPr="006868C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 – aplicação de métodos de análise multivariada (PCA, análise discriminante, t-SNE) para detetar padrões e agrupamentos, e de </w:t>
      </w:r>
      <w:r w:rsidRPr="006868C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lastRenderedPageBreak/>
        <w:t>algoritmos de regressão e machine learning (PLS, SVM, Random Forest) para estimar a contribuição de diferentes variáveis para a resiliência das árvores. A modelação permitirá prever o declínio em função das condições ambientais e identificar árvores-mãe candidatas para programas de reflorestação.</w:t>
      </w:r>
    </w:p>
    <w:p w:rsidR="00DA6199" w:rsidRPr="006868CC" w:rsidRDefault="00DA6199" w:rsidP="006868CC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eastAsia="en-GB"/>
        </w:rPr>
      </w:pPr>
      <w:r w:rsidRPr="006868CC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Disseminação e transferência de conhecimento (A6)</w:t>
      </w:r>
      <w:r w:rsidRPr="006868C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 – abrange a comunicação científica (publicações Q1, conferências</w:t>
      </w:r>
      <w:r w:rsidR="006868C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, patente</w:t>
      </w:r>
      <w:r w:rsidRPr="006868C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), social (workshops, redes sociais, website, vídeos) </w:t>
      </w:r>
      <w:r w:rsidR="006868C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e técnica (documentos</w:t>
      </w:r>
      <w:r w:rsidRPr="006868C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 para gestores florestais e decisores), garantindo que os resultados são divulgados e transferidos para a sociedade e para a fileira corticeira.</w:t>
      </w:r>
    </w:p>
    <w:p w:rsidR="00DA6199" w:rsidRPr="006868CC" w:rsidRDefault="00DA6199" w:rsidP="006868C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eastAsia="en-GB"/>
        </w:rPr>
      </w:pPr>
      <w:r w:rsidRPr="006868C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A metodologia do OAKHIMEDES distingue-se pela </w:t>
      </w:r>
      <w:r w:rsidRPr="006868CC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integração de diferentes escalas de análise</w:t>
      </w:r>
      <w:r w:rsidRPr="006868C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 – da fisiologia individual ao microambiente edafoclimático, da bioquímica ao gen</w:t>
      </w:r>
      <w:r w:rsidR="006868C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oma, e da monitorização</w:t>
      </w:r>
      <w:r w:rsidRPr="006868C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 à modelação preditiva com inteligência artificial. Esta abordagem sistémica permitirá identificar indicadores precoces de resiliência, desenvolver modelos de previsão de declínio e gerar conhecimento aplicável à gestão sustentável do montado.</w:t>
      </w:r>
    </w:p>
    <w:p w:rsidR="00DA6199" w:rsidRPr="006868CC" w:rsidRDefault="00DA6199" w:rsidP="006868C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eastAsia="en-GB"/>
        </w:rPr>
      </w:pPr>
      <w:r w:rsidRPr="006868C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O plano de investigação está estruturado para assegurar </w:t>
      </w:r>
      <w:r w:rsidRPr="006868CC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resultados intermédios e finais claros</w:t>
      </w:r>
      <w:r w:rsidRPr="006868CC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 (datasets, relatórios, publicações), com milestones definidos para cada atividade. </w:t>
      </w:r>
    </w:p>
    <w:p w:rsidR="00064C36" w:rsidRPr="006868CC" w:rsidRDefault="00064C36" w:rsidP="006868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64C36" w:rsidRPr="006868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ptos">
    <w:altName w:val="Microsoft Sans Serif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0F2A3B"/>
    <w:multiLevelType w:val="multilevel"/>
    <w:tmpl w:val="92E0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199"/>
    <w:rsid w:val="00064C36"/>
    <w:rsid w:val="006868CC"/>
    <w:rsid w:val="00DA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C5B05"/>
  <w15:chartTrackingRefBased/>
  <w15:docId w15:val="{006E606B-DF97-4547-ABAD-87FE7206E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DA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04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Cristina Hurtado de Matos Coelho</dc:creator>
  <cp:keywords/>
  <dc:description/>
  <cp:lastModifiedBy>Ana Cristina Hurtado de Matos Coelho</cp:lastModifiedBy>
  <cp:revision>2</cp:revision>
  <dcterms:created xsi:type="dcterms:W3CDTF">2025-09-18T15:35:00Z</dcterms:created>
  <dcterms:modified xsi:type="dcterms:W3CDTF">2025-09-18T15:35:00Z</dcterms:modified>
</cp:coreProperties>
</file>