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CE9D6" w14:textId="77777777" w:rsidR="009732A6" w:rsidRPr="008C3EE7" w:rsidRDefault="009732A6" w:rsidP="009732A6">
      <w:pPr>
        <w:pStyle w:val="Heading2"/>
        <w:rPr>
          <w:rFonts w:ascii="Times New Roman" w:hAnsi="Times New Roman" w:cs="Times New Roman"/>
          <w:sz w:val="24"/>
          <w:szCs w:val="24"/>
        </w:rPr>
      </w:pPr>
      <w:r w:rsidRPr="008C3EE7">
        <w:rPr>
          <w:rFonts w:ascii="Times New Roman" w:hAnsi="Times New Roman" w:cs="Times New Roman"/>
          <w:sz w:val="24"/>
          <w:szCs w:val="24"/>
        </w:rPr>
        <w:t>Project 2: County-Level Nitrogen Exposure and Cancer Rates in Minnesota</w:t>
      </w:r>
    </w:p>
    <w:p w14:paraId="1B3393BB" w14:textId="77777777" w:rsidR="009732A6" w:rsidRPr="008C3EE7" w:rsidRDefault="009732A6" w:rsidP="009732A6">
      <w:pPr>
        <w:rPr>
          <w:rFonts w:ascii="Times New Roman" w:hAnsi="Times New Roman" w:cs="Times New Roman"/>
          <w:b/>
          <w:sz w:val="24"/>
          <w:szCs w:val="24"/>
        </w:rPr>
      </w:pPr>
      <w:r w:rsidRPr="008C3EE7">
        <w:rPr>
          <w:rFonts w:ascii="Times New Roman" w:hAnsi="Times New Roman" w:cs="Times New Roman"/>
          <w:b/>
          <w:sz w:val="24"/>
          <w:szCs w:val="24"/>
        </w:rPr>
        <w:t>Research Aim: Evaluate association between nitrogen exposure and cancer rates in Minnesota.</w:t>
      </w:r>
    </w:p>
    <w:p w14:paraId="24B7305F" w14:textId="77777777" w:rsidR="009732A6" w:rsidRDefault="009732A6" w:rsidP="009732A6">
      <w:pPr>
        <w:rPr>
          <w:rFonts w:ascii="Times New Roman" w:hAnsi="Times New Roman" w:cs="Times New Roman"/>
          <w:b/>
          <w:sz w:val="24"/>
          <w:szCs w:val="24"/>
        </w:rPr>
      </w:pPr>
    </w:p>
    <w:p w14:paraId="22C77246" w14:textId="77777777" w:rsidR="009732A6" w:rsidRPr="008C3EE7" w:rsidRDefault="009732A6" w:rsidP="009732A6">
      <w:pPr>
        <w:rPr>
          <w:rFonts w:ascii="Times New Roman" w:hAnsi="Times New Roman" w:cs="Times New Roman"/>
          <w:sz w:val="24"/>
          <w:szCs w:val="24"/>
        </w:rPr>
      </w:pPr>
      <w:r w:rsidRPr="008C3EE7">
        <w:rPr>
          <w:rFonts w:ascii="Times New Roman" w:hAnsi="Times New Roman" w:cs="Times New Roman"/>
          <w:b/>
          <w:sz w:val="24"/>
          <w:szCs w:val="24"/>
        </w:rPr>
        <w:t>Data sources:</w:t>
      </w:r>
      <w:r w:rsidRPr="008C3EE7">
        <w:rPr>
          <w:rFonts w:ascii="Times New Roman" w:hAnsi="Times New Roman" w:cs="Times New Roman"/>
          <w:sz w:val="24"/>
          <w:szCs w:val="24"/>
        </w:rPr>
        <w:t xml:space="preserve"> Historic county-level nitrogen application from USGS; Minnesota cancer outcome data by county-year, for all nitrate associated cancers combined and separately, from NCI SEER. These cancer types include Colon and Rectum, Kidney and Renal Pelvis, Ovaries, and Stomach for adults and Brain/CNS, leukemias, and lymphomas in children. </w:t>
      </w:r>
      <w:r w:rsidRPr="008C3EE7">
        <w:rPr>
          <w:rFonts w:ascii="Times New Roman" w:hAnsi="Times New Roman" w:cs="Times New Roman"/>
          <w:i/>
          <w:iCs/>
          <w:sz w:val="24"/>
          <w:szCs w:val="24"/>
        </w:rPr>
        <w:t>Data collection is complete 6/30</w:t>
      </w:r>
      <w:r w:rsidRPr="008C3EE7">
        <w:rPr>
          <w:rFonts w:ascii="Times New Roman" w:hAnsi="Times New Roman" w:cs="Times New Roman"/>
          <w:sz w:val="24"/>
          <w:szCs w:val="24"/>
        </w:rPr>
        <w:t>.</w:t>
      </w:r>
    </w:p>
    <w:p w14:paraId="58779F06" w14:textId="77777777" w:rsidR="009732A6" w:rsidRDefault="009732A6" w:rsidP="009732A6">
      <w:pPr>
        <w:rPr>
          <w:rFonts w:ascii="Times New Roman" w:hAnsi="Times New Roman" w:cs="Times New Roman"/>
          <w:b/>
          <w:sz w:val="24"/>
          <w:szCs w:val="24"/>
        </w:rPr>
      </w:pPr>
    </w:p>
    <w:p w14:paraId="001CA0D8" w14:textId="77777777" w:rsidR="009732A6" w:rsidRDefault="009732A6" w:rsidP="009732A6">
      <w:pPr>
        <w:rPr>
          <w:rFonts w:ascii="Times New Roman" w:hAnsi="Times New Roman" w:cs="Times New Roman"/>
          <w:sz w:val="24"/>
          <w:szCs w:val="24"/>
        </w:rPr>
      </w:pPr>
      <w:r w:rsidRPr="008C3EE7">
        <w:rPr>
          <w:rFonts w:ascii="Times New Roman" w:hAnsi="Times New Roman" w:cs="Times New Roman"/>
          <w:b/>
          <w:sz w:val="24"/>
          <w:szCs w:val="24"/>
        </w:rPr>
        <w:t>Statistical analysis:</w:t>
      </w:r>
      <w:r w:rsidRPr="008C3EE7">
        <w:rPr>
          <w:rFonts w:ascii="Times New Roman" w:hAnsi="Times New Roman" w:cs="Times New Roman"/>
          <w:sz w:val="24"/>
          <w:szCs w:val="24"/>
        </w:rPr>
        <w:t xml:space="preserve"> The analysis </w:t>
      </w:r>
      <w:hyperlink r:id="rId4" w:history="1">
        <w:r w:rsidRPr="008C3EE7">
          <w:rPr>
            <w:rStyle w:val="Hyperlink"/>
            <w:rFonts w:ascii="Times New Roman" w:hAnsi="Times New Roman" w:cs="Times New Roman"/>
            <w:sz w:val="24"/>
            <w:szCs w:val="24"/>
          </w:rPr>
          <w:t>replicates</w:t>
        </w:r>
      </w:hyperlink>
      <w:r w:rsidRPr="008C3EE7">
        <w:rPr>
          <w:rFonts w:ascii="Times New Roman" w:hAnsi="Times New Roman" w:cs="Times New Roman"/>
          <w:sz w:val="24"/>
          <w:szCs w:val="24"/>
        </w:rPr>
        <w:t xml:space="preserve"> a peer-reviewed publication showing the association between nitrogen exposure and infant Brain/CNS cancer. For this project, the analysis will be restricted to Minnesota. In addition to replicating the paper’s main regression analysis, this project will also conduct descriptive bivariate mapping, revealing any clusters of nitrogen exposure and cancer rates across Minnesota counties. The analysis will include robustness checks related to exposure definition, timing, cancer type, age grouping, and model specification, with explicit discussion of validity threats arising from older exposure data and limitations in linking nitrogen application to later cancer outcomes.</w:t>
      </w:r>
    </w:p>
    <w:p w14:paraId="65533504" w14:textId="77777777" w:rsidR="009732A6" w:rsidRPr="008C3EE7" w:rsidRDefault="009732A6" w:rsidP="009732A6">
      <w:pPr>
        <w:pStyle w:val="Heading1"/>
        <w:rPr>
          <w:rFonts w:ascii="Times New Roman" w:hAnsi="Times New Roman" w:cs="Times New Roman"/>
          <w:sz w:val="24"/>
          <w:szCs w:val="24"/>
        </w:rPr>
      </w:pPr>
      <w:r w:rsidRPr="008C3EE7">
        <w:rPr>
          <w:rFonts w:ascii="Times New Roman" w:hAnsi="Times New Roman" w:cs="Times New Roman"/>
          <w:sz w:val="24"/>
          <w:szCs w:val="24"/>
        </w:rPr>
        <w:t>C. Deliverables</w:t>
      </w:r>
    </w:p>
    <w:p w14:paraId="4425BD49" w14:textId="77777777" w:rsidR="009732A6" w:rsidRDefault="009732A6" w:rsidP="009732A6">
      <w:pPr>
        <w:rPr>
          <w:rFonts w:ascii="Times New Roman" w:hAnsi="Times New Roman" w:cs="Times New Roman"/>
          <w:sz w:val="24"/>
          <w:szCs w:val="24"/>
        </w:rPr>
      </w:pPr>
      <w:r w:rsidRPr="008C3EE7">
        <w:rPr>
          <w:rFonts w:ascii="Times New Roman" w:hAnsi="Times New Roman" w:cs="Times New Roman"/>
          <w:b/>
          <w:sz w:val="24"/>
          <w:szCs w:val="24"/>
          <w:u w:val="single"/>
        </w:rPr>
        <w:t>For each project</w:t>
      </w:r>
      <w:r w:rsidRPr="008C3EE7">
        <w:rPr>
          <w:rFonts w:ascii="Times New Roman" w:hAnsi="Times New Roman" w:cs="Times New Roman"/>
          <w:b/>
          <w:sz w:val="24"/>
          <w:szCs w:val="24"/>
        </w:rPr>
        <w:t>,</w:t>
      </w:r>
      <w:r w:rsidRPr="008C3EE7">
        <w:rPr>
          <w:rFonts w:ascii="Times New Roman" w:hAnsi="Times New Roman" w:cs="Times New Roman"/>
          <w:sz w:val="24"/>
          <w:szCs w:val="24"/>
        </w:rPr>
        <w:t xml:space="preserve"> Consultant will prepare a full written report including background/literature review, methodology, key findings, and discussion/recommendations. Each report will include tables and graphics presenting key findings, as well as an executive summary suitable for non-technical stakeholders. Each report will include a technical appendix for full methodological details, as necessary. </w:t>
      </w:r>
    </w:p>
    <w:p w14:paraId="64016B0C" w14:textId="77777777" w:rsidR="00A6692C" w:rsidRDefault="00A6692C"/>
    <w:p w14:paraId="02258ECD" w14:textId="6FF6B291" w:rsidR="009732A6" w:rsidRPr="004B3F5F" w:rsidRDefault="009732A6" w:rsidP="009732A6">
      <w:pPr>
        <w:pStyle w:val="Heading1"/>
        <w:spacing w:before="160" w:after="40"/>
        <w:rPr>
          <w:rFonts w:ascii="Times New Roman" w:hAnsi="Times New Roman" w:cs="Times New Roman"/>
          <w:sz w:val="24"/>
          <w:szCs w:val="24"/>
        </w:rPr>
      </w:pPr>
      <w:r>
        <w:rPr>
          <w:rFonts w:ascii="Times New Roman" w:hAnsi="Times New Roman" w:cs="Times New Roman"/>
          <w:sz w:val="24"/>
          <w:szCs w:val="24"/>
        </w:rPr>
        <w:t>Technical Appendix</w:t>
      </w:r>
    </w:p>
    <w:p w14:paraId="75E41248" w14:textId="77777777" w:rsidR="009732A6" w:rsidRPr="004B3F5F" w:rsidRDefault="009732A6" w:rsidP="009732A6">
      <w:pPr>
        <w:spacing w:after="80" w:line="245" w:lineRule="auto"/>
        <w:rPr>
          <w:rFonts w:ascii="Times New Roman" w:hAnsi="Times New Roman" w:cs="Times New Roman"/>
          <w:sz w:val="24"/>
          <w:szCs w:val="24"/>
        </w:rPr>
      </w:pPr>
      <w:r w:rsidRPr="004B3F5F">
        <w:rPr>
          <w:rFonts w:ascii="Times New Roman" w:hAnsi="Times New Roman" w:cs="Times New Roman"/>
          <w:b/>
          <w:sz w:val="24"/>
          <w:szCs w:val="24"/>
        </w:rPr>
        <w:t xml:space="preserve">Research question. </w:t>
      </w:r>
      <w:r w:rsidRPr="004B3F5F">
        <w:rPr>
          <w:rFonts w:ascii="Times New Roman" w:hAnsi="Times New Roman" w:cs="Times New Roman"/>
          <w:sz w:val="24"/>
          <w:szCs w:val="24"/>
        </w:rPr>
        <w:t xml:space="preserve">Are historical county-level nitrogen inputs from fertilizer associated with county-level cancer incidence rates in Minnesota? The analysis will evaluate nitrate-associated cancers combined and separately, including adult colon and rectum, kidney and renal pelvis, ovary, and stomach cancers, as well as pediatric brain/CNS tumors, leukemias, and lymphomas. This study closely mirrors the approach from </w:t>
      </w:r>
      <w:hyperlink r:id="rId5" w:history="1">
        <w:r w:rsidRPr="004B3F5F">
          <w:rPr>
            <w:rStyle w:val="Hyperlink"/>
            <w:rFonts w:ascii="Times New Roman" w:hAnsi="Times New Roman" w:cs="Times New Roman"/>
            <w:sz w:val="24"/>
            <w:szCs w:val="24"/>
          </w:rPr>
          <w:t>published literature</w:t>
        </w:r>
      </w:hyperlink>
      <w:r w:rsidRPr="004B3F5F">
        <w:rPr>
          <w:rFonts w:ascii="Times New Roman" w:hAnsi="Times New Roman" w:cs="Times New Roman"/>
          <w:sz w:val="24"/>
          <w:szCs w:val="24"/>
        </w:rPr>
        <w:t>.</w:t>
      </w:r>
    </w:p>
    <w:p w14:paraId="499E3CC2" w14:textId="77777777" w:rsidR="009732A6" w:rsidRPr="004B3F5F" w:rsidRDefault="009732A6" w:rsidP="009732A6">
      <w:pPr>
        <w:pStyle w:val="Heading2"/>
        <w:spacing w:before="100" w:after="40"/>
        <w:rPr>
          <w:rFonts w:ascii="Times New Roman" w:hAnsi="Times New Roman" w:cs="Times New Roman"/>
          <w:sz w:val="24"/>
          <w:szCs w:val="24"/>
        </w:rPr>
      </w:pPr>
      <w:r w:rsidRPr="004B3F5F">
        <w:rPr>
          <w:rFonts w:ascii="Times New Roman" w:hAnsi="Times New Roman" w:cs="Times New Roman"/>
          <w:sz w:val="24"/>
          <w:szCs w:val="24"/>
        </w:rPr>
        <w:t>Data and Population</w:t>
      </w:r>
    </w:p>
    <w:p w14:paraId="568DBEE9" w14:textId="77777777" w:rsidR="009732A6" w:rsidRPr="004B3F5F" w:rsidRDefault="009732A6" w:rsidP="009732A6">
      <w:pPr>
        <w:spacing w:after="80" w:line="245" w:lineRule="auto"/>
        <w:rPr>
          <w:rFonts w:ascii="Times New Roman" w:hAnsi="Times New Roman" w:cs="Times New Roman"/>
          <w:sz w:val="24"/>
          <w:szCs w:val="24"/>
        </w:rPr>
      </w:pPr>
      <w:r w:rsidRPr="004B3F5F">
        <w:rPr>
          <w:rFonts w:ascii="Times New Roman" w:hAnsi="Times New Roman" w:cs="Times New Roman"/>
          <w:sz w:val="24"/>
          <w:szCs w:val="24"/>
        </w:rPr>
        <w:t xml:space="preserve">The unit of analysis will be a Minnesota county-period panel. The exposure file will use U.S. Geological Survey county-level estimates of nitrogen from commercial fertilizer. The USGS data provide estimates for approximate five-year periods from 1987-2012, coinciding with U.S. Department of Agriculture Census of Agriculture years. The analytic dataset will retain Minnesota counties and construct lagged and cumulative nitrogen exposure measures aligned with cancer outcome periods. An alternative specification will use community water nitrate measures from 1999-2023. </w:t>
      </w:r>
    </w:p>
    <w:p w14:paraId="16E1C1B8" w14:textId="77777777" w:rsidR="009732A6" w:rsidRPr="004B3F5F" w:rsidRDefault="009732A6" w:rsidP="009732A6">
      <w:pPr>
        <w:spacing w:after="80" w:line="245" w:lineRule="auto"/>
        <w:rPr>
          <w:rFonts w:ascii="Times New Roman" w:hAnsi="Times New Roman" w:cs="Times New Roman"/>
          <w:sz w:val="24"/>
          <w:szCs w:val="24"/>
        </w:rPr>
      </w:pPr>
      <w:r w:rsidRPr="004B3F5F">
        <w:rPr>
          <w:rFonts w:ascii="Times New Roman" w:hAnsi="Times New Roman" w:cs="Times New Roman"/>
          <w:sz w:val="24"/>
          <w:szCs w:val="24"/>
        </w:rPr>
        <w:t xml:space="preserve">Cancer outcomes will be obtained from a variety of sources, including the NCI’s SEER program, CDC’s State Cancer Profiles, and USCS Incidence Data. If county-year or site-specific data are </w:t>
      </w:r>
      <w:r w:rsidRPr="004B3F5F">
        <w:rPr>
          <w:rFonts w:ascii="Times New Roman" w:hAnsi="Times New Roman" w:cs="Times New Roman"/>
          <w:sz w:val="24"/>
          <w:szCs w:val="24"/>
        </w:rPr>
        <w:lastRenderedPageBreak/>
        <w:t>suppressed or statistically unstable, the analysis will aggregate across adjacent years, combine cancer sites into pre-specified groups, or use model-based approaches appropriate for sparse counts.</w:t>
      </w:r>
    </w:p>
    <w:p w14:paraId="6DD177D9" w14:textId="77777777" w:rsidR="009732A6" w:rsidRPr="004B3F5F" w:rsidRDefault="009732A6" w:rsidP="009732A6">
      <w:pPr>
        <w:spacing w:after="80" w:line="245" w:lineRule="auto"/>
        <w:rPr>
          <w:rFonts w:ascii="Times New Roman" w:hAnsi="Times New Roman" w:cs="Times New Roman"/>
          <w:sz w:val="24"/>
          <w:szCs w:val="24"/>
        </w:rPr>
      </w:pPr>
      <w:r w:rsidRPr="004B3F5F">
        <w:rPr>
          <w:rFonts w:ascii="Times New Roman" w:hAnsi="Times New Roman" w:cs="Times New Roman"/>
          <w:sz w:val="24"/>
          <w:szCs w:val="24"/>
        </w:rPr>
        <w:t>A variety of lagged linkages will be utilized, depending on cancer type and age, including single-year, two-year, five-year, ten-year as applicable.</w:t>
      </w:r>
    </w:p>
    <w:p w14:paraId="17EFAF07" w14:textId="77777777" w:rsidR="009732A6" w:rsidRPr="004B3F5F" w:rsidRDefault="009732A6" w:rsidP="009732A6">
      <w:pPr>
        <w:pStyle w:val="Heading2"/>
        <w:spacing w:before="100" w:after="40"/>
        <w:rPr>
          <w:rFonts w:ascii="Times New Roman" w:hAnsi="Times New Roman" w:cs="Times New Roman"/>
          <w:sz w:val="24"/>
          <w:szCs w:val="24"/>
        </w:rPr>
      </w:pPr>
      <w:r w:rsidRPr="004B3F5F">
        <w:rPr>
          <w:rFonts w:ascii="Times New Roman" w:hAnsi="Times New Roman" w:cs="Times New Roman"/>
          <w:sz w:val="24"/>
          <w:szCs w:val="24"/>
        </w:rPr>
        <w:t>Measures</w:t>
      </w:r>
    </w:p>
    <w:p w14:paraId="611A684C" w14:textId="77777777" w:rsidR="009732A6" w:rsidRPr="004B3F5F" w:rsidRDefault="009732A6" w:rsidP="009732A6">
      <w:pPr>
        <w:spacing w:after="80" w:line="245" w:lineRule="auto"/>
        <w:rPr>
          <w:rFonts w:ascii="Times New Roman" w:hAnsi="Times New Roman" w:cs="Times New Roman"/>
          <w:sz w:val="24"/>
          <w:szCs w:val="24"/>
        </w:rPr>
      </w:pPr>
      <w:r w:rsidRPr="004B3F5F">
        <w:rPr>
          <w:rFonts w:ascii="Times New Roman" w:hAnsi="Times New Roman" w:cs="Times New Roman"/>
          <w:sz w:val="24"/>
          <w:szCs w:val="24"/>
        </w:rPr>
        <w:t xml:space="preserve">Cancer outcomes will be measured as county-level incident cancer rates (CDC, USCS) and cancer mortality (SEER). Primary adult outcomes will include colon and rectum, kidney and renal pelvis, ovarian, and stomach cancers, plus an aggregate measure for nitrate-associated cancer sites combined. Pediatric outcomes will include brain/CNS tumors, leukemias, and lymphomas, analyzed separately and, where needed for stability, in grouped categories. </w:t>
      </w:r>
    </w:p>
    <w:p w14:paraId="4D2013C2" w14:textId="77777777" w:rsidR="009732A6" w:rsidRPr="004B3F5F" w:rsidRDefault="009732A6" w:rsidP="009732A6">
      <w:pPr>
        <w:spacing w:after="80" w:line="245" w:lineRule="auto"/>
        <w:rPr>
          <w:rFonts w:ascii="Times New Roman" w:hAnsi="Times New Roman" w:cs="Times New Roman"/>
          <w:sz w:val="24"/>
          <w:szCs w:val="24"/>
        </w:rPr>
      </w:pPr>
      <w:r w:rsidRPr="004B3F5F">
        <w:rPr>
          <w:rFonts w:ascii="Times New Roman" w:hAnsi="Times New Roman" w:cs="Times New Roman"/>
          <w:sz w:val="24"/>
          <w:szCs w:val="24"/>
        </w:rPr>
        <w:t xml:space="preserve">Nitrogen exposure will be measured as total kilograms of nitrogen applied from commercial fertilizer and normalized. Alternative exposure metrics will include nitrogen per square mile, nitrogen per acre of cropland or agricultural land, county-standardized nitrogen, statewide percentile or quartile categories, and lagged exposure measures. Primary models will use standardized lagged nitrogen to improve comparability across cancer sites and to replicate the prior analytic framework. The alternative specification using nitrate water measures will follow the methods of Aim 1 (continuous and categorical measures of </w:t>
      </w:r>
      <w:proofErr w:type="gramStart"/>
      <w:r w:rsidRPr="004B3F5F">
        <w:rPr>
          <w:rFonts w:ascii="Times New Roman" w:hAnsi="Times New Roman" w:cs="Times New Roman"/>
          <w:sz w:val="24"/>
          <w:szCs w:val="24"/>
        </w:rPr>
        <w:t>water based</w:t>
      </w:r>
      <w:proofErr w:type="gramEnd"/>
      <w:r w:rsidRPr="004B3F5F">
        <w:rPr>
          <w:rFonts w:ascii="Times New Roman" w:hAnsi="Times New Roman" w:cs="Times New Roman"/>
          <w:sz w:val="24"/>
          <w:szCs w:val="24"/>
        </w:rPr>
        <w:t xml:space="preserve"> nitrate). </w:t>
      </w:r>
    </w:p>
    <w:p w14:paraId="62A2E5BF" w14:textId="77777777" w:rsidR="009732A6" w:rsidRPr="004B3F5F" w:rsidRDefault="009732A6" w:rsidP="009732A6">
      <w:pPr>
        <w:spacing w:after="80" w:line="245" w:lineRule="auto"/>
        <w:rPr>
          <w:rFonts w:ascii="Times New Roman" w:hAnsi="Times New Roman" w:cs="Times New Roman"/>
          <w:sz w:val="24"/>
          <w:szCs w:val="24"/>
        </w:rPr>
      </w:pPr>
      <w:r w:rsidRPr="004B3F5F">
        <w:rPr>
          <w:rFonts w:ascii="Times New Roman" w:hAnsi="Times New Roman" w:cs="Times New Roman"/>
          <w:sz w:val="24"/>
          <w:szCs w:val="24"/>
        </w:rPr>
        <w:t xml:space="preserve">In addition to controlling for calendar year and county fixed effects, which rule out bias from unobserved temporal and time-invariant county differences, each cancer specific analysis will explore the utility and feasibility of controlling for other important county-level control variables. For example, pediatric cancers likely will not have any relevant control variables, whereas adult colorectal cancer will likely include rate variables adjusting for obesity, smoking, and screening rates. </w:t>
      </w:r>
    </w:p>
    <w:p w14:paraId="1E54BC49" w14:textId="77777777" w:rsidR="009732A6" w:rsidRPr="004B3F5F" w:rsidRDefault="009732A6" w:rsidP="009732A6">
      <w:pPr>
        <w:pStyle w:val="Heading2"/>
        <w:spacing w:before="100" w:after="40"/>
        <w:rPr>
          <w:rFonts w:ascii="Times New Roman" w:hAnsi="Times New Roman" w:cs="Times New Roman"/>
          <w:sz w:val="24"/>
          <w:szCs w:val="24"/>
        </w:rPr>
      </w:pPr>
      <w:r w:rsidRPr="004B3F5F">
        <w:rPr>
          <w:rFonts w:ascii="Times New Roman" w:hAnsi="Times New Roman" w:cs="Times New Roman"/>
          <w:sz w:val="24"/>
          <w:szCs w:val="24"/>
        </w:rPr>
        <w:t>Design</w:t>
      </w:r>
    </w:p>
    <w:p w14:paraId="33C80593" w14:textId="77777777" w:rsidR="009732A6" w:rsidRPr="004B3F5F" w:rsidRDefault="009732A6" w:rsidP="009732A6">
      <w:pPr>
        <w:spacing w:after="80" w:line="245" w:lineRule="auto"/>
        <w:rPr>
          <w:rFonts w:ascii="Times New Roman" w:hAnsi="Times New Roman" w:cs="Times New Roman"/>
          <w:sz w:val="24"/>
          <w:szCs w:val="24"/>
        </w:rPr>
      </w:pPr>
      <w:r w:rsidRPr="004B3F5F">
        <w:rPr>
          <w:rFonts w:ascii="Times New Roman" w:hAnsi="Times New Roman" w:cs="Times New Roman"/>
          <w:sz w:val="24"/>
          <w:szCs w:val="24"/>
        </w:rPr>
        <w:t>The design is a population-based ecological panel analysis and replication-extension of prior work on nitrogen fertilizer pollution and infant Brain/CNS cancer. The replication component will restrict the analytic geography to Minnesota and adapt the previous county-level panel framework to the available Minnesota cancer files. The extension will broaden outcomes to additional nitrate-associated adult and pediatric cancers. The design is appropriate for identifying spatial-temporal associations and generating policy-relevant evidence, but it cannot assign individual exposure histories, account fully for residential mobility, or prove that nitrogen application caused individual cancer diagnoses.</w:t>
      </w:r>
    </w:p>
    <w:p w14:paraId="1B8AB611" w14:textId="77777777" w:rsidR="009732A6" w:rsidRPr="004B3F5F" w:rsidRDefault="009732A6" w:rsidP="009732A6">
      <w:pPr>
        <w:pStyle w:val="Heading2"/>
        <w:spacing w:before="100" w:after="40"/>
        <w:rPr>
          <w:rFonts w:ascii="Times New Roman" w:hAnsi="Times New Roman" w:cs="Times New Roman"/>
          <w:sz w:val="24"/>
          <w:szCs w:val="24"/>
        </w:rPr>
      </w:pPr>
      <w:r w:rsidRPr="004B3F5F">
        <w:rPr>
          <w:rFonts w:ascii="Times New Roman" w:hAnsi="Times New Roman" w:cs="Times New Roman"/>
          <w:sz w:val="24"/>
          <w:szCs w:val="24"/>
        </w:rPr>
        <w:t>Analysis</w:t>
      </w:r>
    </w:p>
    <w:p w14:paraId="33775F9A" w14:textId="77777777" w:rsidR="009732A6" w:rsidRPr="004B3F5F" w:rsidRDefault="009732A6" w:rsidP="009732A6">
      <w:pPr>
        <w:spacing w:after="80" w:line="245" w:lineRule="auto"/>
        <w:rPr>
          <w:rFonts w:ascii="Times New Roman" w:hAnsi="Times New Roman" w:cs="Times New Roman"/>
          <w:sz w:val="24"/>
          <w:szCs w:val="24"/>
        </w:rPr>
      </w:pPr>
      <w:r w:rsidRPr="004B3F5F">
        <w:rPr>
          <w:rFonts w:ascii="Times New Roman" w:hAnsi="Times New Roman" w:cs="Times New Roman"/>
          <w:sz w:val="24"/>
          <w:szCs w:val="24"/>
        </w:rPr>
        <w:t xml:space="preserve">First, counties will be grouped into quartiles based on nitrogen application. Then, cancer incidence trends will be analyzed by quartile. </w:t>
      </w:r>
      <w:proofErr w:type="spellStart"/>
      <w:r w:rsidRPr="004B3F5F">
        <w:rPr>
          <w:rFonts w:ascii="Times New Roman" w:hAnsi="Times New Roman" w:cs="Times New Roman"/>
          <w:sz w:val="24"/>
          <w:szCs w:val="24"/>
        </w:rPr>
        <w:t>Geomapping</w:t>
      </w:r>
      <w:proofErr w:type="spellEnd"/>
      <w:r w:rsidRPr="004B3F5F">
        <w:rPr>
          <w:rFonts w:ascii="Times New Roman" w:hAnsi="Times New Roman" w:cs="Times New Roman"/>
          <w:sz w:val="24"/>
          <w:szCs w:val="24"/>
        </w:rPr>
        <w:t xml:space="preserve"> analyses will visualize single variable (nitrogen) and bivariate (nitrogen + cancer). Tables will report exposure distributions, cancer counts, rates, and outcome stability by site and age group. </w:t>
      </w:r>
    </w:p>
    <w:p w14:paraId="059B5DFB" w14:textId="77777777" w:rsidR="009732A6" w:rsidRPr="004B3F5F" w:rsidRDefault="009732A6" w:rsidP="009732A6">
      <w:pPr>
        <w:spacing w:after="80" w:line="245" w:lineRule="auto"/>
        <w:rPr>
          <w:rFonts w:ascii="Times New Roman" w:hAnsi="Times New Roman" w:cs="Times New Roman"/>
          <w:sz w:val="24"/>
          <w:szCs w:val="24"/>
        </w:rPr>
      </w:pPr>
      <w:r w:rsidRPr="004B3F5F">
        <w:rPr>
          <w:rFonts w:ascii="Times New Roman" w:hAnsi="Times New Roman" w:cs="Times New Roman"/>
          <w:sz w:val="24"/>
          <w:szCs w:val="24"/>
        </w:rPr>
        <w:t xml:space="preserve">Primary regression analyses will estimate associations between lagged nitrogen exposure and county-level cancer incidence. For cancer outcomes, the preferred approach will be linear regression and Poisson regression with the county population at risk as an offset, robust standard errors, and fixed effects for county and calendar period </w:t>
      </w:r>
      <w:proofErr w:type="gramStart"/>
      <w:r w:rsidRPr="004B3F5F">
        <w:rPr>
          <w:rFonts w:ascii="Times New Roman" w:hAnsi="Times New Roman" w:cs="Times New Roman"/>
          <w:sz w:val="24"/>
          <w:szCs w:val="24"/>
        </w:rPr>
        <w:t>where</w:t>
      </w:r>
      <w:proofErr w:type="gramEnd"/>
      <w:r w:rsidRPr="004B3F5F">
        <w:rPr>
          <w:rFonts w:ascii="Times New Roman" w:hAnsi="Times New Roman" w:cs="Times New Roman"/>
          <w:sz w:val="24"/>
          <w:szCs w:val="24"/>
        </w:rPr>
        <w:t xml:space="preserve"> supported by data. For rare </w:t>
      </w:r>
      <w:r w:rsidRPr="004B3F5F">
        <w:rPr>
          <w:rFonts w:ascii="Times New Roman" w:hAnsi="Times New Roman" w:cs="Times New Roman"/>
          <w:sz w:val="24"/>
          <w:szCs w:val="24"/>
        </w:rPr>
        <w:lastRenderedPageBreak/>
        <w:t>pediatric outcomes, models may use binary county-period occurrence, generalized estimating equations, probit/logit specifications with population offsets. Effect estimates will be reported per standard-deviation increase in nitrogen exposure and across exposure categories to support interpretation. Analyses will be replicated with community water nitrate measure data.</w:t>
      </w:r>
    </w:p>
    <w:p w14:paraId="34712127" w14:textId="77777777" w:rsidR="009732A6" w:rsidRPr="004B3F5F" w:rsidRDefault="009732A6" w:rsidP="009732A6">
      <w:pPr>
        <w:spacing w:after="80" w:line="245" w:lineRule="auto"/>
        <w:rPr>
          <w:rFonts w:ascii="Times New Roman" w:hAnsi="Times New Roman" w:cs="Times New Roman"/>
          <w:sz w:val="24"/>
          <w:szCs w:val="24"/>
        </w:rPr>
      </w:pPr>
      <w:r w:rsidRPr="004B3F5F">
        <w:rPr>
          <w:rFonts w:ascii="Times New Roman" w:hAnsi="Times New Roman" w:cs="Times New Roman"/>
          <w:sz w:val="24"/>
          <w:szCs w:val="24"/>
        </w:rPr>
        <w:t>Robustness checks will evaluate exposure definition, timing, cancer site, age grouping, model family, population offset, influential counties, and aggregation window. The final report will distinguish primary findings from exploratory analyses and will explicitly discuss validity threats, including older exposure data, the indirect pathway from fertilizer application to drinking-water nitrate, unobserved confounding, multiple comparisons, small numbers, county-level exposure misclassification, and the difficulty of linking childhood or adult cancer latency to county-level agricultural nitrogen application.</w:t>
      </w:r>
    </w:p>
    <w:p w14:paraId="7311AD22" w14:textId="77777777" w:rsidR="009732A6" w:rsidRPr="004B3F5F" w:rsidRDefault="009732A6" w:rsidP="009732A6">
      <w:pPr>
        <w:spacing w:after="40"/>
        <w:ind w:left="288" w:hanging="288"/>
        <w:rPr>
          <w:rFonts w:ascii="Times New Roman" w:hAnsi="Times New Roman" w:cs="Times New Roman"/>
          <w:sz w:val="24"/>
          <w:szCs w:val="24"/>
        </w:rPr>
      </w:pPr>
    </w:p>
    <w:p w14:paraId="63C470BB" w14:textId="77777777" w:rsidR="009732A6" w:rsidRDefault="009732A6"/>
    <w:sectPr w:rsidR="009732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2A6"/>
    <w:rsid w:val="00244791"/>
    <w:rsid w:val="009732A6"/>
    <w:rsid w:val="00A6692C"/>
    <w:rsid w:val="00A76CAA"/>
    <w:rsid w:val="00CE4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FD8C8"/>
  <w15:chartTrackingRefBased/>
  <w15:docId w15:val="{AFD4DAD4-6A67-4ACC-BEDE-5ABF49ACB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2A6"/>
    <w:pPr>
      <w:spacing w:after="60" w:line="240" w:lineRule="auto"/>
    </w:pPr>
    <w:rPr>
      <w:rFonts w:ascii="Aptos" w:eastAsia="Aptos" w:hAnsi="Aptos"/>
      <w:kern w:val="0"/>
      <w:sz w:val="19"/>
      <w:szCs w:val="22"/>
      <w14:ligatures w14:val="none"/>
    </w:rPr>
  </w:style>
  <w:style w:type="paragraph" w:styleId="Heading1">
    <w:name w:val="heading 1"/>
    <w:basedOn w:val="Normal"/>
    <w:next w:val="Normal"/>
    <w:link w:val="Heading1Char"/>
    <w:uiPriority w:val="9"/>
    <w:qFormat/>
    <w:rsid w:val="009732A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732A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732A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732A6"/>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732A6"/>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732A6"/>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732A6"/>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732A6"/>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732A6"/>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3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2A6"/>
    <w:rPr>
      <w:rFonts w:eastAsiaTheme="majorEastAsia" w:cstheme="majorBidi"/>
      <w:color w:val="272727" w:themeColor="text1" w:themeTint="D8"/>
    </w:rPr>
  </w:style>
  <w:style w:type="paragraph" w:styleId="Title">
    <w:name w:val="Title"/>
    <w:basedOn w:val="Normal"/>
    <w:next w:val="Normal"/>
    <w:link w:val="TitleChar"/>
    <w:uiPriority w:val="10"/>
    <w:qFormat/>
    <w:rsid w:val="009732A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73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2A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73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2A6"/>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732A6"/>
    <w:rPr>
      <w:i/>
      <w:iCs/>
      <w:color w:val="404040" w:themeColor="text1" w:themeTint="BF"/>
    </w:rPr>
  </w:style>
  <w:style w:type="paragraph" w:styleId="ListParagraph">
    <w:name w:val="List Paragraph"/>
    <w:basedOn w:val="Normal"/>
    <w:uiPriority w:val="34"/>
    <w:qFormat/>
    <w:rsid w:val="009732A6"/>
    <w:pPr>
      <w:spacing w:after="160" w:line="278" w:lineRule="auto"/>
      <w:ind w:left="720"/>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9732A6"/>
    <w:rPr>
      <w:i/>
      <w:iCs/>
      <w:color w:val="0F4761" w:themeColor="accent1" w:themeShade="BF"/>
    </w:rPr>
  </w:style>
  <w:style w:type="paragraph" w:styleId="IntenseQuote">
    <w:name w:val="Intense Quote"/>
    <w:basedOn w:val="Normal"/>
    <w:next w:val="Normal"/>
    <w:link w:val="IntenseQuoteChar"/>
    <w:uiPriority w:val="30"/>
    <w:qFormat/>
    <w:rsid w:val="009732A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732A6"/>
    <w:rPr>
      <w:i/>
      <w:iCs/>
      <w:color w:val="0F4761" w:themeColor="accent1" w:themeShade="BF"/>
    </w:rPr>
  </w:style>
  <w:style w:type="character" w:styleId="IntenseReference">
    <w:name w:val="Intense Reference"/>
    <w:basedOn w:val="DefaultParagraphFont"/>
    <w:uiPriority w:val="32"/>
    <w:qFormat/>
    <w:rsid w:val="009732A6"/>
    <w:rPr>
      <w:b/>
      <w:bCs/>
      <w:smallCaps/>
      <w:color w:val="0F4761" w:themeColor="accent1" w:themeShade="BF"/>
      <w:spacing w:val="5"/>
    </w:rPr>
  </w:style>
  <w:style w:type="character" w:styleId="Hyperlink">
    <w:name w:val="Hyperlink"/>
    <w:basedOn w:val="DefaultParagraphFont"/>
    <w:uiPriority w:val="99"/>
    <w:unhideWhenUsed/>
    <w:rsid w:val="009732A6"/>
    <w:rPr>
      <w:color w:val="467886" w:themeColor="hyperlink"/>
      <w:u w:val="single"/>
    </w:rPr>
  </w:style>
  <w:style w:type="character" w:styleId="CommentReference">
    <w:name w:val="annotation reference"/>
    <w:basedOn w:val="DefaultParagraphFont"/>
    <w:uiPriority w:val="99"/>
    <w:semiHidden/>
    <w:unhideWhenUsed/>
    <w:rsid w:val="009732A6"/>
    <w:rPr>
      <w:sz w:val="16"/>
      <w:szCs w:val="16"/>
    </w:rPr>
  </w:style>
  <w:style w:type="paragraph" w:styleId="CommentText">
    <w:name w:val="annotation text"/>
    <w:basedOn w:val="Normal"/>
    <w:link w:val="CommentTextChar"/>
    <w:uiPriority w:val="99"/>
    <w:unhideWhenUsed/>
    <w:rsid w:val="009732A6"/>
    <w:rPr>
      <w:sz w:val="20"/>
      <w:szCs w:val="20"/>
    </w:rPr>
  </w:style>
  <w:style w:type="character" w:customStyle="1" w:styleId="CommentTextChar">
    <w:name w:val="Comment Text Char"/>
    <w:basedOn w:val="DefaultParagraphFont"/>
    <w:link w:val="CommentText"/>
    <w:uiPriority w:val="99"/>
    <w:rsid w:val="009732A6"/>
    <w:rPr>
      <w:rFonts w:ascii="Aptos" w:eastAsia="Aptos" w:hAnsi="Apto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Secondary%20questions%20will%20assess%20geographic%20clustering,%20exposure%20timing,%20model%20sensitivity,%20and%20whether%20findings%20are%20robust%20to%20alternative%20nitrogen%20definitions%20and%20cancer%20groupings." TargetMode="External"/><Relationship Id="rId4" Type="http://schemas.openxmlformats.org/officeDocument/2006/relationships/hyperlink" Target="https://link.springer.com/article/10.1007/s12672-026-0505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1135</Words>
  <Characters>6471</Characters>
  <Application>Microsoft Office Word</Application>
  <DocSecurity>0</DocSecurity>
  <Lines>53</Lines>
  <Paragraphs>15</Paragraphs>
  <ScaleCrop>false</ScaleCrop>
  <Company/>
  <LinksUpToDate>false</LinksUpToDate>
  <CharactersWithSpaces>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Semprini, Jason</dc:creator>
  <cp:keywords/>
  <dc:description/>
  <cp:lastModifiedBy>Semprini, Jason</cp:lastModifiedBy>
  <cp:revision>1</cp:revision>
  <dcterms:created xsi:type="dcterms:W3CDTF">2026-10-06T01:09:00Z</dcterms:created>
  <dcterms:modified xsi:type="dcterms:W3CDTF">2026-10-06T01:10:00Z</dcterms:modified>
</cp:coreProperties>
</file>