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75B1" w14:textId="77777777" w:rsidR="00B31B75" w:rsidRPr="00B31B75" w:rsidRDefault="00B31B75" w:rsidP="00B31B75">
      <w:r w:rsidRPr="00B31B75">
        <w:t>Workbook’s done — six sheets, 83 study-level estimates across 20 cancer sites, all pooling done in live formulas rather than pasted values.</w:t>
      </w:r>
    </w:p>
    <w:p w14:paraId="76F6DEF7" w14:textId="77777777" w:rsidR="00B31B75" w:rsidRPr="00B31B75" w:rsidRDefault="00B31B75" w:rsidP="00B31B75">
      <w:r w:rsidRPr="00B31B75">
        <w:rPr>
          <w:b/>
          <w:bCs/>
        </w:rPr>
        <w:t>The headline result is better than I expected for your argument.</w:t>
      </w:r>
      <w:r w:rsidRPr="00B31B75">
        <w:t xml:space="preserve"> Three defensible analytic choices applied to the same studies disagree about which cancer is the positive 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140"/>
        <w:gridCol w:w="2399"/>
      </w:tblGrid>
      <w:tr w:rsidR="00B31B75" w:rsidRPr="00B31B75" w14:paraId="59087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4977F" w14:textId="77777777" w:rsidR="00B31B75" w:rsidRPr="00B31B75" w:rsidRDefault="00B31B75" w:rsidP="00B31B75">
            <w:pPr>
              <w:rPr>
                <w:b/>
                <w:bCs/>
              </w:rPr>
            </w:pPr>
            <w:r w:rsidRPr="00B31B75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1C4E763" w14:textId="77777777" w:rsidR="00B31B75" w:rsidRPr="00B31B75" w:rsidRDefault="00B31B75" w:rsidP="00B31B75">
            <w:pPr>
              <w:rPr>
                <w:b/>
                <w:bCs/>
              </w:rPr>
            </w:pPr>
            <w:r w:rsidRPr="00B31B75">
              <w:rPr>
                <w:b/>
                <w:bCs/>
              </w:rPr>
              <w:t>Stomach</w:t>
            </w:r>
          </w:p>
        </w:tc>
        <w:tc>
          <w:tcPr>
            <w:tcW w:w="0" w:type="auto"/>
            <w:vAlign w:val="center"/>
            <w:hideMark/>
          </w:tcPr>
          <w:p w14:paraId="69ED8B5E" w14:textId="77777777" w:rsidR="00B31B75" w:rsidRPr="00B31B75" w:rsidRDefault="00B31B75" w:rsidP="00B31B75">
            <w:pPr>
              <w:rPr>
                <w:b/>
                <w:bCs/>
              </w:rPr>
            </w:pPr>
            <w:r w:rsidRPr="00B31B75">
              <w:rPr>
                <w:b/>
                <w:bCs/>
              </w:rPr>
              <w:t>Colorectal</w:t>
            </w:r>
          </w:p>
        </w:tc>
      </w:tr>
      <w:tr w:rsidR="00B31B75" w:rsidRPr="00B31B75" w14:paraId="2FBDB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F924" w14:textId="77777777" w:rsidR="00B31B75" w:rsidRPr="00B31B75" w:rsidRDefault="00B31B75" w:rsidP="00B31B75">
            <w:r w:rsidRPr="00B31B75">
              <w:t>Picetti’s published per-10 mg/L</w:t>
            </w:r>
          </w:p>
        </w:tc>
        <w:tc>
          <w:tcPr>
            <w:tcW w:w="0" w:type="auto"/>
            <w:vAlign w:val="center"/>
            <w:hideMark/>
          </w:tcPr>
          <w:p w14:paraId="2123A7DB" w14:textId="77777777" w:rsidR="00B31B75" w:rsidRPr="00B31B75" w:rsidRDefault="00B31B75" w:rsidP="00B31B75">
            <w:r w:rsidRPr="00B31B75">
              <w:rPr>
                <w:b/>
                <w:bCs/>
              </w:rPr>
              <w:t>1.91 (1.09–3.33)</w:t>
            </w:r>
            <w:r w:rsidRPr="00B31B75">
              <w:t xml:space="preserve"> sig.</w:t>
            </w:r>
          </w:p>
        </w:tc>
        <w:tc>
          <w:tcPr>
            <w:tcW w:w="0" w:type="auto"/>
            <w:vAlign w:val="center"/>
            <w:hideMark/>
          </w:tcPr>
          <w:p w14:paraId="6FEB44DD" w14:textId="77777777" w:rsidR="00B31B75" w:rsidRPr="00B31B75" w:rsidRDefault="00B31B75" w:rsidP="00B31B75">
            <w:r w:rsidRPr="00B31B75">
              <w:t>1.052 (0.995–1.111) ns</w:t>
            </w:r>
          </w:p>
        </w:tc>
      </w:tr>
      <w:tr w:rsidR="00B31B75" w:rsidRPr="00B31B75" w14:paraId="3F88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E68C" w14:textId="77777777" w:rsidR="00B31B75" w:rsidRPr="00B31B75" w:rsidRDefault="00B31B75" w:rsidP="00B31B75">
            <w:r w:rsidRPr="00B31B75">
              <w:t>Highest vs lowest, as reported</w:t>
            </w:r>
          </w:p>
        </w:tc>
        <w:tc>
          <w:tcPr>
            <w:tcW w:w="0" w:type="auto"/>
            <w:vAlign w:val="center"/>
            <w:hideMark/>
          </w:tcPr>
          <w:p w14:paraId="5B964C25" w14:textId="77777777" w:rsidR="00B31B75" w:rsidRPr="00B31B75" w:rsidRDefault="00B31B75" w:rsidP="00B31B75">
            <w:r w:rsidRPr="00B31B75">
              <w:rPr>
                <w:b/>
                <w:bCs/>
              </w:rPr>
              <w:t>1.15 (1.09–1.22)</w:t>
            </w:r>
            <w:r w:rsidRPr="00B31B75">
              <w:t xml:space="preserve"> sig.</w:t>
            </w:r>
          </w:p>
        </w:tc>
        <w:tc>
          <w:tcPr>
            <w:tcW w:w="0" w:type="auto"/>
            <w:vAlign w:val="center"/>
            <w:hideMark/>
          </w:tcPr>
          <w:p w14:paraId="2FF405A1" w14:textId="77777777" w:rsidR="00B31B75" w:rsidRPr="00B31B75" w:rsidRDefault="00B31B75" w:rsidP="00B31B75">
            <w:r w:rsidRPr="00B31B75">
              <w:rPr>
                <w:b/>
                <w:bCs/>
              </w:rPr>
              <w:t>1.18 (1.08–1.29)</w:t>
            </w:r>
            <w:r w:rsidRPr="00B31B75">
              <w:t xml:space="preserve"> sig.</w:t>
            </w:r>
          </w:p>
        </w:tc>
      </w:tr>
      <w:tr w:rsidR="00B31B75" w:rsidRPr="00B31B75" w14:paraId="0152E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B40F" w14:textId="77777777" w:rsidR="00B31B75" w:rsidRPr="00B31B75" w:rsidRDefault="00B31B75" w:rsidP="00B31B75">
            <w:r w:rsidRPr="00B31B75">
              <w:t>Rescaled to common 10 mg/L</w:t>
            </w:r>
          </w:p>
        </w:tc>
        <w:tc>
          <w:tcPr>
            <w:tcW w:w="0" w:type="auto"/>
            <w:vAlign w:val="center"/>
            <w:hideMark/>
          </w:tcPr>
          <w:p w14:paraId="1493ADC5" w14:textId="77777777" w:rsidR="00B31B75" w:rsidRPr="00B31B75" w:rsidRDefault="00B31B75" w:rsidP="00B31B75">
            <w:r w:rsidRPr="00B31B75">
              <w:t xml:space="preserve">1.30 (0.78–2.16) </w:t>
            </w:r>
            <w:r w:rsidRPr="00B31B75">
              <w:rPr>
                <w:b/>
                <w:bCs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007E1E09" w14:textId="77777777" w:rsidR="00B31B75" w:rsidRPr="00B31B75" w:rsidRDefault="00B31B75" w:rsidP="00B31B75">
            <w:r w:rsidRPr="00B31B75">
              <w:rPr>
                <w:b/>
                <w:bCs/>
              </w:rPr>
              <w:t>1.21 (1.05–1.39)</w:t>
            </w:r>
            <w:r w:rsidRPr="00B31B75">
              <w:t xml:space="preserve"> sig.</w:t>
            </w:r>
          </w:p>
        </w:tc>
      </w:tr>
    </w:tbl>
    <w:p w14:paraId="655A0504" w14:textId="77777777" w:rsidR="00B31B75" w:rsidRPr="00B31B75" w:rsidRDefault="00B31B75" w:rsidP="00B31B75">
      <w:r w:rsidRPr="00B31B75">
        <w:t xml:space="preserve">Picetti gets gastric and not colorectal. </w:t>
      </w:r>
      <w:proofErr w:type="spellStart"/>
      <w:r w:rsidRPr="00B31B75">
        <w:t>Standardise</w:t>
      </w:r>
      <w:proofErr w:type="spellEnd"/>
      <w:r w:rsidRPr="00B31B75">
        <w:t xml:space="preserve"> the same studies to a common dose and it reverses. That’s the instability argument demonstrated rather than asserted.</w:t>
      </w:r>
    </w:p>
    <w:p w14:paraId="497F59C2" w14:textId="77777777" w:rsidR="00B31B75" w:rsidRPr="00B31B75" w:rsidRDefault="00B31B75" w:rsidP="00B31B75">
      <w:r w:rsidRPr="00B31B75">
        <w:rPr>
          <w:b/>
          <w:bCs/>
        </w:rPr>
        <w:t>Two things I should flag, because they cut against you.</w:t>
      </w:r>
      <w:r w:rsidRPr="00B31B75">
        <w:t xml:space="preserve"> On the highest-vs-lowest scale both stomach and colorectal come out significantly elevated — more positive than Picetti’s published result. And the all-cancer pool is 1.12 (1.06–1.18), also significant. I’ve reported both prominently rather than burying them; the honest reading is that the </w:t>
      </w:r>
      <w:r w:rsidRPr="00B31B75">
        <w:rPr>
          <w:i/>
          <w:iCs/>
        </w:rPr>
        <w:t>direction</w:t>
      </w:r>
      <w:r w:rsidRPr="00B31B75">
        <w:t xml:space="preserve"> is mildly positive almost everywhere, and what collapses is the </w:t>
      </w:r>
      <w:r w:rsidRPr="00B31B75">
        <w:rPr>
          <w:i/>
          <w:iCs/>
        </w:rPr>
        <w:t>magnitude and significance</w:t>
      </w:r>
      <w:r w:rsidRPr="00B31B75">
        <w:t xml:space="preserve"> under any dose </w:t>
      </w:r>
      <w:proofErr w:type="spellStart"/>
      <w:r w:rsidRPr="00B31B75">
        <w:t>standardisation</w:t>
      </w:r>
      <w:proofErr w:type="spellEnd"/>
      <w:r w:rsidRPr="00B31B75">
        <w:t>.</w:t>
      </w:r>
    </w:p>
    <w:p w14:paraId="35A336E7" w14:textId="77777777" w:rsidR="00B31B75" w:rsidRPr="00B31B75" w:rsidRDefault="00B31B75" w:rsidP="00B31B75">
      <w:r w:rsidRPr="00B31B75">
        <w:rPr>
          <w:b/>
          <w:bCs/>
        </w:rPr>
        <w:t>The closing number is strong, though.</w:t>
      </w:r>
      <w:r w:rsidRPr="00B31B75">
        <w:t xml:space="preserve"> Applying these pooled multipliers to Iowa’s 2023 counts at 10% exposed gives </w:t>
      </w:r>
      <w:r w:rsidRPr="00B31B75">
        <w:rPr>
          <w:b/>
          <w:bCs/>
        </w:rPr>
        <w:t>133 attributable cases, 0.62% of all Iowa cancers</w:t>
      </w:r>
      <w:r w:rsidRPr="00B31B75">
        <w:t xml:space="preserve"> — arrived at from the association literature directly, with no causal assumption and no positive-studies-only rule, and landing inside EWG’s own 0.35–1.57% range. Two opposite methodologies, same order of magnitude.</w:t>
      </w:r>
    </w:p>
    <w:p w14:paraId="517E0413" w14:textId="77777777" w:rsidR="00B31B75" w:rsidRPr="00B31B75" w:rsidRDefault="00B31B75" w:rsidP="00B31B75">
      <w:r w:rsidRPr="00B31B75">
        <w:t xml:space="preserve">A few method notes: estimates come from Picetti’s Table 2, extracted by column coordinates rather than text conversion so each number stays attached to its study. Ecological and cross-sectional studies are excluded from the pools per the Cochrane protocol’s approach but kept in the data with a flag you can flip. De-duplication drops Chiu 2011, Yang 1997, and Weyer where a later IWHS analysis covers the same cohort. The exposed-fraction cell on the Iowa sheet is yellow and </w:t>
      </w:r>
      <w:proofErr w:type="gramStart"/>
      <w:r w:rsidRPr="00B31B75">
        <w:t>editable — 10</w:t>
      </w:r>
      <w:proofErr w:type="gramEnd"/>
      <w:r w:rsidRPr="00B31B75">
        <w:t>% is a placeholder, not a finding.</w:t>
      </w:r>
    </w:p>
    <w:p w14:paraId="6A6F23AB" w14:textId="77777777" w:rsidR="00B31B75" w:rsidRPr="00B31B75" w:rsidRDefault="00B31B75" w:rsidP="00B31B75">
      <w:pPr>
        <w:pBdr>
          <w:bottom w:val="single" w:sz="6" w:space="1" w:color="auto"/>
        </w:pBdr>
      </w:pPr>
      <w:r w:rsidRPr="00B31B75">
        <w:t xml:space="preserve">Two corrections to the brief fell out of this: Weyer’s NHL estimate is 0.71 (0.39–1.28), not 0.92 — 0.92 is his </w:t>
      </w:r>
      <w:r w:rsidRPr="00B31B75">
        <w:rPr>
          <w:i/>
          <w:iCs/>
        </w:rPr>
        <w:t>leukemia</w:t>
      </w:r>
      <w:r w:rsidRPr="00B31B75">
        <w:t xml:space="preserve"> figure, and the earlier sub-agent conflated them. Both instances are fixed, and the new re-pooling section is in Point 4.</w:t>
      </w:r>
    </w:p>
    <w:p w14:paraId="2E147DE0" w14:textId="368ED446" w:rsidR="00B31B75" w:rsidRDefault="00B31B75">
      <w:r>
        <w:lastRenderedPageBreak/>
        <w:t xml:space="preserve">Births </w:t>
      </w:r>
    </w:p>
    <w:p w14:paraId="7F845287" w14:textId="77777777" w:rsidR="00B31B75" w:rsidRPr="00B31B75" w:rsidRDefault="00B31B75" w:rsidP="00B31B75">
      <w:r w:rsidRPr="00B31B75">
        <w:t xml:space="preserve">Pooled </w:t>
      </w:r>
      <w:r w:rsidRPr="00B31B75">
        <w:rPr>
          <w:b/>
          <w:bCs/>
        </w:rPr>
        <w:t>1.47 (1.31–1.65), I² = 0%</w:t>
      </w:r>
      <w:r w:rsidRPr="00B31B75">
        <w:t xml:space="preserve">. Preterm overall pools to </w:t>
      </w:r>
      <w:r w:rsidRPr="00B31B75">
        <w:rPr>
          <w:b/>
          <w:bCs/>
        </w:rPr>
        <w:t>1.11 (1.06–1.16)</w:t>
      </w:r>
      <w:r w:rsidRPr="00B31B75">
        <w:t>, also I² = 0%. Against 50–87% heterogeneity across the cancer sites, that’s your strongest quantitative claim in either workbook.</w:t>
      </w:r>
    </w:p>
    <w:p w14:paraId="125F015A" w14:textId="77777777" w:rsidR="00B31B75" w:rsidRPr="00B31B75" w:rsidRDefault="00B31B75" w:rsidP="00B31B75">
      <w:r w:rsidRPr="00B31B75">
        <w:rPr>
          <w:b/>
          <w:bCs/>
        </w:rPr>
        <w:t>The six pooling variants</w:t>
      </w:r>
      <w:r w:rsidRPr="00B31B75">
        <w:t xml:space="preserve"> are all on the “Pooled comparisons” sheet. For preterm: three studies 1.110, SR alone 1.047, </w:t>
      </w:r>
      <w:proofErr w:type="spellStart"/>
      <w:r w:rsidRPr="00B31B75">
        <w:t>Semprini+SR</w:t>
      </w:r>
      <w:proofErr w:type="spellEnd"/>
      <w:r w:rsidRPr="00B31B75">
        <w:t xml:space="preserve"> 1.053, </w:t>
      </w:r>
      <w:proofErr w:type="spellStart"/>
      <w:r w:rsidRPr="00B31B75">
        <w:t>Montoya+SR</w:t>
      </w:r>
      <w:proofErr w:type="spellEnd"/>
      <w:r w:rsidRPr="00B31B75">
        <w:t xml:space="preserve"> 1.059, </w:t>
      </w:r>
      <w:proofErr w:type="spellStart"/>
      <w:r w:rsidRPr="00B31B75">
        <w:t>Sherris+SR</w:t>
      </w:r>
      <w:proofErr w:type="spellEnd"/>
      <w:r w:rsidRPr="00B31B75">
        <w:t xml:space="preserve"> 1.050, all combined 1.068.</w:t>
      </w:r>
    </w:p>
    <w:p w14:paraId="61C39A5B" w14:textId="77777777" w:rsidR="00B31B75" w:rsidRPr="00B31B75" w:rsidRDefault="00B31B75" w:rsidP="00B31B75">
      <w:r w:rsidRPr="00B31B75">
        <w:rPr>
          <w:b/>
          <w:bCs/>
        </w:rPr>
        <w:t>Three things that cut against you, all reported prominently:</w:t>
      </w:r>
    </w:p>
    <w:p w14:paraId="28058BE6" w14:textId="77777777" w:rsidR="00B31B75" w:rsidRPr="00B31B75" w:rsidRDefault="00B31B75" w:rsidP="00B31B75">
      <w:r w:rsidRPr="00B31B75">
        <w:t>Low birthweight is not a finding. Semprini 0.94, Montoya 1.17, I² = 87%. The pooled 1.05 (0.85–1.30) is an artefact of averaging a disagreement — don’t present it as a result.</w:t>
      </w:r>
    </w:p>
    <w:p w14:paraId="77D4AD2D" w14:textId="77777777" w:rsidR="00B31B75" w:rsidRPr="00B31B75" w:rsidRDefault="00B31B75" w:rsidP="00B31B75">
      <w:r w:rsidRPr="00B31B75">
        <w:t>The Sherris overlap was real, and the “Scale and overlap” sheet demonstrates it: counting Sherris twice leaves the point estimate at 1.470 but narrows the CI from 1.306–1.655 to 1.347–1.604. False precision, exactly the Cochrane criticism, now illustrated with your own data.</w:t>
      </w:r>
    </w:p>
    <w:p w14:paraId="35048126" w14:textId="77777777" w:rsidR="00B31B75" w:rsidRPr="00B31B75" w:rsidRDefault="00B31B75" w:rsidP="00B31B75">
      <w:r w:rsidRPr="00B31B75">
        <w:t xml:space="preserve">Rescaling Stayner’s per-1-mg/L estimates to the 5 mg/L contrast inflates very-low-birthweight from 1.17 to </w:t>
      </w:r>
      <w:r w:rsidRPr="00B31B75">
        <w:rPr>
          <w:b/>
          <w:bCs/>
        </w:rPr>
        <w:t>2.19</w:t>
      </w:r>
      <w:r w:rsidRPr="00B31B75">
        <w:t xml:space="preserve">. That’s the same log-linear extrapolation you’re </w:t>
      </w:r>
      <w:proofErr w:type="spellStart"/>
      <w:r w:rsidRPr="00B31B75">
        <w:t>criticising</w:t>
      </w:r>
      <w:proofErr w:type="spellEnd"/>
      <w:r w:rsidRPr="00B31B75">
        <w:t xml:space="preserve"> in Picetti’s gastric figure, so I flagged it loudly and kept the three-study pool free of any rescaling.</w:t>
      </w:r>
    </w:p>
    <w:p w14:paraId="08DB5491" w14:textId="77777777" w:rsidR="00B31B75" w:rsidRPr="00B31B75" w:rsidRDefault="00B31B75" w:rsidP="00B31B75">
      <w:r w:rsidRPr="00B31B75">
        <w:rPr>
          <w:b/>
          <w:bCs/>
        </w:rPr>
        <w:t>Judgement calls you should know before quoting:</w:t>
      </w:r>
      <w:r w:rsidRPr="00B31B75">
        <w:t xml:space="preserve"> Sherris reports 20–31 and 32–</w:t>
      </w:r>
      <w:proofErr w:type="gramStart"/>
      <w:r w:rsidRPr="00B31B75">
        <w:t>36 week</w:t>
      </w:r>
      <w:proofErr w:type="gramEnd"/>
      <w:r w:rsidRPr="00B31B75">
        <w:t xml:space="preserve"> strata, never a single &lt;37-week figure — mapping those onto the other two studies is the biggest assumption in the workbook. Semprini and Montoya report percentage-point effects, converted as 1 + (effect / baseline). Huang’s “9.33 ppm nitrate” doesn’t specify ion versus nitrogen; I assumed ion and flagged it.</w:t>
      </w:r>
    </w:p>
    <w:p w14:paraId="6147F645" w14:textId="77777777" w:rsidR="00B31B75" w:rsidRPr="00B31B75" w:rsidRDefault="00B31B75" w:rsidP="00B31B75">
      <w:r w:rsidRPr="00B31B75">
        <w:t xml:space="preserve">One note on your own paper, since an interviewer might: it’s a preprint, not yet peer reviewed, and its reference list cites a retracted earlier paper of yours on a related question. Both are in the Read </w:t>
      </w:r>
      <w:proofErr w:type="gramStart"/>
      <w:r w:rsidRPr="00B31B75">
        <w:t>me</w:t>
      </w:r>
      <w:proofErr w:type="gramEnd"/>
      <w:r w:rsidRPr="00B31B75">
        <w:t xml:space="preserve"> so you’re not caught flat-footed. Your handling looks clean to me — the retraction is labelled as such — but better to have the answer ready than to improvise it.</w:t>
      </w:r>
    </w:p>
    <w:p w14:paraId="5E88D336" w14:textId="77777777" w:rsidR="00B31B75" w:rsidRDefault="00B31B75"/>
    <w:sectPr w:rsidR="00B3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75"/>
    <w:rsid w:val="00244791"/>
    <w:rsid w:val="004110FE"/>
    <w:rsid w:val="00A6692C"/>
    <w:rsid w:val="00B31B75"/>
    <w:rsid w:val="00CE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0FF8"/>
  <w15:chartTrackingRefBased/>
  <w15:docId w15:val="{A3FCEA9A-C97D-4CDC-A1A1-06F2433E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Semprini, Jason</dc:creator>
  <cp:keywords/>
  <dc:description/>
  <cp:lastModifiedBy>Semprini, Jason</cp:lastModifiedBy>
  <cp:revision>1</cp:revision>
  <dcterms:created xsi:type="dcterms:W3CDTF">2026-10-21T02:55:00Z</dcterms:created>
  <dcterms:modified xsi:type="dcterms:W3CDTF">2026-10-21T02:55:00Z</dcterms:modified>
</cp:coreProperties>
</file>