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Technical appendix: methods</w:t>
      </w:r>
    </w:p>
    <w:p>
      <w:pPr/>
      <w:r>
        <w:rPr>
          <w:b/>
        </w:rPr>
        <w:t xml:space="preserve">Multiplier calculation and meta-analysis</w:t>
      </w:r>
      <w:r>
        <w:t xml:space="preserve"> · </w:t>
      </w:r>
      <w:r>
        <w:t xml:space="preserve">Oct 21, 2026</w:t>
      </w:r>
      <w:r>
        <w:t xml:space="preserve"> · </w:t>
      </w:r>
      <w:r>
        <w:t xml:space="preserve">@Jason Semprini</w:t>
      </w:r>
    </w:p>
    <w:p>
      <w:pPr>
        <w:pStyle w:val="Heading2"/>
      </w:pPr>
      <w:r>
        <w:t xml:space="preserve">1. Scope</w:t>
      </w:r>
    </w:p>
    <w:p>
      <w:pPr/>
      <w:r>
        <w:t xml:space="preserve">This appendix documents the methods behind two workbooks: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Workbook</w:t>
            </w:r>
          </w:p>
        </w:tc>
        <w:tc>
          <w:tcPr>
            <w:tcW w:w="4680" w:type="dxa"/>
            <w:shd w:val="clear" w:color="auto" w:fill="F2F2F2"/>
          </w:tcPr>
          <w:p>
            <w:pPr/>
            <w:r>
              <w:t xml:space="preserve">Contents</w:t>
            </w:r>
          </w:p>
        </w:tc>
      </w:tr>
      <w:tr>
        <w:tc>
          <w:tcPr>
            <w:tcW w:w="4680" w:type="dxa"/>
          </w:tcPr>
          <w:p>
            <w:pPr/>
            <w:r>
              <w:rPr>
                <w:rStyle w:val="CodeChar"/>
              </w:rPr>
              <w:t xml:space="preserve">Nitrate_cancer_multipliers.xlsx</w:t>
            </w:r>
          </w:p>
        </w:tc>
        <w:tc>
          <w:tcPr>
            <w:tcW w:w="4680" w:type="dxa"/>
          </w:tcPr>
          <w:p>
            <w:pPr/>
            <w:r>
              <w:t xml:space="preserve">83 study-level estimates across 20 cancer sites, with pooled multipliers by site, a dose-standardised variant, an all-cancer demonstration pool, and an Iowa attributable-fraction illustration.</w:t>
            </w:r>
          </w:p>
        </w:tc>
      </w:tr>
      <w:tr>
        <w:tc>
          <w:tcPr>
            <w:tcW w:w="4680" w:type="dxa"/>
          </w:tcPr>
          <w:p>
            <w:pPr/>
            <w:r>
              <w:rPr>
                <w:rStyle w:val="CodeChar"/>
              </w:rPr>
              <w:t xml:space="preserve">Nitrate_birth_outcome_multipliers.xlsx</w:t>
            </w:r>
          </w:p>
        </w:tc>
        <w:tc>
          <w:tcPr>
            <w:tcW w:w="4680" w:type="dxa"/>
          </w:tcPr>
          <w:p>
            <w:pPr/>
            <w:r>
              <w:t xml:space="preserve">28 estimates across 9 birth and childhood outcomes from four sources, with six pooling variants per outcome.</w:t>
            </w:r>
          </w:p>
        </w:tc>
      </w:tr>
    </w:tbl>
    <w:p>
      <w:pPr/>
      <w:r>
        <w:t xml:space="preserve">Throughout, </w:t>
      </w:r>
      <w:r>
        <w:rPr>
          <w:b/>
        </w:rPr>
        <w:t xml:space="preserve">multiplier</w:t>
      </w:r>
      <w:r>
        <w:t xml:space="preserve"> means the ratio measure a study reported for its highest drinking-water nitrate exposure group relative to its lowest: a relative risk, odds ratio, hazard ratio, standardised incidence ratio or incidence rate ratio. A multiplier of 1.20 means the most-exposed group in that study had 20% higher risk or odds than the least-exposed group </w:t>
      </w:r>
      <w:r>
        <w:rPr>
          <w:i/>
        </w:rPr>
        <w:t xml:space="preserve">in that study</w:t>
      </w:r>
      <w:r>
        <w:t xml:space="preserve">. These are associations from observational research. Nothing in either workbook establishes causation, and the pooled values inherit every bias present in the studies that feed them.</w:t>
      </w:r>
    </w:p>
    <w:p>
      <w:pPr/>
      <w:r>
        <w:t xml:space="preserve">Both workbooks implement every calculation in worksheet formulas rather than pasted values, so they recalculate when an input or an inclusion flag changes.</w:t>
      </w:r>
    </w:p>
    <w:p>
      <w:pPr>
        <w:pStyle w:val="Heading2"/>
      </w:pPr>
      <w:r>
        <w:t xml:space="preserve">2. Source data and extraction</w:t>
      </w:r>
    </w:p>
    <w:p>
      <w:pPr>
        <w:pStyle w:val="Heading3"/>
      </w:pPr>
      <w:r>
        <w:t xml:space="preserve">Cancer workbook</w:t>
      </w:r>
    </w:p>
    <w:p>
      <w:pPr/>
      <w:r>
        <w:t xml:space="preserve">All study-level estimates come from </w:t>
      </w:r>
      <w:r>
        <w:rPr>
          <w:b/>
        </w:rPr>
        <w:t xml:space="preserve">Table 2 of Picetti et al. 2022</w:t>
      </w:r>
      <w:r>
        <w:t xml:space="preserve">, the most comprehensive published tabulation of drinking-water nitrate cancer studies (60 cancer studies, 17 sites, PROSPERO CRD42020186945).</w:t>
      </w:r>
    </w:p>
    <w:p>
      <w:pPr/>
      <w:r>
        <w:t xml:space="preserve">That table runs across ten PDF pages in a seven-column layout, and converted text interleaves the columns, which detaches estimates from the studies they belong to. Extraction was therefore done by </w:t>
      </w:r>
      <w:r>
        <w:rPr>
          <w:b/>
        </w:rPr>
        <w:t xml:space="preserve">column coordinate</w:t>
      </w:r>
      <w:r>
        <w:t xml:space="preserve"> rather than by reading converted text:</w:t>
      </w:r>
    </w:p>
    <w:p>
      <w:pPr>
        <w:pStyle w:val="ListParagraph"/>
        <w:numPr>
          <w:ilvl w:val="0"/>
          <w:numId w:val="2"/>
        </w:numPr>
      </w:pPr>
      <w:r>
        <w:t xml:space="preserve">Header words (</w:t>
      </w:r>
      <w:r>
        <w:rPr>
          <w:rStyle w:val="CodeChar"/>
        </w:rPr>
        <w:t xml:space="preserve">Type</w:t>
      </w:r>
      <w:r>
        <w:t xml:space="preserve">, </w:t>
      </w:r>
      <w:r>
        <w:rPr>
          <w:rStyle w:val="CodeChar"/>
        </w:rPr>
        <w:t xml:space="preserve">Reference</w:t>
      </w:r>
      <w:r>
        <w:t xml:space="preserve">, </w:t>
      </w:r>
      <w:r>
        <w:rPr>
          <w:rStyle w:val="CodeChar"/>
        </w:rPr>
        <w:t xml:space="preserve">Design</w:t>
      </w:r>
      <w:r>
        <w:t xml:space="preserve">, </w:t>
      </w:r>
      <w:r>
        <w:rPr>
          <w:rStyle w:val="CodeChar"/>
        </w:rPr>
        <w:t xml:space="preserve">Adjustment</w:t>
      </w:r>
      <w:r>
        <w:t xml:space="preserve">, </w:t>
      </w:r>
      <w:r>
        <w:rPr>
          <w:rStyle w:val="CodeChar"/>
        </w:rPr>
        <w:t xml:space="preserve">Location</w:t>
      </w:r>
      <w:r>
        <w:t xml:space="preserve">, </w:t>
      </w:r>
      <w:r>
        <w:rPr>
          <w:rStyle w:val="CodeChar"/>
        </w:rPr>
        <w:t xml:space="preserve">Exposure</w:t>
      </w:r>
      <w:r>
        <w:t xml:space="preserve">, </w:t>
      </w:r>
      <w:r>
        <w:rPr>
          <w:rStyle w:val="CodeChar"/>
        </w:rPr>
        <w:t xml:space="preserve">Findings</w:t>
      </w:r>
      <w:r>
        <w:t xml:space="preserve">) were located on each table page with </w:t>
      </w:r>
      <w:r>
        <w:rPr>
          <w:rStyle w:val="CodeChar"/>
        </w:rPr>
        <w:t xml:space="preserve">pdfplumber</w:t>
      </w:r>
      <w:r>
        <w:t xml:space="preserve"> to establish x-boundaries. These proved identical across all ten pages: 44, 111, 191, 257, 357, 420, 487 points.</w:t>
      </w:r>
    </w:p>
    <w:p>
      <w:pPr>
        <w:pStyle w:val="ListParagraph"/>
        <w:numPr>
          <w:ilvl w:val="0"/>
          <w:numId w:val="2"/>
        </w:numPr>
      </w:pPr>
      <w:r>
        <w:t xml:space="preserve">Every word was assigned to a column by its left edge, and to a line by its vertical position.</w:t>
      </w:r>
    </w:p>
    <w:p>
      <w:pPr>
        <w:pStyle w:val="ListParagraph"/>
        <w:numPr>
          <w:ilvl w:val="0"/>
          <w:numId w:val="2"/>
        </w:numPr>
      </w:pPr>
      <w:r>
        <w:t xml:space="preserve">Records were assembled by carrying the cancer-site and reference labels forward across the multi-line rows.</w:t>
      </w:r>
    </w:p>
    <w:p>
      <w:pPr>
        <w:pStyle w:val="ListParagraph"/>
        <w:numPr>
          <w:ilvl w:val="0"/>
          <w:numId w:val="2"/>
        </w:numPr>
      </w:pPr>
      <w:r>
        <w:t xml:space="preserve">The resulting 73 raw records were read and hand-corrected into 83 analysis rows, splitting records the parser had merged (for example Yang 1997 with Yang 1998, and van Loon 1997 with van Loon 1998) and separating sub-site results reported in one cell.</w:t>
      </w:r>
    </w:p>
    <w:p>
      <w:pPr/>
      <w:r>
        <w:t xml:space="preserve">The extraction was checked against Picetti's own Table 1 study counts. Colorectal (15), esophagus (4), pancreas (4), kidney (4), breast (3), leukemia (3), ovary (2) and prostate (2) match exactly. Gastric is 11 against Picetti's 13, because two gastric studies report a regression coefficient rather than a ratio and cannot carry a multiplier. Bladder is 7 against 8 and brain 9 against 10, where a cell was too garbled to transcribe safely; both omissions are noted in the workbook.</w:t>
      </w:r>
    </w:p>
    <w:p>
      <w:pPr/>
      <w:r>
        <w:t xml:space="preserve">Published pooled estimates quoted for comparison were read from Picetti et al. 2022, Essien et al. 2022, and Temkin et al. 2019. Iowa incidence counts are 2023 figures from the uploaded </w:t>
      </w:r>
      <w:r>
        <w:rPr>
          <w:rStyle w:val="CodeChar"/>
        </w:rPr>
        <w:t xml:space="preserve">3-ewg.xlsx</w:t>
      </w:r>
      <w:r>
        <w:t xml:space="preserve"> extract.</w:t>
      </w:r>
    </w:p>
    <w:p>
      <w:pPr>
        <w:pStyle w:val="Heading3"/>
      </w:pPr>
      <w:r>
        <w:t xml:space="preserve">Birth-outcome workbook</w:t>
      </w:r>
    </w:p>
    <w:p>
      <w:pPr/>
      <w:r>
        <w:t xml:space="preserve">The four sources are short enough to read directly, so estimates were transcribed by hand from the results tables rather than parsed:</w:t>
      </w:r>
    </w:p>
    <w:p>
      <w:pPr>
        <w:pStyle w:val="ListParagraph"/>
        <w:numPr>
          <w:ilvl w:val="0"/>
          <w:numId w:val="3"/>
        </w:numPr>
      </w:pPr>
      <w:r>
        <w:rPr>
          <w:b/>
        </w:rPr>
        <w:t xml:space="preserve">Semprini 2026</w:t>
      </w:r>
      <w:r>
        <w:t xml:space="preserve"> (medRxiv preprint, Iowa): Tables 1, 2 and 4.</w:t>
      </w:r>
    </w:p>
    <w:p>
      <w:pPr>
        <w:pStyle w:val="ListParagraph"/>
        <w:numPr>
          <w:ilvl w:val="0"/>
          <w:numId w:val="3"/>
        </w:numPr>
      </w:pPr>
      <w:r>
        <w:rPr>
          <w:b/>
        </w:rPr>
        <w:t xml:space="preserve">Montoya 2025</w:t>
      </w:r>
      <w:r>
        <w:t xml:space="preserve"> (</w:t>
      </w:r>
      <w:r>
        <w:rPr>
          <w:i/>
        </w:rPr>
        <w:t xml:space="preserve">J Environ Econ Manage</w:t>
      </w:r>
      <w:r>
        <w:t xml:space="preserve"> 133:103197, California): Tables 1 and 2, Panel B, full-gestation IV specification.</w:t>
      </w:r>
    </w:p>
    <w:p>
      <w:pPr>
        <w:pStyle w:val="ListParagraph"/>
        <w:numPr>
          <w:ilvl w:val="0"/>
          <w:numId w:val="3"/>
        </w:numPr>
      </w:pPr>
      <w:r>
        <w:rPr>
          <w:b/>
        </w:rPr>
        <w:t xml:space="preserve">Sherris et al. 2021</w:t>
      </w:r>
      <w:r>
        <w:t xml:space="preserve"> (</w:t>
      </w:r>
      <w:r>
        <w:rPr>
          <w:i/>
        </w:rPr>
        <w:t xml:space="preserve">Environ Health Perspect</w:t>
      </w:r>
      <w:r>
        <w:t xml:space="preserve"> 129:057001, California): Table 3.</w:t>
      </w:r>
    </w:p>
    <w:p>
      <w:pPr>
        <w:pStyle w:val="ListParagraph"/>
        <w:numPr>
          <w:ilvl w:val="0"/>
          <w:numId w:val="3"/>
        </w:numPr>
      </w:pPr>
      <w:r>
        <w:rPr>
          <w:b/>
        </w:rPr>
        <w:t xml:space="preserve">Clemmensen et al. 2023</w:t>
      </w:r>
      <w:r>
        <w:t xml:space="preserve"> (</w:t>
      </w:r>
      <w:r>
        <w:rPr>
          <w:i/>
        </w:rPr>
        <w:t xml:space="preserve">Curr Environ Health Rep</w:t>
      </w:r>
      <w:r>
        <w:t xml:space="preserve"> 10:250-263): Table 1, which tabulates the 13 studies in the review. The review reports </w:t>
      </w:r>
      <w:r>
        <w:rPr>
          <w:b/>
        </w:rPr>
        <w:t xml:space="preserve">no pooled estimates of its own</w:t>
      </w:r>
      <w:r>
        <w:t xml:space="preserve"> — it is a narrative synthesis. Every "SR evidence base" figure in the workbook was pooled by me from the individual studies the review tabulates, and should not be attributed to its authors.</w:t>
      </w:r>
    </w:p>
    <w:p>
      <w:pPr>
        <w:pStyle w:val="Heading2"/>
      </w:pPr>
      <w:r>
        <w:t xml:space="preserve">3. From reported statistic to multiplier</w:t>
      </w:r>
    </w:p>
    <w:p>
      <w:pPr>
        <w:pStyle w:val="Heading3"/>
      </w:pPr>
      <w:r>
        <w:t xml:space="preserve">Ratio measures</w:t>
      </w:r>
    </w:p>
    <w:p>
      <w:pPr/>
      <w:r>
        <w:t xml:space="preserve">Odds ratios, relative risks, hazard ratios, standardised incidence ratios and incidence rate ratios are treated as interchangeable estimates of the same underlying multiplier. This is the rare-outcome approximation, and it is what Picetti did explicitly: </w:t>
      </w:r>
      <w:r>
        <w:rPr>
          <w:i/>
        </w:rPr>
        <w:t xml:space="preserve">"ORs, RRs, HRs and rate ratios were considered approximately equal because absolute cancer risks are small."</w:t>
      </w:r>
    </w:p>
    <w:p>
      <w:pPr/>
      <w:r>
        <w:t xml:space="preserve">The approximation is sound for the cancer sites, where incidence is well under 1% a year. It is weaker for the birth outcomes, where baseline risk is 7-8% for preterm birth. At that prevalence an odds ratio modestly overstates the corresponding risk ratio: Sherris's OR of 1.08 corresponds to a risk ratio of roughly 1.07. The effect is small relative to the confidence intervals and does not change any conclusion, but Sherris's contribution to the preterm pool is very slightly overweighted in the direction of effect.</w:t>
      </w:r>
    </w:p>
    <w:p>
      <w:pPr>
        <w:pStyle w:val="Heading3"/>
      </w:pPr>
      <w:r>
        <w:t xml:space="preserve">Linear probability model estimates</w:t>
      </w:r>
    </w:p>
    <w:p>
      <w:pPr/>
      <w:r>
        <w:t xml:space="preserve">Semprini and Montoya are economics-style analyses reporting </w:t>
      </w:r>
      <w:r>
        <w:rPr>
          <w:b/>
        </w:rPr>
        <w:t xml:space="preserve">average marginal effects in percentage points</w:t>
      </w:r>
      <w:r>
        <w:t xml:space="preserve">, not ratios. These were converted as</w:t>
      </w:r>
    </w:p>
    <w:p>
      <w:pPr>
        <w:pStyle w:val="Code"/>
      </w:pPr>
      <w:bookmarkStart w:id="1" w:name="bongo_lang_latex_1"/>
      <w:bookmarkEnd w:id="1"/>
      <w:r>
        <w:t xml:space="preserve">\widehat{RR} = 1 + \frac{\hat{\beta}}{\bar{p}}</w:t>
      </w:r>
    </w:p>
    <w:p>
      <w:pPr/>
      <w:r>
        <w:t xml:space="preserve">where β-hat is the marginal effect in percentage points and p-bar is the baseline outcome rate in percent, taken from each paper's own descriptive table. The confidence limits are transformed identically, substituting the lower and upper limits of β for β-hat.</w:t>
      </w:r>
    </w:p>
    <w:p>
      <w:pPr/>
      <w:r>
        <w:t xml:space="preserve">Two properties of this conversion matter:</w:t>
      </w:r>
    </w:p>
    <w:p>
      <w:pPr>
        <w:pStyle w:val="ListParagraph"/>
        <w:numPr>
          <w:ilvl w:val="0"/>
          <w:numId w:val="4"/>
        </w:numPr>
      </w:pPr>
      <w:r>
        <w:t xml:space="preserve">It is </w:t>
      </w:r>
      <w:r>
        <w:rPr>
          <w:b/>
        </w:rPr>
        <w:t xml:space="preserve">exact, not an approximation</w:t>
      </w:r>
      <w:r>
        <w:t xml:space="preserve">, given p-bar. The transformation is affine in β, so the interval retains its nominal coverage for the multiplier under the same model that produced β.</w:t>
      </w:r>
    </w:p>
    <w:p>
      <w:pPr>
        <w:pStyle w:val="ListParagraph"/>
        <w:numPr>
          <w:ilvl w:val="0"/>
          <w:numId w:val="4"/>
        </w:numPr>
      </w:pPr>
      <w:r>
        <w:t xml:space="preserve">It treats p-bar as </w:t>
      </w:r>
      <w:r>
        <w:rPr>
          <w:b/>
        </w:rPr>
        <w:t xml:space="preserve">known without error</w:t>
      </w:r>
      <w:r>
        <w:t xml:space="preserve">. The baseline rate is itself estimated from the sample, so the intervals are very slightly narrower than they should be. With samples of 113,328 and 338,962 the baseline is estimated precisely enough that this is negligible.</w:t>
      </w:r>
    </w:p>
    <w:p>
      <w:pPr/>
      <w:r>
        <w:t xml:space="preserve">Worked example, Semprini's very preterm birth estimate: β-hat = +0.526 percentage points, 95% CI 0.079 to 0.973, baseline rate 1.14%. Multiplier = 1 + 0.526/1.14 = </w:t>
      </w:r>
      <w:r>
        <w:rPr>
          <w:b/>
        </w:rPr>
        <w:t xml:space="preserve">1.461</w:t>
      </w:r>
      <w:r>
        <w:t xml:space="preserve">, CI 1 + 0.079/1.14 = 1.069 to 1 + 0.973/1.14 = 1.854. This reproduces the paper's own stated "46.2% relative increase".</w:t>
      </w:r>
    </w:p>
    <w:p>
      <w:pPr>
        <w:pStyle w:val="Heading3"/>
      </w:pPr>
      <w:r>
        <w:t xml:space="preserve">Continuous outcomes</w:t>
      </w:r>
    </w:p>
    <w:p>
      <w:pPr/>
      <w:r>
        <w:t xml:space="preserve">Birth weight in grams has no ratio form. Montoya's −15.3 g and Coffman 2021's −9.7 g are reported on a separate sheet and are excluded from every pool.</w:t>
      </w:r>
    </w:p>
    <w:p>
      <w:pPr>
        <w:pStyle w:val="Heading2"/>
      </w:pPr>
      <w:r>
        <w:t xml:space="preserve">4. Variance and the pooling model</w:t>
      </w:r>
    </w:p>
    <w:p>
      <w:pPr>
        <w:pStyle w:val="Heading3"/>
      </w:pPr>
      <w:r>
        <w:t xml:space="preserve">Standard errors</w:t>
      </w:r>
    </w:p>
    <w:p>
      <w:pPr/>
      <w:r>
        <w:t xml:space="preserve">No study reports a standard error for its ratio estimate, so each is recovered from the published confidence interval on the log scale:</w:t>
      </w:r>
    </w:p>
    <w:p>
      <w:pPr>
        <w:pStyle w:val="Code"/>
      </w:pPr>
      <w:bookmarkStart w:id="2" w:name="bongo_lang_latex_2"/>
      <w:bookmarkEnd w:id="2"/>
      <w:r>
        <w:t xml:space="preserve">SE_i = \frac{\ln(UCL_i) - \ln(LCL_i)}{2 \times 1.959964}</w:t>
      </w:r>
    </w:p>
    <w:p>
      <w:pPr/>
      <w:r>
        <w:t xml:space="preserve">This assumes the published interval is a symmetric Wald interval on the log scale, which is how essentially all of these studies construct them. Where a paper reported an asymmetric or exact interval the recovered SE is approximate.</w:t>
      </w:r>
    </w:p>
    <w:p>
      <w:pPr>
        <w:pStyle w:val="Heading3"/>
      </w:pPr>
      <w:r>
        <w:t xml:space="preserve">DerSimonian-Laird random effects</w:t>
      </w:r>
    </w:p>
    <w:p>
      <w:pPr/>
      <w:r>
        <w:t xml:space="preserve">All pooling uses the DerSimonian-Laird random-effects estimator on the natural log scale. A random-effects model is appropriate here because the studies differ in population, design, exposure assessment and confounder control, so they are not estimating one common parameter.</w:t>
      </w:r>
    </w:p>
    <w:p>
      <w:pPr/>
      <w:r>
        <w:t xml:space="preserve">With y-i = ln(multiplier) and w-i = 1/SE-i², the fixed-effect mean and Cochran's Q are</w:t>
      </w:r>
    </w:p>
    <w:p>
      <w:pPr>
        <w:pStyle w:val="Code"/>
      </w:pPr>
      <w:bookmarkStart w:id="3" w:name="bongo_lang_latex_3"/>
      <w:bookmarkEnd w:id="3"/>
      <w:r>
        <w:t xml:space="preserve">\hat{\theta}_{FE} = \frac{\sum w_i y_i}{\sum w_i}, \qquad Q = \sum w_i \left(y_i - \hat{\theta}_{FE}\right)^2</w:t>
      </w:r>
    </w:p>
    <w:p>
      <w:pPr/>
      <w:r>
        <w:t xml:space="preserve">The between-study variance follows from Q and a scaling constant C:</w:t>
      </w:r>
    </w:p>
    <w:p>
      <w:pPr>
        <w:pStyle w:val="Code"/>
      </w:pPr>
      <w:bookmarkStart w:id="4" w:name="bongo_lang_latex_4"/>
      <w:bookmarkEnd w:id="4"/>
      <w:r>
        <w:t xml:space="preserve">C = \sum w_i - \frac{\sum w_i^2}{\sum w_i}, \qquad \hat{\tau}^2 = \max\left(0,\ \frac{Q - (k-1)}{C}\right)</w:t>
      </w:r>
    </w:p>
    <w:p>
      <w:pPr/>
      <w:r>
        <w:t xml:space="preserve">Random-effects weights, the pooled estimate and its standard error are then</w:t>
      </w:r>
    </w:p>
    <w:p>
      <w:pPr>
        <w:pStyle w:val="Code"/>
      </w:pPr>
      <w:bookmarkStart w:id="5" w:name="bongo_lang_latex_5"/>
      <w:bookmarkEnd w:id="5"/>
      <w:r>
        <w:t xml:space="preserve">w_i^{*} = \frac{1}{SE_i^2 + \hat{\tau}^2}, \qquad \hat{\mu} = \frac{\sum w_i^{*} y_i}{\sum w_i^{*}}, \qquad SE(\hat{\mu}) = \sqrt{\frac{1}{\sum w_i^{*}}}</w:t>
      </w:r>
    </w:p>
    <w:p>
      <w:pPr/>
      <w:r>
        <w:t xml:space="preserve">and the reported pooled multiplier and interval are</w:t>
      </w:r>
    </w:p>
    <w:p>
      <w:pPr>
        <w:pStyle w:val="Code"/>
      </w:pPr>
      <w:bookmarkStart w:id="6" w:name="bongo_lang_latex_6"/>
      <w:bookmarkEnd w:id="6"/>
      <w:r>
        <w:t xml:space="preserve">\exp(\hat{\mu}), \qquad \exp\left(\hat{\mu} \pm 1.959964 \times SE(\hat{\mu})\right)</w:t>
      </w:r>
    </w:p>
    <w:p>
      <w:pPr/>
      <w:r>
        <w:t xml:space="preserve">Heterogeneity is reported as</w:t>
      </w:r>
    </w:p>
    <w:p>
      <w:pPr>
        <w:pStyle w:val="Code"/>
      </w:pPr>
      <w:bookmarkStart w:id="7" w:name="bongo_lang_latex_7"/>
      <w:bookmarkEnd w:id="7"/>
      <w:r>
        <w:t xml:space="preserve">I^2 = \max\left(0,\ \frac{Q - (k-1)}{Q}\right)</w:t>
      </w:r>
    </w:p>
    <w:p>
      <w:pPr>
        <w:pStyle w:val="Heading3"/>
      </w:pPr>
      <w:r>
        <w:t xml:space="preserve">Single-study rows</w:t>
      </w:r>
    </w:p>
    <w:p>
      <w:pPr/>
      <w:r>
        <w:t xml:space="preserve">Where a site or outcome has one eligible study, the "pooled" row simply reproduces that study's estimate. Q, τ² and I² are undefined and are returned as zero or blank by guard conditions in the formulas. Treat any pooled row with k = 1 as a single study, not as evidence of consistency.</w:t>
      </w:r>
    </w:p>
    <w:p>
      <w:pPr>
        <w:pStyle w:val="Heading3"/>
      </w:pPr>
      <w:r>
        <w:t xml:space="preserve">What is not done</w:t>
      </w:r>
    </w:p>
    <w:p>
      <w:pPr/>
      <w:r>
        <w:t xml:space="preserve">No publication-bias test is reported. Most sites have fewer than ten studies, below the threshold at which funnel-plot asymmetry tests are informative — the same constraint Picetti cites. No formal test of subgroup differences is performed either, so where two pooled estimates differ, that difference has not been tested for statistical significance.</w:t>
      </w:r>
    </w:p>
    <w:p>
      <w:pPr>
        <w:pStyle w:val="Heading2"/>
      </w:pPr>
      <w:r>
        <w:t xml:space="preserve">5. Exposure-scale harmonisation</w:t>
      </w:r>
    </w:p>
    <w:p>
      <w:pPr/>
      <w:r>
        <w:t xml:space="preserve">This is the methodological crux. Studies define "high exposure" at wildly different concentrations, so the choice of scale changes which results are significant.</w:t>
      </w:r>
    </w:p>
    <w:p>
      <w:pPr>
        <w:pStyle w:val="Heading3"/>
      </w:pPr>
      <w:r>
        <w:t xml:space="preserve">Units</w:t>
      </w:r>
    </w:p>
    <w:p>
      <w:pPr/>
      <w:r>
        <w:t xml:space="preserve">Nitrate is reported two ways. Conversion uses Picetti's factor:</w:t>
      </w:r>
    </w:p>
    <w:p>
      <w:pPr>
        <w:pStyle w:val="Code"/>
      </w:pPr>
      <w:bookmarkStart w:id="8" w:name="bongo_lang_latex_8"/>
      <w:bookmarkEnd w:id="8"/>
      <w:r>
        <w:t xml:space="preserve">[\mathrm{NO_3^-}] = 4.422664 \times [\mathrm{NO_3\text{-}N}]</w:t>
      </w:r>
    </w:p>
    <w:p>
      <w:pPr/>
      <w:r>
        <w:t xml:space="preserve">So 10 mg/L as nitrate-N, the US regulatory limit, equals about 44.2 mg/L as nitrate ion, and the WHO 50 mg/L nitrate-ion guideline equals about 11.3 mg/L as N. Mixing the two silently is the commonest error in this literature; every row in both workbooks carries its native unit.</w:t>
      </w:r>
    </w:p>
    <w:p>
      <w:pPr>
        <w:pStyle w:val="Heading3"/>
      </w:pPr>
      <w:r>
        <w:t xml:space="preserve">Scale A: highest versus lowest, as reported</w:t>
      </w:r>
    </w:p>
    <w:p>
      <w:pPr/>
      <w:r>
        <w:t xml:space="preserve">The primary cancer pools use each study's own top-versus-bottom contrast with no rescaling. This maximises the number of poolable studies and introduces no modelling assumption.</w:t>
      </w:r>
    </w:p>
    <w:p>
      <w:pPr/>
      <w:r>
        <w:t xml:space="preserve">Its weakness is that it is </w:t>
      </w:r>
      <w:r>
        <w:rPr>
          <w:b/>
        </w:rPr>
        <w:t xml:space="preserve">scale-free</w:t>
      </w:r>
      <w:r>
        <w:t xml:space="preserve">. "Highest exposure" means above 1.68 mg/L in the Taiwanese studies and above 44.23 mg/L in McElroy 2008 — a twenty-six-fold difference treated as the same contrast. A pooled estimate on this scale answers "are top-exposure groups at higher risk than bottom-exposure groups", not "how much risk does a given dose carry".</w:t>
      </w:r>
    </w:p>
    <w:p>
      <w:pPr>
        <w:pStyle w:val="Heading3"/>
      </w:pPr>
      <w:r>
        <w:t xml:space="preserve">Scale B: per 10 mg/L nitrate</w:t>
      </w:r>
    </w:p>
    <w:p>
      <w:pPr/>
      <w:r>
        <w:t xml:space="preserve">The dose-standardised cancer pool rescales each estimate to a common increment by assuming the log of risk rises linearly across the study's exposure range:</w:t>
      </w:r>
    </w:p>
    <w:p>
      <w:pPr>
        <w:pStyle w:val="Code"/>
      </w:pPr>
      <w:bookmarkStart w:id="9" w:name="bongo_lang_latex_9"/>
      <w:bookmarkEnd w:id="9"/>
      <w:r>
        <w:t xml:space="preserve">\ln RR_{10} = \ln RR_{obs} \times \frac{10}{\Delta}, \qquad SE_{10} = SE_{obs} \times \frac{10}{\Delta}</w:t>
      </w:r>
    </w:p>
    <w:p>
      <w:pPr/>
      <w:r>
        <w:t xml:space="preserve">where Δ is the difference between the lower bounds of the top and bottom exposure categories, in mg/L. Studies whose categories share a boundary (for example "≥1.68 versus &lt;1.68") have Δ = 0, no defined contrast width, and are excluded from this scale.</w:t>
      </w:r>
    </w:p>
    <w:p>
      <w:pPr/>
      <w:r>
        <w:rPr>
          <w:b/>
        </w:rPr>
        <w:t xml:space="preserve">This is the same assumption criticised elsewhere in the brief</w:t>
      </w:r>
      <w:r>
        <w:t xml:space="preserve">, and it should be applied with that in mind. It is what converts odds ratios of 1.14 to 1.20 across contrasts of one or two mg/L into Picetti's headline gastric figure of 1.91. Picetti used study-specific quantile midpoints, which are not published; using category boundaries is a coarser approximation of the same procedure.</w:t>
      </w:r>
    </w:p>
    <w:p>
      <w:pPr/>
      <w:r>
        <w:t xml:space="preserve">The two scales disagree, and that disagreement is a finding rather than a nuisance: on Scale A, stomach and colorectal are both significantly elevated; on Scale B, stomach loses significance and colorectal keeps it; Picetti's own published analysis produces the reverse of both.</w:t>
      </w:r>
    </w:p>
    <w:p>
      <w:pPr>
        <w:pStyle w:val="Heading3"/>
      </w:pPr>
      <w:r>
        <w:t xml:space="preserve">Birth outcomes</w:t>
      </w:r>
    </w:p>
    <w:p>
      <w:pPr/>
      <w:r>
        <w:t xml:space="preserve">The three primary birth-outcome studies all contrast roughly 5-10 mg/L nitrate-N against below 5, so the three-study pools need </w:t>
      </w:r>
      <w:r>
        <w:rPr>
          <w:b/>
        </w:rPr>
        <w:t xml:space="preserve">no rescaling at all</w:t>
      </w:r>
      <w:r>
        <w:t xml:space="preserve">. Only the review's per-unit studies are stretched, to a 5 mg/L-N increment, using the same log-linear formula with Δ = the study's own unit converted to nitrate-N. The per-unit conversions used are Huang 9.33 ppm = 2.1072 mg/L-N (assuming the ppm figure is nitrate ion; the paper does not say), Coffman 10 mg/L NO₃ = 2.2583 mg/L-N, and Stayner 1 mg/L-N = 1.0.</w:t>
      </w:r>
    </w:p>
    <w:p>
      <w:pPr/>
      <w:r>
        <w:t xml:space="preserve">The cost is visible and documented on the workbook's "Scale and overlap" sheet: Stayner's very-low-birthweight estimate inflates from 1.17 to 2.19 under a five-fold exponentiation. Those rescaled figures are illustrative only.</w:t>
      </w:r>
    </w:p>
    <w:p>
      <w:pPr>
        <w:pStyle w:val="Heading2"/>
      </w:pPr>
      <w:r>
        <w:t xml:space="preserve">6. Inclusion, exclusion and de-duplication</w:t>
      </w:r>
    </w:p>
    <w:p>
      <w:pPr>
        <w:pStyle w:val="Heading3"/>
      </w:pPr>
      <w:r>
        <w:t xml:space="preserve">Design restriction</w:t>
      </w:r>
    </w:p>
    <w:p>
      <w:pPr/>
      <w:r>
        <w:t xml:space="preserve">Ecological and cross-sectional studies are excluded from all pooled estimates, following the approach the 2024 Cochrane protocol sets out: they "provide limited evidence of causal inference". IARC reached the same judgement in 2010, holding that ecological studies of waterborne nitrate "are not liable to be highly informative" and giving "much greater weight to case-control and cohort studies".</w:t>
      </w:r>
    </w:p>
    <w:p>
      <w:pPr/>
      <w:r>
        <w:t xml:space="preserve">Excluded studies remain in the data with an inclusion flag of 0, so the effect of adding them can be checked by changing the flag. Three sensitivity pools in the cancer workbook do exactly that.</w:t>
      </w:r>
    </w:p>
    <w:p>
      <w:pPr>
        <w:pStyle w:val="Heading3"/>
      </w:pPr>
      <w:r>
        <w:t xml:space="preserve">De-duplication</w:t>
      </w:r>
    </w:p>
    <w:p>
      <w:pPr/>
      <w:r>
        <w:t xml:space="preserve">The Cochrane protocol documents double-counting of cohorts in all three recent meta-analyses it examined, naming Jones 2019 and Weyer 2001 specifically. Both workbooks therefore report every site twice: </w:t>
      </w:r>
      <w:r>
        <w:rPr>
          <w:b/>
        </w:rPr>
        <w:t xml:space="preserve">as published</w:t>
      </w:r>
      <w:r>
        <w:t xml:space="preserve"> (every estimate counted, matching how Picetti, Essien and Temkin proceeded) and </w:t>
      </w:r>
      <w:r>
        <w:rPr>
          <w:b/>
        </w:rPr>
        <w:t xml:space="preserve">de-duplicated</w:t>
      </w:r>
      <w:r>
        <w:t xml:space="preserve"> (one estimate per independent population per outcome). The gap between them measures the problem.</w:t>
      </w:r>
    </w:p>
    <w:p>
      <w:pPr/>
      <w:r>
        <w:t xml:space="preserve">Specific de-duplication decisions in the cancer workbook:</w:t>
      </w:r>
    </w:p>
    <w:tbl>
      <w:tblPr>
        <w:tblStyle w:val="TableGrid"/>
        <w:tblW w:w="0" w:type="auto"/>
        <w:tblLayout w:type="fixed"/>
        <w:tblLook w:val="04A0" w:firstRow="1" w:lastRow="0" w:firstColumn="0" w:lastColumn="0" w:noHBand="0" w:noVBand="1"/>
      </w:tblPr>
      <w:tblGrid>
        <w:gridCol w:w="1749"/>
        <w:gridCol w:w="1595"/>
        <w:gridCol w:w="6015"/>
      </w:tblGrid>
      <w:tr>
        <w:trPr>
          <w:tblHeader/>
        </w:trPr>
        <w:tc>
          <w:tcPr>
            <w:tcW w:w="1749" w:type="dxa"/>
            <w:shd w:val="clear" w:color="auto" w:fill="F2F2F2"/>
          </w:tcPr>
          <w:p>
            <w:pPr/>
            <w:r>
              <w:t xml:space="preserve">Dropped</w:t>
            </w:r>
          </w:p>
        </w:tc>
        <w:tc>
          <w:tcPr>
            <w:tcW w:w="1595" w:type="dxa"/>
            <w:shd w:val="clear" w:color="auto" w:fill="F2F2F2"/>
          </w:tcPr>
          <w:p>
            <w:pPr/>
            <w:r>
              <w:t xml:space="preserve">Site</w:t>
            </w:r>
          </w:p>
        </w:tc>
        <w:tc>
          <w:tcPr>
            <w:tcW w:w="6015" w:type="dxa"/>
            <w:shd w:val="clear" w:color="auto" w:fill="F2F2F2"/>
          </w:tcPr>
          <w:p>
            <w:pPr/>
            <w:r>
              <w:t xml:space="preserve">Reason</w:t>
            </w:r>
          </w:p>
        </w:tc>
      </w:tr>
      <w:tr>
        <w:tc>
          <w:tcPr>
            <w:tcW w:w="1749" w:type="dxa"/>
          </w:tcPr>
          <w:p>
            <w:pPr/>
            <w:r>
              <w:t xml:space="preserve">Chiu 2011</w:t>
            </w:r>
          </w:p>
        </w:tc>
        <w:tc>
          <w:tcPr>
            <w:tcW w:w="1595" w:type="dxa"/>
          </w:tcPr>
          <w:p>
            <w:pPr/>
            <w:r>
              <w:t xml:space="preserve">Colorectal</w:t>
            </w:r>
          </w:p>
        </w:tc>
        <w:tc>
          <w:tcPr>
            <w:tcW w:w="6015" w:type="dxa"/>
          </w:tcPr>
          <w:p>
            <w:pPr/>
            <w:r>
              <w:t xml:space="preserve">Same cases and controls as Chiu 2010; Picetti excluded it on the same grounds</w:t>
            </w:r>
          </w:p>
        </w:tc>
      </w:tr>
      <w:tr>
        <w:tc>
          <w:tcPr>
            <w:tcW w:w="1749" w:type="dxa"/>
          </w:tcPr>
          <w:p>
            <w:pPr/>
            <w:r>
              <w:t xml:space="preserve">Yang 1997</w:t>
            </w:r>
          </w:p>
        </w:tc>
        <w:tc>
          <w:tcPr>
            <w:tcW w:w="1595" w:type="dxa"/>
          </w:tcPr>
          <w:p>
            <w:pPr/>
            <w:r>
              <w:t xml:space="preserve">Stomach</w:t>
            </w:r>
          </w:p>
        </w:tc>
        <w:tc>
          <w:tcPr>
            <w:tcW w:w="6015" w:type="dxa"/>
          </w:tcPr>
          <w:p>
            <w:pPr/>
            <w:r>
              <w:t xml:space="preserve">Crude estimates superseded by Yang 1998 on the same population</w:t>
            </w:r>
          </w:p>
        </w:tc>
      </w:tr>
      <w:tr>
        <w:tc>
          <w:tcPr>
            <w:tcW w:w="1749" w:type="dxa"/>
          </w:tcPr>
          <w:p>
            <w:pPr/>
            <w:r>
              <w:t xml:space="preserve">Weyer 2001</w:t>
            </w:r>
          </w:p>
        </w:tc>
        <w:tc>
          <w:tcPr>
            <w:tcW w:w="1595" w:type="dxa"/>
          </w:tcPr>
          <w:p>
            <w:pPr/>
            <w:r>
              <w:t xml:space="preserve">Colorectal</w:t>
            </w:r>
          </w:p>
        </w:tc>
        <w:tc>
          <w:tcPr>
            <w:tcW w:w="6015" w:type="dxa"/>
          </w:tcPr>
          <w:p>
            <w:pPr/>
            <w:r>
              <w:t xml:space="preserve">Superseded by Jones 2019, same Iowa Women's Health Study cohort, longer follow-up</w:t>
            </w:r>
          </w:p>
        </w:tc>
      </w:tr>
      <w:tr>
        <w:tc>
          <w:tcPr>
            <w:tcW w:w="1749" w:type="dxa"/>
          </w:tcPr>
          <w:p>
            <w:pPr/>
            <w:r>
              <w:t xml:space="preserve">Weyer 2001</w:t>
            </w:r>
          </w:p>
        </w:tc>
        <w:tc>
          <w:tcPr>
            <w:tcW w:w="1595" w:type="dxa"/>
          </w:tcPr>
          <w:p>
            <w:pPr/>
            <w:r>
              <w:t xml:space="preserve">Bladder</w:t>
            </w:r>
          </w:p>
        </w:tc>
        <w:tc>
          <w:tcPr>
            <w:tcW w:w="6015" w:type="dxa"/>
          </w:tcPr>
          <w:p>
            <w:pPr/>
            <w:r>
              <w:t xml:space="preserve">Superseded by Jones 2016</w:t>
            </w:r>
          </w:p>
        </w:tc>
      </w:tr>
      <w:tr>
        <w:tc>
          <w:tcPr>
            <w:tcW w:w="1749" w:type="dxa"/>
          </w:tcPr>
          <w:p>
            <w:pPr/>
            <w:r>
              <w:t xml:space="preserve">Weyer 2001</w:t>
            </w:r>
          </w:p>
        </w:tc>
        <w:tc>
          <w:tcPr>
            <w:tcW w:w="1595" w:type="dxa"/>
          </w:tcPr>
          <w:p>
            <w:pPr/>
            <w:r>
              <w:t xml:space="preserve">Kidney</w:t>
            </w:r>
          </w:p>
        </w:tc>
        <w:tc>
          <w:tcPr>
            <w:tcW w:w="6015" w:type="dxa"/>
          </w:tcPr>
          <w:p>
            <w:pPr/>
            <w:r>
              <w:t xml:space="preserve">Superseded by Jones 2017</w:t>
            </w:r>
          </w:p>
        </w:tc>
      </w:tr>
      <w:tr>
        <w:tc>
          <w:tcPr>
            <w:tcW w:w="1749" w:type="dxa"/>
          </w:tcPr>
          <w:p>
            <w:pPr/>
            <w:r>
              <w:t xml:space="preserve">Weyer 2001</w:t>
            </w:r>
          </w:p>
        </w:tc>
        <w:tc>
          <w:tcPr>
            <w:tcW w:w="1595" w:type="dxa"/>
          </w:tcPr>
          <w:p>
            <w:pPr/>
            <w:r>
              <w:t xml:space="preserve">Pancreas</w:t>
            </w:r>
          </w:p>
        </w:tc>
        <w:tc>
          <w:tcPr>
            <w:tcW w:w="6015" w:type="dxa"/>
          </w:tcPr>
          <w:p>
            <w:pPr/>
            <w:r>
              <w:t xml:space="preserve">Superseded by Quist 2018</w:t>
            </w:r>
          </w:p>
        </w:tc>
      </w:tr>
      <w:tr>
        <w:tc>
          <w:tcPr>
            <w:tcW w:w="1749" w:type="dxa"/>
          </w:tcPr>
          <w:p>
            <w:pPr/>
            <w:r>
              <w:t xml:space="preserve">Weyer 2001</w:t>
            </w:r>
          </w:p>
        </w:tc>
        <w:tc>
          <w:tcPr>
            <w:tcW w:w="1595" w:type="dxa"/>
          </w:tcPr>
          <w:p>
            <w:pPr/>
            <w:r>
              <w:t xml:space="preserve">Ovary</w:t>
            </w:r>
          </w:p>
        </w:tc>
        <w:tc>
          <w:tcPr>
            <w:tcW w:w="6015" w:type="dxa"/>
          </w:tcPr>
          <w:p>
            <w:pPr/>
            <w:r>
              <w:t xml:space="preserve">Superseded by Inoue-Choi 2015</w:t>
            </w:r>
          </w:p>
        </w:tc>
      </w:tr>
    </w:tbl>
    <w:p>
      <w:pPr/>
      <w:r>
        <w:t xml:space="preserve">Weyer 2001 is retained where no later IWHS analysis covers the same site: non-Hodgkin lymphoma, leukemia, breast, uterus, lung, melanoma and other digestive cancers.</w:t>
      </w:r>
    </w:p>
    <w:p>
      <w:pPr>
        <w:pStyle w:val="Heading3"/>
      </w:pPr>
      <w:r>
        <w:t xml:space="preserve">The birth-outcome overlap</w:t>
      </w:r>
    </w:p>
    <w:p>
      <w:pPr/>
      <w:r>
        <w:t xml:space="preserve">Sherris 2021 is one of the thirteen studies inside the Clemmensen review. Pooling "Sherris against the SR" therefore counts it on both sides unless the review's study set is stripped of it first. The workbook does strip it, and demonstrates what the naive version costs: counting Sherris twice leaves the point estimate at 1.470 but narrows the confidence interval from 1.306-1.655 to 1.347-1.604. The point estimate is unchanged; the </w:t>
      </w:r>
      <w:r>
        <w:rPr>
          <w:b/>
        </w:rPr>
        <w:t xml:space="preserve">precision is fabricated</w:t>
      </w:r>
      <w:r>
        <w:t xml:space="preserve">. That is precisely the defect Cochrane identified in the existing cancer reviews, reproduced here on purpose as a demonstration.</w:t>
      </w:r>
    </w:p>
    <w:p>
      <w:pPr/>
      <w:r>
        <w:t xml:space="preserve">Montoya 2025 and Semprini 2026 both postdate the review's search and are genuinely independent of it.</w:t>
      </w:r>
    </w:p>
    <w:p>
      <w:pPr>
        <w:pStyle w:val="Heading2"/>
      </w:pPr>
      <w:r>
        <w:t xml:space="preserve">7. Derived quantities</w:t>
      </w:r>
    </w:p>
    <w:p>
      <w:pPr>
        <w:pStyle w:val="Heading3"/>
      </w:pPr>
      <w:r>
        <w:t xml:space="preserve">The all-cancer pool</w:t>
      </w:r>
    </w:p>
    <w:p>
      <w:pPr/>
      <w:r>
        <w:t xml:space="preserve">The cancer workbook computes a single multiplier across all sites three ways: every study-site estimate as published (k = 64, </w:t>
      </w:r>
      <w:r>
        <w:rPr>
          <w:b/>
        </w:rPr>
        <w:t xml:space="preserve">1.120</w:t>
      </w:r>
      <w:r>
        <w:t xml:space="preserve">, 1.063-1.180), de-duplicated (k = 57, </w:t>
      </w:r>
      <w:r>
        <w:rPr>
          <w:b/>
        </w:rPr>
        <w:t xml:space="preserve">1.122</w:t>
      </w:r>
      <w:r>
        <w:t xml:space="preserve">, 1.059-1.187), and pooling the site-level pooled estimates (k = 18, </w:t>
      </w:r>
      <w:r>
        <w:rPr>
          <w:b/>
        </w:rPr>
        <w:t xml:space="preserve">1.105</w:t>
      </w:r>
      <w:r>
        <w:t xml:space="preserve">, 1.033-1.183). Heterogeneity is 51%, 51% and 38%.</w:t>
      </w:r>
    </w:p>
    <w:p>
      <w:pPr/>
      <w:r>
        <w:rPr>
          <w:b/>
        </w:rPr>
        <w:t xml:space="preserve">This number should not be used as a risk estimate.</w:t>
      </w:r>
      <w:r>
        <w:t xml:space="preserve"> Pooling across biologically unrelated cancer sites assumes nitrate has one common effect on all cancers, which no review claims and which the site-by-site results contradict. An I² near 50% says half the variation between these estimates is real difference between cancers rather than sampling noise — the statistical way of saying the quantity is not meaningful. It is computed so that the figure exists with its caveats attached rather than being produced later without them.</w:t>
      </w:r>
    </w:p>
    <w:p>
      <w:pPr/>
      <w:r>
        <w:t xml:space="preserve">Note also that de-duplication barely moves it, because the Iowa Women's Health Study estimates it removes fall on both sides of 1.0.</w:t>
      </w:r>
    </w:p>
    <w:p>
      <w:pPr>
        <w:pStyle w:val="Heading3"/>
      </w:pPr>
      <w:r>
        <w:t xml:space="preserve">Iowa attributable fraction</w:t>
      </w:r>
    </w:p>
    <w:p>
      <w:pPr/>
      <w:r>
        <w:t xml:space="preserve">The illustration on the final cancer sheet uses Levin's population attributable fraction:</w:t>
      </w:r>
    </w:p>
    <w:p>
      <w:pPr>
        <w:pStyle w:val="Code"/>
      </w:pPr>
      <w:bookmarkStart w:id="10" w:name="bongo_lang_latex_10"/>
      <w:bookmarkEnd w:id="10"/>
      <w:r>
        <w:t xml:space="preserve">PAF = \frac{P_e\left(RR - 1\right)}{1 + P_e\left(RR - 1\right)}, \qquad \text{attributable cases} = PAF \times \text{observed cases}</w:t>
      </w:r>
    </w:p>
    <w:p>
      <w:pPr/>
      <w:r>
        <w:t xml:space="preserve">where P-e is the share of Iowans exposed above the reference concentration and RR is the de-duplicated pooled multiplier for that site. P-e is an </w:t>
      </w:r>
      <w:r>
        <w:rPr>
          <w:b/>
        </w:rPr>
        <w:t xml:space="preserve">editable input</w:t>
      </w:r>
      <w:r>
        <w:t xml:space="preserve">, shown in a yellow cell, defaulting to 10%. That default is a placeholder, not a finding: for context, 18% of Iowans are on private wells and EWG's own model put 8% of those above 5 mg/L.</w:t>
      </w:r>
    </w:p>
    <w:p>
      <w:pPr/>
      <w:r>
        <w:t xml:space="preserve">At 10% exposure the six nitrate-associated sites yield about </w:t>
      </w:r>
      <w:r>
        <w:rPr>
          <w:b/>
        </w:rPr>
        <w:t xml:space="preserve">133 attributable cases, 0.62% of Iowa's 21,258 cancers in 2023</w:t>
      </w:r>
      <w:r>
        <w:t xml:space="preserve">.</w:t>
      </w:r>
    </w:p>
    <w:p>
      <w:pPr/>
      <w:r>
        <w:t xml:space="preserve">Three caveats belong with that number. Levin's formula assumes the multiplier is causal, which is the assumption the brief disputes. It assumes a dichotomous exposure, which drinking-water nitrate is not. And it inherits the scale problem from section 5, since the multipliers come from the highest-versus-lowest pools. It is shown because it reaches the same order of magnitude as EWG's own 0.35-1.57% range by a different route and without the positive-studies-only selection rule — not because it is a better burden estimate.</w:t>
      </w:r>
    </w:p>
    <w:p>
      <w:pPr>
        <w:pStyle w:val="Heading2"/>
      </w:pPr>
      <w:r>
        <w:t xml:space="preserve">8. Verification</w:t>
      </w:r>
    </w:p>
    <w:p>
      <w:pPr/>
      <w:r>
        <w:t xml:space="preserve">Every pooled figure was computed twice, independently, and the two implementations compared.</w:t>
      </w:r>
    </w:p>
    <w:p>
      <w:pPr>
        <w:pStyle w:val="ListParagraph"/>
        <w:numPr>
          <w:ilvl w:val="0"/>
          <w:numId w:val="5"/>
        </w:numPr>
      </w:pPr>
      <w:r>
        <w:rPr>
          <w:b/>
        </w:rPr>
        <w:t xml:space="preserve">Reference implementation.</w:t>
      </w:r>
      <w:r>
        <w:t xml:space="preserve"> A standalone Python script implements the DerSimonian-Laird estimator from the formulas in section 4 and computes every pool from the curated dataset.</w:t>
      </w:r>
    </w:p>
    <w:p>
      <w:pPr>
        <w:pStyle w:val="ListParagraph"/>
        <w:numPr>
          <w:ilvl w:val="0"/>
          <w:numId w:val="5"/>
        </w:numPr>
      </w:pPr>
      <w:r>
        <w:rPr>
          <w:b/>
        </w:rPr>
        <w:t xml:space="preserve">Workbook implementation.</w:t>
      </w:r>
      <w:r>
        <w:t xml:space="preserve"> The same calculations are written as worksheet formulas, using </w:t>
      </w:r>
      <w:r>
        <w:rPr>
          <w:rStyle w:val="CodeChar"/>
        </w:rPr>
        <w:t xml:space="preserve">SUMPRODUCT</w:t>
      </w:r>
      <w:r>
        <w:t xml:space="preserve"> over inclusion-flag, inverse-variance and random-effects weight columns, with τ² computed on the pooled row and referenced back by the weight column above it. Nothing is a pasted value.</w:t>
      </w:r>
    </w:p>
    <w:p>
      <w:pPr>
        <w:pStyle w:val="ListParagraph"/>
        <w:numPr>
          <w:ilvl w:val="0"/>
          <w:numId w:val="5"/>
        </w:numPr>
      </w:pPr>
      <w:r>
        <w:rPr>
          <w:b/>
        </w:rPr>
        <w:t xml:space="preserve">Recalculation.</w:t>
      </w:r>
      <w:r>
        <w:t xml:space="preserve"> Each workbook is recalculated with LibreOffice and checked for formula errors. Both return zero errors: 1,827 formulas in the cancer workbook, 616 in the birth-outcome workbook.</w:t>
      </w:r>
    </w:p>
    <w:p>
      <w:pPr>
        <w:pStyle w:val="ListParagraph"/>
        <w:numPr>
          <w:ilvl w:val="0"/>
          <w:numId w:val="5"/>
        </w:numPr>
      </w:pPr>
      <w:r>
        <w:rPr>
          <w:b/>
        </w:rPr>
        <w:t xml:space="preserve">Cross-check.</w:t>
      </w:r>
      <w:r>
        <w:t xml:space="preserve"> The recalculated workbook values are read back and compared against the Python reference, with a tolerance of 0.002 on the multiplier scale and 0.6 percentage points on I².</w:t>
      </w:r>
    </w:p>
    <w:p>
      <w:pPr/>
      <w:r>
        <w:t xml:space="preserve">Results: </w:t>
      </w:r>
      <w:r>
        <w:rPr>
          <w:b/>
        </w:rPr>
        <w:t xml:space="preserve">all 18 cancer site pools, all 16 dose-standardised pools, all three all-cancer variants and all 22 birth-outcome pools matched exactly.</w:t>
      </w:r>
      <w:r>
        <w:t xml:space="preserve"> Zero mismatches.</w:t>
      </w:r>
    </w:p>
    <w:p>
      <w:pPr/>
      <w:r>
        <w:t xml:space="preserve">A clean recalculation only proves the formulas evaluate, not that they are right, which is why the second implementation exists. Two defects were caught this way and fixed: a column collision on the dose-standardised sheet, and a key collision in the row-index map that pointed a Sherris reference at the wrong spreadsheet row, which surfaced as sixteen </w:t>
      </w:r>
      <w:r>
        <w:rPr>
          <w:rStyle w:val="CodeChar"/>
        </w:rPr>
        <w:t xml:space="preserve">#DIV/0!</w:t>
      </w:r>
      <w:r>
        <w:t xml:space="preserve"> errors.</w:t>
      </w:r>
    </w:p>
    <w:p>
      <w:pPr>
        <w:pStyle w:val="Heading3"/>
      </w:pPr>
      <w:r>
        <w:t xml:space="preserve">External validation</w:t>
      </w:r>
    </w:p>
    <w:p>
      <w:pPr/>
      <w:r>
        <w:t xml:space="preserve">Where the study sets overlap, the recomputed high-versus-low pools can be compared against Essien's published first-stage results. Pancreas (1.09 against 1.08), esophagus (1.05 against 1.06), brain (1.13 against 1.15), breast (1.02 against 1.06) and non-Hodgkin lymphoma (0.93 against 0.98) agree closely. Colorectal (1.18 against 1.11), stomach (1.15 against 1.09), bladder (1.15 against 0.94) and kidney (1.22 against 1.03) differ more, because Essien's search captured a larger and partly different study set. The agreement where sets overlap, and the divergence where they do not, is the expected pattern.</w:t>
      </w:r>
    </w:p>
    <w:p>
      <w:pPr>
        <w:pStyle w:val="Heading2"/>
      </w:pPr>
      <w:r>
        <w:t xml:space="preserve">9. Deviations from the published reviews</w:t>
      </w:r>
    </w:p>
    <w:p>
      <w:pPr/>
      <w:r>
        <w:t xml:space="preserve">These pools are </w:t>
      </w:r>
      <w:r>
        <w:rPr>
          <w:b/>
        </w:rPr>
        <w:t xml:space="preserve">not</w:t>
      </w:r>
      <w:r>
        <w:t xml:space="preserve"> reproductions of Picetti, Essien or Clemmensen, and should not be cited as though they were. The differences are deliberate and are listed here so they can be checked.</w:t>
      </w:r>
    </w:p>
    <w:tbl>
      <w:tblPr>
        <w:tblStyle w:val="TableGrid"/>
        <w:tblW w:w="0" w:type="auto"/>
        <w:tblLayout w:type="fixed"/>
        <w:tblLook w:val="04A0" w:firstRow="1" w:lastRow="0" w:firstColumn="0" w:lastColumn="0" w:noHBand="0" w:noVBand="1"/>
      </w:tblPr>
      <w:tblGrid>
        <w:gridCol w:w="4595"/>
        <w:gridCol w:w="4764"/>
      </w:tblGrid>
      <w:tr>
        <w:trPr>
          <w:tblHeader/>
        </w:trPr>
        <w:tc>
          <w:tcPr>
            <w:tcW w:w="4595" w:type="dxa"/>
            <w:shd w:val="clear" w:color="auto" w:fill="F2F2F2"/>
          </w:tcPr>
          <w:p>
            <w:pPr/>
            <w:r>
              <w:t xml:space="preserve">Difference</w:t>
            </w:r>
          </w:p>
        </w:tc>
        <w:tc>
          <w:tcPr>
            <w:tcW w:w="4764" w:type="dxa"/>
            <w:shd w:val="clear" w:color="auto" w:fill="F2F2F2"/>
          </w:tcPr>
          <w:p>
            <w:pPr/>
            <w:r>
              <w:t xml:space="preserve">Effect</w:t>
            </w:r>
          </w:p>
        </w:tc>
      </w:tr>
      <w:tr>
        <w:tc>
          <w:tcPr>
            <w:tcW w:w="4595" w:type="dxa"/>
          </w:tcPr>
          <w:p>
            <w:pPr/>
            <w:r>
              <w:t xml:space="preserve">Picetti rescaled using within-study quantile midpoints, which the paper does not publish. Category boundaries are used here instead.</w:t>
            </w:r>
          </w:p>
        </w:tc>
        <w:tc>
          <w:tcPr>
            <w:tcW w:w="4764" w:type="dxa"/>
          </w:tcPr>
          <w:p>
            <w:pPr/>
            <w:r>
              <w:t xml:space="preserve">The dose-standardised pools differ from Picetti's published per-10 mg/L figures. Neither can be reconciled to the other without the unpublished midpoints.</w:t>
            </w:r>
          </w:p>
        </w:tc>
      </w:tr>
      <w:tr>
        <w:tc>
          <w:tcPr>
            <w:tcW w:w="4595" w:type="dxa"/>
          </w:tcPr>
          <w:p>
            <w:pPr/>
            <w:r>
              <w:t xml:space="preserve">Picetti ran a generalised-least-squares trend estimation across all quantiles; only the top-versus-bottom contrast is used here.</w:t>
            </w:r>
          </w:p>
        </w:tc>
        <w:tc>
          <w:tcPr>
            <w:tcW w:w="4764" w:type="dxa"/>
          </w:tcPr>
          <w:p>
            <w:pPr/>
            <w:r>
              <w:t xml:space="preserve">Information in the intermediate categories is discarded, which widens intervals and ignores non-monotonic patterns.</w:t>
            </w:r>
          </w:p>
        </w:tc>
      </w:tr>
      <w:tr>
        <w:tc>
          <w:tcPr>
            <w:tcW w:w="4595" w:type="dxa"/>
          </w:tcPr>
          <w:p>
            <w:pPr/>
            <w:r>
              <w:t xml:space="preserve">Essien searched eight databases and captured studies not in Picetti's Table 2.</w:t>
            </w:r>
          </w:p>
        </w:tc>
        <w:tc>
          <w:tcPr>
            <w:tcW w:w="4764" w:type="dxa"/>
          </w:tcPr>
          <w:p>
            <w:pPr/>
            <w:r>
              <w:t xml:space="preserve">Sites where the study sets diverge give materially different pooled values, as section 8 shows.</w:t>
            </w:r>
          </w:p>
        </w:tc>
      </w:tr>
      <w:tr>
        <w:tc>
          <w:tcPr>
            <w:tcW w:w="4595" w:type="dxa"/>
          </w:tcPr>
          <w:p>
            <w:pPr/>
            <w:r>
              <w:t xml:space="preserve">Clemmensen performed no meta-analysis at all.</w:t>
            </w:r>
          </w:p>
        </w:tc>
        <w:tc>
          <w:tcPr>
            <w:tcW w:w="4764" w:type="dxa"/>
          </w:tcPr>
          <w:p>
            <w:pPr/>
            <w:r>
              <w:t xml:space="preserve">Every "SR evidence base" figure is mine, not the review authors'.</w:t>
            </w:r>
          </w:p>
        </w:tc>
      </w:tr>
      <w:tr>
        <w:tc>
          <w:tcPr>
            <w:tcW w:w="4595" w:type="dxa"/>
          </w:tcPr>
          <w:p>
            <w:pPr/>
            <w:r>
              <w:t xml:space="preserve">Ecological and cross-sectional studies are excluded here; Essien and Picetti included some.</w:t>
            </w:r>
          </w:p>
        </w:tc>
        <w:tc>
          <w:tcPr>
            <w:tcW w:w="4764" w:type="dxa"/>
          </w:tcPr>
          <w:p>
            <w:pPr/>
            <w:r>
              <w:t xml:space="preserve">Pooled values shift, generally toward the null, since several ecological studies are strongly positive.</w:t>
            </w:r>
          </w:p>
        </w:tc>
      </w:tr>
      <w:tr>
        <w:tc>
          <w:tcPr>
            <w:tcW w:w="4595" w:type="dxa"/>
          </w:tcPr>
          <w:p>
            <w:pPr/>
            <w:r>
              <w:t xml:space="preserve">De-duplication of the Iowa Women's Health Study is applied here and was not applied in the published reviews.</w:t>
            </w:r>
          </w:p>
        </w:tc>
        <w:tc>
          <w:tcPr>
            <w:tcW w:w="4764" w:type="dxa"/>
          </w:tcPr>
          <w:p>
            <w:pPr/>
            <w:r>
              <w:t xml:space="preserve">This is a correction, not a deviation, but it does mean the numbers will not match.</w:t>
            </w:r>
          </w:p>
        </w:tc>
      </w:tr>
    </w:tbl>
    <w:p>
      <w:pPr/>
      <w:r>
        <w:t xml:space="preserve">The honest summary: these are a re-analysis of the same underlying studies under one consistent set of rules, built to test how stable the published conclusions are. They are not a replacement for a properly registered systematic review, which is what Cochrane is currently building.</w:t>
      </w:r>
    </w:p>
    <w:p>
      <w:pPr>
        <w:pStyle w:val="Heading2"/>
      </w:pPr>
      <w:r>
        <w:t xml:space="preserve">10. Known defects in the source data</w:t>
      </w:r>
    </w:p>
    <w:p>
      <w:pPr/>
      <w:r>
        <w:t xml:space="preserve">Several published figures are internally impossible and were worked around. Each is flagged in the workbook's Notes column.</w:t>
      </w:r>
    </w:p>
    <w:tbl>
      <w:tblPr>
        <w:tblStyle w:val="TableGrid"/>
        <w:tblW w:w="0" w:type="auto"/>
        <w:tblLayout w:type="fixed"/>
        <w:tblLook w:val="04A0" w:firstRow="1" w:lastRow="0" w:firstColumn="0" w:lastColumn="0" w:noHBand="0" w:noVBand="1"/>
      </w:tblPr>
      <w:tblGrid>
        <w:gridCol w:w="2086"/>
        <w:gridCol w:w="1730"/>
        <w:gridCol w:w="2794"/>
        <w:gridCol w:w="2750"/>
      </w:tblGrid>
      <w:tr>
        <w:trPr>
          <w:tblHeader/>
        </w:trPr>
        <w:tc>
          <w:tcPr>
            <w:tcW w:w="2086" w:type="dxa"/>
            <w:shd w:val="clear" w:color="auto" w:fill="F2F2F2"/>
          </w:tcPr>
          <w:p>
            <w:pPr/>
            <w:r>
              <w:t xml:space="preserve">Source</w:t>
            </w:r>
          </w:p>
        </w:tc>
        <w:tc>
          <w:tcPr>
            <w:tcW w:w="1730" w:type="dxa"/>
            <w:shd w:val="clear" w:color="auto" w:fill="F2F2F2"/>
          </w:tcPr>
          <w:p>
            <w:pPr/>
            <w:r>
              <w:t xml:space="preserve">Printed value</w:t>
            </w:r>
          </w:p>
        </w:tc>
        <w:tc>
          <w:tcPr>
            <w:tcW w:w="2794" w:type="dxa"/>
            <w:shd w:val="clear" w:color="auto" w:fill="F2F2F2"/>
          </w:tcPr>
          <w:p>
            <w:pPr/>
            <w:r>
              <w:t xml:space="preserve">Problem</w:t>
            </w:r>
          </w:p>
        </w:tc>
        <w:tc>
          <w:tcPr>
            <w:tcW w:w="2750" w:type="dxa"/>
            <w:shd w:val="clear" w:color="auto" w:fill="F2F2F2"/>
          </w:tcPr>
          <w:p>
            <w:pPr/>
            <w:r>
              <w:t xml:space="preserve">Handling</w:t>
            </w:r>
          </w:p>
        </w:tc>
      </w:tr>
      <w:tr>
        <w:tc>
          <w:tcPr>
            <w:tcW w:w="2086" w:type="dxa"/>
          </w:tcPr>
          <w:p>
            <w:pPr/>
            <w:r>
              <w:t xml:space="preserve">Picetti Table 2, Espejo-Herrera colorectal</w:t>
            </w:r>
          </w:p>
        </w:tc>
        <w:tc>
          <w:tcPr>
            <w:tcW w:w="1730" w:type="dxa"/>
          </w:tcPr>
          <w:p>
            <w:pPr/>
            <w:r>
              <w:t xml:space="preserve">1.49 (1.24-1.38)</w:t>
            </w:r>
          </w:p>
        </w:tc>
        <w:tc>
          <w:tcPr>
            <w:tcW w:w="2794" w:type="dxa"/>
          </w:tcPr>
          <w:p>
            <w:pPr/>
            <w:r>
              <w:t xml:space="preserve">Upper confidence limit below the point estimate</w:t>
            </w:r>
          </w:p>
        </w:tc>
        <w:tc>
          <w:tcPr>
            <w:tcW w:w="2750" w:type="dxa"/>
          </w:tcPr>
          <w:p>
            <w:pPr/>
            <w:r>
              <w:t xml:space="preserve">The colon estimate, 1.52 (1.24-1.86), is used instead</w:t>
            </w:r>
          </w:p>
        </w:tc>
      </w:tr>
      <w:tr>
        <w:tc>
          <w:tcPr>
            <w:tcW w:w="2086" w:type="dxa"/>
          </w:tcPr>
          <w:p>
            <w:pPr/>
            <w:r>
              <w:t xml:space="preserve">Picetti Table 2, Jones 2017 kidney, continuous</w:t>
            </w:r>
          </w:p>
        </w:tc>
        <w:tc>
          <w:tcPr>
            <w:tcW w:w="1730" w:type="dxa"/>
          </w:tcPr>
          <w:p>
            <w:pPr/>
            <w:r>
              <w:t xml:space="preserve">HR 1.3 (0.96-1.3)</w:t>
            </w:r>
          </w:p>
        </w:tc>
        <w:tc>
          <w:tcPr>
            <w:tcW w:w="2794" w:type="dxa"/>
          </w:tcPr>
          <w:p>
            <w:pPr/>
            <w:r>
              <w:t xml:space="preserve">Upper limit equals the point estimate</w:t>
            </w:r>
          </w:p>
        </w:tc>
        <w:tc>
          <w:tcPr>
            <w:tcW w:w="2750" w:type="dxa"/>
          </w:tcPr>
          <w:p>
            <w:pPr/>
            <w:r>
              <w:t xml:space="preserve">Not used; the categorical estimate is used</w:t>
            </w:r>
          </w:p>
        </w:tc>
      </w:tr>
      <w:tr>
        <w:tc>
          <w:tcPr>
            <w:tcW w:w="2086" w:type="dxa"/>
          </w:tcPr>
          <w:p>
            <w:pPr/>
            <w:r>
              <w:t xml:space="preserve">Picetti, study-flow counts</w:t>
            </w:r>
          </w:p>
        </w:tc>
        <w:tc>
          <w:tcPr>
            <w:tcW w:w="1730" w:type="dxa"/>
          </w:tcPr>
          <w:p>
            <w:pPr/>
            <w:r>
              <w:t xml:space="preserve">9,835 / 16,527 / 8,680</w:t>
            </w:r>
          </w:p>
        </w:tc>
        <w:tc>
          <w:tcPr>
            <w:tcW w:w="2794" w:type="dxa"/>
          </w:tcPr>
          <w:p>
            <w:pPr/>
            <w:r>
              <w:t xml:space="preserve">Three irreconcilable totals for studies identified</w:t>
            </w:r>
          </w:p>
        </w:tc>
        <w:tc>
          <w:tcPr>
            <w:tcW w:w="2750" w:type="dxa"/>
          </w:tcPr>
          <w:p>
            <w:pPr/>
            <w:r>
              <w:t xml:space="preserve">Cite "8,680 unique records screened, 269 full texts", which is internally consistent</w:t>
            </w:r>
          </w:p>
        </w:tc>
      </w:tr>
      <w:tr>
        <w:tc>
          <w:tcPr>
            <w:tcW w:w="2086" w:type="dxa"/>
          </w:tcPr>
          <w:p>
            <w:pPr/>
            <w:r>
              <w:t xml:space="preserve">Picetti, colorectal pooled</w:t>
            </w:r>
          </w:p>
        </w:tc>
        <w:tc>
          <w:tcPr>
            <w:tcW w:w="1730" w:type="dxa"/>
          </w:tcPr>
          <w:p>
            <w:pPr/>
            <w:r>
              <w:t xml:space="preserve">Abstract OR 1.02 (0.96-1.08); Results RR 1.052 (0.995-1.111)</w:t>
            </w:r>
          </w:p>
        </w:tc>
        <w:tc>
          <w:tcPr>
            <w:tcW w:w="2794" w:type="dxa"/>
          </w:tcPr>
          <w:p>
            <w:pPr/>
            <w:r>
              <w:t xml:space="preserve">Two different values for the same 10-study analysis</w:t>
            </w:r>
          </w:p>
        </w:tc>
        <w:tc>
          <w:tcPr>
            <w:tcW w:w="2750" w:type="dxa"/>
          </w:tcPr>
          <w:p>
            <w:pPr/>
            <w:r>
              <w:t xml:space="preserve">Both reported; neither used as an input</w:t>
            </w:r>
          </w:p>
        </w:tc>
      </w:tr>
      <w:tr>
        <w:tc>
          <w:tcPr>
            <w:tcW w:w="2086" w:type="dxa"/>
          </w:tcPr>
          <w:p>
            <w:pPr/>
            <w:r>
              <w:t xml:space="preserve">Temkin Table 5, Weyer slope</w:t>
            </w:r>
          </w:p>
        </w:tc>
        <w:tc>
          <w:tcPr>
            <w:tcW w:w="1730" w:type="dxa"/>
          </w:tcPr>
          <w:p>
            <w:pPr/>
            <w:r>
              <w:t xml:space="preserve">−0.43, CI −0.108 to 0.021</w:t>
            </w:r>
          </w:p>
        </w:tc>
        <w:tc>
          <w:tcPr>
            <w:tcW w:w="2794" w:type="dxa"/>
          </w:tcPr>
          <w:p>
            <w:pPr/>
            <w:r>
              <w:t xml:space="preserve">Point estimate outside its own interval; almost certainly −0.043</w:t>
            </w:r>
          </w:p>
        </w:tc>
        <w:tc>
          <w:tcPr>
            <w:tcW w:w="2750" w:type="dxa"/>
          </w:tcPr>
          <w:p>
            <w:pPr/>
            <w:r>
              <w:t xml:space="preserve">Reported as a probable typo, not used</w:t>
            </w:r>
          </w:p>
        </w:tc>
      </w:tr>
      <w:tr>
        <w:tc>
          <w:tcPr>
            <w:tcW w:w="2086" w:type="dxa"/>
          </w:tcPr>
          <w:p>
            <w:pPr/>
            <w:r>
              <w:t xml:space="preserve">Temkin Table 4, Espejo-Herrera middle group</w:t>
            </w:r>
          </w:p>
        </w:tc>
        <w:tc>
          <w:tcPr>
            <w:tcW w:w="1730" w:type="dxa"/>
          </w:tcPr>
          <w:p>
            <w:pPr/>
            <w:r>
              <w:t xml:space="preserve">RR 1.7 (0.98-1.38)</w:t>
            </w:r>
          </w:p>
        </w:tc>
        <w:tc>
          <w:tcPr>
            <w:tcW w:w="2794" w:type="dxa"/>
          </w:tcPr>
          <w:p>
            <w:pPr/>
            <w:r>
              <w:t xml:space="preserve">Point estimate outside its own interval; almost certainly 1.17</w:t>
            </w:r>
          </w:p>
        </w:tc>
        <w:tc>
          <w:tcPr>
            <w:tcW w:w="2750" w:type="dxa"/>
          </w:tcPr>
          <w:p>
            <w:pPr/>
            <w:r>
              <w:t xml:space="preserve">Not used</w:t>
            </w:r>
          </w:p>
        </w:tc>
      </w:tr>
      <w:tr>
        <w:tc>
          <w:tcPr>
            <w:tcW w:w="2086" w:type="dxa"/>
          </w:tcPr>
          <w:p>
            <w:pPr/>
            <w:r>
              <w:t xml:space="preserve">Temkin, heterogeneity p-value</w:t>
            </w:r>
          </w:p>
        </w:tc>
        <w:tc>
          <w:tcPr>
            <w:tcW w:w="1730" w:type="dxa"/>
          </w:tcPr>
          <w:p>
            <w:pPr/>
            <w:r>
              <w:t xml:space="preserve">0.0002 in text, 0.002 in supplement</w:t>
            </w:r>
          </w:p>
        </w:tc>
        <w:tc>
          <w:tcPr>
            <w:tcW w:w="2794" w:type="dxa"/>
          </w:tcPr>
          <w:p>
            <w:pPr/>
            <w:r>
              <w:t xml:space="preserve">Inconsistent by a factor of ten</w:t>
            </w:r>
          </w:p>
        </w:tc>
        <w:tc>
          <w:tcPr>
            <w:tcW w:w="2750" w:type="dxa"/>
          </w:tcPr>
          <w:p>
            <w:pPr/>
            <w:r>
              <w:t xml:space="preserve">The supplement value is used</w:t>
            </w:r>
          </w:p>
        </w:tc>
      </w:tr>
      <w:tr>
        <w:tc>
          <w:tcPr>
            <w:tcW w:w="2086" w:type="dxa"/>
          </w:tcPr>
          <w:p>
            <w:pPr/>
            <w:r>
              <w:t xml:space="preserve">Clemmensen Table 1, Huang 2018</w:t>
            </w:r>
          </w:p>
        </w:tc>
        <w:tc>
          <w:tcPr>
            <w:tcW w:w="1730" w:type="dxa"/>
          </w:tcPr>
          <w:p>
            <w:pPr/>
            <w:r>
              <w:t xml:space="preserve">"per 9.33 ppm nitrate"</w:t>
            </w:r>
          </w:p>
        </w:tc>
        <w:tc>
          <w:tcPr>
            <w:tcW w:w="2794" w:type="dxa"/>
          </w:tcPr>
          <w:p>
            <w:pPr/>
            <w:r>
              <w:t xml:space="preserve">Does not state nitrate ion or nitrate-nitrogen</w:t>
            </w:r>
          </w:p>
        </w:tc>
        <w:tc>
          <w:tcPr>
            <w:tcW w:w="2750" w:type="dxa"/>
          </w:tcPr>
          <w:p>
            <w:pPr/>
            <w:r>
              <w:t xml:space="preserve">Assumed nitrate ion; flagged. If nitrogen, its rescaled contribution shrinks considerably</w:t>
            </w:r>
          </w:p>
        </w:tc>
      </w:tr>
    </w:tbl>
    <w:p>
      <w:pPr/>
      <w:r>
        <w:t xml:space="preserve">One further note on provenance. </w:t>
      </w:r>
      <w:r>
        <w:rPr>
          <w:b/>
        </w:rPr>
        <w:t xml:space="preserve">Semprini 2026 is a preprint</w:t>
      </w:r>
      <w:r>
        <w:t xml:space="preserve"> and has not completed peer review; its estimates may change. Its reference list also cites a retracted earlier paper by the same author on a related question, labelled as retracted in the citation.</w:t>
      </w:r>
    </w:p>
    <w:p>
      <w:pPr>
        <w:pStyle w:val="Heading2"/>
      </w:pPr>
      <w:r>
        <w:t xml:space="preserve">11. Reproducing or changing the numbers</w:t>
      </w:r>
    </w:p>
    <w:p>
      <w:pPr/>
      <w:r>
        <w:t xml:space="preserve">Both workbooks are live models, not reports. Every pooled value recalculates from the study-level rows, so the analysis can be interrogated rather than taken on trust.</w:t>
      </w:r>
    </w:p>
    <w:p>
      <w:pPr/>
      <w:r>
        <w:rPr>
          <w:b/>
        </w:rPr>
        <w:t xml:space="preserve">To add or remove a study from a pool</w:t>
      </w:r>
      <w:r>
        <w:t xml:space="preserve">, change its inclusion flag from 1 to 0 or back. The cancer workbook has two flags per row, "In pool: as published" and "In pool: de-duplicated", so the two variants can be varied independently. Every pooled row above recomputes, including τ² and I².</w:t>
      </w:r>
    </w:p>
    <w:p>
      <w:pPr/>
      <w:r>
        <w:rPr>
          <w:b/>
        </w:rPr>
        <w:t xml:space="preserve">To test the effect of the excluded designs</w:t>
      </w:r>
      <w:r>
        <w:t xml:space="preserve">, set the inclusion flag to 1 on the ecological and cross-sectional rows, which are present in the data and flagged 0.</w:t>
      </w:r>
    </w:p>
    <w:p>
      <w:pPr/>
      <w:r>
        <w:rPr>
          <w:b/>
        </w:rPr>
        <w:t xml:space="preserve">To change a multiplier or interval</w:t>
      </w:r>
      <w:r>
        <w:t xml:space="preserve"> after checking it against the source, edit the Multiplier, LCL and UCL cells. The log-transform, standard error and weights are formulas and follow automatically.</w:t>
      </w:r>
    </w:p>
    <w:p>
      <w:pPr/>
      <w:r>
        <w:rPr>
          <w:b/>
        </w:rPr>
        <w:t xml:space="preserve">To vary the Iowa exposure assumption</w:t>
      </w:r>
      <w:r>
        <w:t xml:space="preserve">, edit the yellow cell on the attributable-fraction sheet. It is the only hardcoded judgement input in either workbook.</w:t>
      </w:r>
    </w:p>
    <w:p>
      <w:pPr/>
      <w:r>
        <w:rPr>
          <w:b/>
        </w:rPr>
        <w:t xml:space="preserve">The meta-analysis working is visible, not hidden.</w:t>
      </w:r>
      <w:r>
        <w:t xml:space="preserve"> The grey-headed columns to the right of each sheet hold k, the fixed-effect mean, Q, C, τ², I², μ and SE(μ) for each pooled row. Anyone wanting to check the arithmetic against section 4 can read it straight off the sheet.</w:t>
      </w:r>
    </w:p>
    <w:p>
      <w:pPr/>
      <w:r>
        <w:rPr>
          <w:b/>
        </w:rPr>
        <w:t xml:space="preserve">Sheet map:</w:t>
      </w:r>
    </w:p>
    <w:tbl>
      <w:tblPr>
        <w:tblStyle w:val="TableGrid"/>
        <w:tblW w:w="0" w:type="auto"/>
        <w:tblLayout w:type="fixed"/>
        <w:tblLook w:val="04A0" w:firstRow="1" w:lastRow="0" w:firstColumn="0" w:lastColumn="0" w:noHBand="0" w:noVBand="1"/>
      </w:tblPr>
      <w:tblGrid>
        <w:gridCol w:w="2533"/>
        <w:gridCol w:w="6826"/>
      </w:tblGrid>
      <w:tr>
        <w:trPr>
          <w:tblHeader/>
        </w:trPr>
        <w:tc>
          <w:tcPr>
            <w:tcW w:w="2533" w:type="dxa"/>
            <w:shd w:val="clear" w:color="auto" w:fill="F2F2F2"/>
          </w:tcPr>
          <w:p>
            <w:pPr/>
            <w:r>
              <w:t xml:space="preserve">Workbook</w:t>
            </w:r>
          </w:p>
        </w:tc>
        <w:tc>
          <w:tcPr>
            <w:tcW w:w="6826" w:type="dxa"/>
            <w:shd w:val="clear" w:color="auto" w:fill="F2F2F2"/>
          </w:tcPr>
          <w:p>
            <w:pPr/>
            <w:r>
              <w:t xml:space="preserve">Sheets</w:t>
            </w:r>
          </w:p>
        </w:tc>
      </w:tr>
      <w:tr>
        <w:tc>
          <w:tcPr>
            <w:tcW w:w="2533" w:type="dxa"/>
          </w:tcPr>
          <w:p>
            <w:pPr/>
            <w:r>
              <w:t xml:space="preserve">Cancer</w:t>
            </w:r>
          </w:p>
        </w:tc>
        <w:tc>
          <w:tcPr>
            <w:tcW w:w="6826" w:type="dxa"/>
          </w:tcPr>
          <w:p>
            <w:pPr/>
            <w:r>
              <w:t xml:space="preserve">Read me · Study multipliers · Pooled by cancer · Per 10 mg per L · All cancers pooled · Iowa attributable fraction</w:t>
            </w:r>
          </w:p>
        </w:tc>
      </w:tr>
      <w:tr>
        <w:tc>
          <w:tcPr>
            <w:tcW w:w="2533" w:type="dxa"/>
          </w:tcPr>
          <w:p>
            <w:pPr/>
            <w:r>
              <w:t xml:space="preserve">Birth outcomes</w:t>
            </w:r>
          </w:p>
        </w:tc>
        <w:tc>
          <w:tcPr>
            <w:tcW w:w="6826" w:type="dxa"/>
          </w:tcPr>
          <w:p>
            <w:pPr/>
            <w:r>
              <w:t xml:space="preserve">Read me · Study multipliers · Pooled comparisons · Three-study pool · Scale and overlap · Birth weight (grams)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Technical appendix methods</dc:title>
  <dc:description>Claude Docs node/a6f4c67e-5e2c@6 docx-w7</dc:description>
  <cp:revision>6</cp:revision>
</cp:coreProperties>
</file>