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Documentación de pruebas</w:t>
      </w:r>
    </w:p>
    <w:p>
      <w:r>
        <w:rPr>
          <w:i/>
        </w:rPr>
        <w:t>Plan, trazabilidad, evidencias y pendientes de verificación</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1.1  ·  revisión al 19 de octubre de 2026 (historial 09/10 preservado)</w:t>
      </w:r>
    </w:p>
    <w:p>
      <w:pPr>
        <w:pStyle w:val="Heading2"/>
      </w:pPr>
      <w:r>
        <w:t>Propósito</w:t>
      </w:r>
    </w:p>
    <w:p>
      <w:pPr/>
      <w:r>
        <w:t>Esta revisión integra el estado observado hasta el 19 de octubre de 2026 sin alterar las evidencias históricas del 9 de octubre. Para cada resultado se distingue el nivel de prueba (servicio, navegador, operación o aceptación), la imagen/código probado y los casos pendientes de nueva ejecución.</w:t>
      </w:r>
    </w:p>
    <w:p>
      <w:r>
        <w:t>Registrar qué se probó en el incremento 0.1 de SRD, con qué herramientas, qué evidencia existe y cuáles son los criterios todavía abiertos. No se confunden pruebas unitarias, integración, recorridos de navegador y operación manual.</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Identificación y criterio de evaluación</w:t>
      </w:r>
    </w:p>
    <w:p>
      <w:pPr>
        <w:spacing w:after="20" w:line="240" w:lineRule="auto"/>
      </w:pPr>
      <w:r>
        <w:rPr>
          <w:color w:val="5C6875"/>
          <w:sz w:val="17"/>
        </w:rPr>
        <w:t>02  2. Entorno y alcance</w:t>
      </w:r>
    </w:p>
    <w:p>
      <w:pPr>
        <w:spacing w:after="20" w:line="240" w:lineRule="auto"/>
      </w:pPr>
      <w:r>
        <w:rPr>
          <w:color w:val="5C6875"/>
          <w:sz w:val="17"/>
        </w:rPr>
        <w:t>03  3. Inventario de evidencias verificables</w:t>
      </w:r>
    </w:p>
    <w:p>
      <w:pPr>
        <w:spacing w:after="20" w:line="240" w:lineRule="auto"/>
      </w:pPr>
      <w:r>
        <w:rPr>
          <w:color w:val="5C6875"/>
          <w:sz w:val="17"/>
        </w:rPr>
        <w:t>04  4. Casos funcionales y criterios de aceptación</w:t>
      </w:r>
    </w:p>
    <w:p>
      <w:pPr>
        <w:spacing w:after="20" w:line="240" w:lineRule="auto"/>
      </w:pPr>
      <w:r>
        <w:rPr>
          <w:color w:val="5C6875"/>
          <w:sz w:val="17"/>
        </w:rPr>
        <w:t>05  5. Registro puntual de corrección y repetición</w:t>
      </w:r>
    </w:p>
    <w:p>
      <w:pPr>
        <w:spacing w:after="20" w:line="240" w:lineRule="auto"/>
      </w:pPr>
      <w:r>
        <w:rPr>
          <w:color w:val="5C6875"/>
          <w:sz w:val="17"/>
        </w:rPr>
        <w:t>06  6. Ejecución reproducible</w:t>
      </w:r>
    </w:p>
    <w:p>
      <w:pPr>
        <w:spacing w:after="20" w:line="240" w:lineRule="auto"/>
      </w:pPr>
      <w:r>
        <w:rPr>
          <w:color w:val="5C6875"/>
          <w:sz w:val="17"/>
        </w:rPr>
        <w:t>07  7. Incidencias, límites y criterio de cierre</w:t>
      </w:r>
    </w:p>
    <w:p>
      <w:pPr>
        <w:spacing w:after="20" w:line="240" w:lineRule="auto"/>
      </w:pPr>
      <w:r>
        <w:rPr>
          <w:color w:val="5C6875"/>
          <w:sz w:val="17"/>
        </w:rPr>
        <w:t>08  8. Fuentes internas</w:t>
      </w:r>
    </w:p>
    <w:p>
      <w:r>
        <w:br w:type="page"/>
      </w:r>
    </w:p>
    <w:p>
      <w:pPr>
        <w:pStyle w:val="Heading1"/>
      </w:pPr>
      <w:r>
        <w:t>1. Identificación y criterio de evaluación</w:t>
      </w:r>
    </w:p>
    <w:p>
      <w:r>
        <w:t>El sistema está orientado a Juntas de Acción Comunal y usa aislamiento lógico por junta. La referencia de requisitos es la especificación SRD (56 requisitos funcionales, 18 no funcionales y 20 casos de uso). La trazabilidad del código indica 52 RF en estado parcial y cuatro pendientes; esta clasificación no equivale a un porcentaje de aceptación.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Nivel</w:t>
            </w:r>
          </w:p>
        </w:tc>
        <w:tc>
          <w:tcPr>
            <w:tcW w:type="dxa" w:w="3154"/>
            <w:shd w:fill="E9EEF2"/>
          </w:tcPr>
          <w:p>
            <w:r>
              <w:rPr>
                <w:b/>
                <w:sz w:val="17"/>
              </w:rPr>
              <w:t>Qué comprueba</w:t>
            </w:r>
          </w:p>
        </w:tc>
        <w:tc>
          <w:tcPr>
            <w:tcW w:type="dxa" w:w="3154"/>
            <w:shd w:fill="E9EEF2"/>
          </w:tcPr>
          <w:p>
            <w:r>
              <w:rPr>
                <w:b/>
                <w:sz w:val="17"/>
              </w:rPr>
              <w:t>Evidencia primaria</w:t>
            </w:r>
          </w:p>
        </w:tc>
      </w:tr>
      <w:tr>
        <w:tc>
          <w:tcPr>
            <w:tcW w:type="dxa" w:w="3154"/>
            <w:vAlign w:val="center"/>
          </w:tcPr>
          <w:p>
            <w:pPr>
              <w:spacing w:after="40" w:before="40"/>
            </w:pPr>
            <w:r>
              <w:rPr>
                <w:sz w:val="16"/>
              </w:rPr>
              <w:t>Unitario</w:t>
            </w:r>
          </w:p>
        </w:tc>
        <w:tc>
          <w:tcPr>
            <w:tcW w:type="dxa" w:w="3154"/>
            <w:vAlign w:val="center"/>
          </w:tcPr>
          <w:p>
            <w:pPr>
              <w:spacing w:after="40" w:before="40"/>
            </w:pPr>
            <w:r>
              <w:rPr>
                <w:sz w:val="16"/>
              </w:rPr>
              <w:t>Reglas de negocio, validaciones, permisos y condiciones de error</w:t>
            </w:r>
          </w:p>
        </w:tc>
        <w:tc>
          <w:tcPr>
            <w:tcW w:type="dxa" w:w="3154"/>
            <w:vAlign w:val="center"/>
          </w:tcPr>
          <w:p>
            <w:pPr>
              <w:spacing w:after="40" w:before="40"/>
            </w:pPr>
            <w:r>
              <w:rPr>
                <w:sz w:val="16"/>
              </w:rPr>
              <w:t>PHPUnit y Jest; reportes de VALIDACION.md</w:t>
            </w:r>
          </w:p>
        </w:tc>
      </w:tr>
      <w:tr>
        <w:tc>
          <w:tcPr>
            <w:tcW w:type="dxa" w:w="3154"/>
            <w:vAlign w:val="center"/>
            <w:shd w:fill="F6F8F9"/>
          </w:tcPr>
          <w:p>
            <w:pPr>
              <w:spacing w:after="40" w:before="40"/>
            </w:pPr>
            <w:r>
              <w:rPr>
                <w:sz w:val="16"/>
              </w:rPr>
              <w:t>Integración</w:t>
            </w:r>
          </w:p>
        </w:tc>
        <w:tc>
          <w:tcPr>
            <w:tcW w:type="dxa" w:w="3154"/>
            <w:vAlign w:val="center"/>
            <w:shd w:fill="F6F8F9"/>
          </w:tcPr>
          <w:p>
            <w:pPr>
              <w:spacing w:after="40" w:before="40"/>
            </w:pPr>
            <w:r>
              <w:rPr>
                <w:sz w:val="16"/>
              </w:rPr>
              <w:t>Conexiones entre servicios, persistencia, correo local y bases por dominio</w:t>
            </w:r>
          </w:p>
        </w:tc>
        <w:tc>
          <w:tcPr>
            <w:tcW w:type="dxa" w:w="3154"/>
            <w:vAlign w:val="center"/>
            <w:shd w:fill="F6F8F9"/>
          </w:tcPr>
          <w:p>
            <w:pPr>
              <w:spacing w:after="40" w:before="40"/>
            </w:pPr>
            <w:r>
              <w:rPr>
                <w:sz w:val="16"/>
              </w:rPr>
              <w:t>Scripts de verificación y Docker Compose</w:t>
            </w:r>
          </w:p>
        </w:tc>
      </w:tr>
      <w:tr>
        <w:tc>
          <w:tcPr>
            <w:tcW w:type="dxa" w:w="3154"/>
            <w:vAlign w:val="center"/>
          </w:tcPr>
          <w:p>
            <w:pPr>
              <w:spacing w:after="40" w:before="40"/>
            </w:pPr>
            <w:r>
              <w:rPr>
                <w:sz w:val="16"/>
              </w:rPr>
              <w:t>End-to-end</w:t>
            </w:r>
          </w:p>
        </w:tc>
        <w:tc>
          <w:tcPr>
            <w:tcW w:type="dxa" w:w="3154"/>
            <w:vAlign w:val="center"/>
          </w:tcPr>
          <w:p>
            <w:pPr>
              <w:spacing w:after="40" w:before="40"/>
            </w:pPr>
            <w:r>
              <w:rPr>
                <w:sz w:val="16"/>
              </w:rPr>
              <w:t>Flujos de interfaz mediante navegador real</w:t>
            </w:r>
          </w:p>
        </w:tc>
        <w:tc>
          <w:tcPr>
            <w:tcW w:type="dxa" w:w="3154"/>
            <w:vAlign w:val="center"/>
          </w:tcPr>
          <w:p>
            <w:pPr>
              <w:spacing w:after="40" w:before="40"/>
            </w:pPr>
            <w:r>
              <w:rPr>
                <w:sz w:val="16"/>
              </w:rPr>
              <w:t>Playwright/Chromium, .local/browser-runs</w:t>
            </w:r>
          </w:p>
        </w:tc>
      </w:tr>
      <w:tr>
        <w:tc>
          <w:tcPr>
            <w:tcW w:type="dxa" w:w="3154"/>
            <w:vAlign w:val="center"/>
            <w:shd w:fill="F6F8F9"/>
          </w:tcPr>
          <w:p>
            <w:pPr>
              <w:spacing w:after="40" w:before="40"/>
            </w:pPr>
            <w:r>
              <w:rPr>
                <w:sz w:val="16"/>
              </w:rPr>
              <w:t>Operativo</w:t>
            </w:r>
          </w:p>
        </w:tc>
        <w:tc>
          <w:tcPr>
            <w:tcW w:type="dxa" w:w="3154"/>
            <w:vAlign w:val="center"/>
            <w:shd w:fill="F6F8F9"/>
          </w:tcPr>
          <w:p>
            <w:pPr>
              <w:spacing w:after="40" w:before="40"/>
            </w:pPr>
            <w:r>
              <w:rPr>
                <w:sz w:val="16"/>
              </w:rPr>
              <w:t>Migraciones, salud de contenedores, outbox y ClamAV</w:t>
            </w:r>
          </w:p>
        </w:tc>
        <w:tc>
          <w:tcPr>
            <w:tcW w:type="dxa" w:w="3154"/>
            <w:vAlign w:val="center"/>
            <w:shd w:fill="F6F8F9"/>
          </w:tcPr>
          <w:p>
            <w:pPr>
              <w:spacing w:after="40" w:before="40"/>
            </w:pPr>
            <w:r>
              <w:rPr>
                <w:sz w:val="16"/>
              </w:rPr>
              <w:t>Consola Docker y registros del 09/10/2026</w:t>
            </w:r>
          </w:p>
        </w:tc>
      </w:tr>
      <w:tr>
        <w:tc>
          <w:tcPr>
            <w:tcW w:type="dxa" w:w="3154"/>
            <w:vAlign w:val="center"/>
          </w:tcPr>
          <w:p>
            <w:pPr>
              <w:spacing w:after="40" w:before="40"/>
            </w:pPr>
            <w:r>
              <w:rPr>
                <w:sz w:val="16"/>
              </w:rPr>
              <w:t>Aceptación</w:t>
            </w:r>
          </w:p>
        </w:tc>
        <w:tc>
          <w:tcPr>
            <w:tcW w:type="dxa" w:w="3154"/>
            <w:vAlign w:val="center"/>
          </w:tcPr>
          <w:p>
            <w:pPr>
              <w:spacing w:after="40" w:before="40"/>
            </w:pPr>
            <w:r>
              <w:rPr>
                <w:sz w:val="16"/>
              </w:rPr>
              <w:t>Pruebas integrales con usuarios reales y requisitos completos</w:t>
            </w:r>
          </w:p>
        </w:tc>
        <w:tc>
          <w:tcPr>
            <w:tcW w:type="dxa" w:w="3154"/>
            <w:vAlign w:val="center"/>
          </w:tcPr>
          <w:p>
            <w:pPr>
              <w:spacing w:after="40" w:before="40"/>
            </w:pPr>
            <w:r>
              <w:rPr>
                <w:sz w:val="16"/>
              </w:rPr>
              <w:t>Pendiente de cierre</w:t>
            </w:r>
          </w:p>
        </w:tc>
      </w:tr>
    </w:tbl>
    <w:p>
      <w:pPr>
        <w:spacing w:after="40"/>
      </w:pPr>
    </w:p>
    <w:p>
      <w:pPr>
        <w:pStyle w:val="Heading1"/>
      </w:pPr>
      <w:r>
        <w:t>2. Entorno y alcance</w:t>
      </w:r>
    </w:p>
    <w:p>
      <w:pPr/>
      <w:r>
        <w:t>Los recorridos recientes se ejecutaron localmente mediante Docker Compose contra una misma imagen del cliente web. En el corte del 19/10/2026 aprobaron 33 archivos distintos de los 140 .spec.mjs inventariados; esto NO equivale a 33 de 140 casos de prueba ni a una tasa de éxito: los otros 107 archivos no cuentan con una ejecución final registrada en esa misma imagen. Los informes de navegador quedan en .local/browser-runs, un directorio local no incluido necesariamente en el ZIP.</w:t>
      </w:r>
    </w:p>
    <w:p>
      <w:pPr/>
      <w:r>
        <w:t>La carga de adjuntos y fotografías quedó bloqueada por firmas ClamAV vencidas: la API respondió 503 conforme al rechazo seguro. Se registra como bloqueo del entorno, nunca como prueba de archivo aprobado ni como autorización para desconectar el análisis antivirus.</w:t>
      </w:r>
    </w:p>
    <w:p>
      <w:r>
        <w:t>Entorno de desarrollo local Windows/PowerShell, Docker Compose, MySQL 8.4, Laravel 12/PHP, React/TypeScript, Mailpit y ClamAV. Se emplearon juntas y cuentas sintéticas; el código publicado no incluye credenciales, bases reales ni mensajes privados. Los informes del repositorio se relacionan con rutas relativas para poder encontrarlos.</w:t>
      </w:r>
    </w:p>
    <w:p>
      <w:pPr>
        <w:pStyle w:val="Heading1"/>
      </w:pPr>
      <w:r>
        <w:t>3. Inventario de evidencias verificables</w:t>
      </w:r>
    </w:p>
    <w:p>
      <w:pPr/>
      <w:r>
        <w:t>El inventario debe identificar por separado: tipo de evidencia; fecha; commit o versión de la imagen web; módulo; rol utilizado; archivo de prueba concreto; ruta de informe; esperado/obtenido y limitaciones. VALIDACION.md contiene pruebas de servicios y funcionales; REVISION_UX_WEB.md y PENDIENTES-WEB-2026-10-16.md identifican los recorridos del navegador. No se suman aserciones, casos y archivos porque no miden lo mismo.</w:t>
      </w:r>
    </w:p>
    <w:p>
      <w:pPr/>
      <w:r>
        <w:t>Como evidencia reciente constan web-empty-states.spec.mjs (14 secciones de junta vacía, 320/1280 px y 28 capturas), pruebas de carga lenta, recuperación de Consultar Personas tras error 503 y reintento, autorización por los seis roles, invitaciones, privacidad, Chat, notificaciones y exportación de Auditoría. El reporte local de cada ejecución debe asociarse a la imagen servida por Docker; las capturas por sí solas no prueban permisos de escritura.</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365"/>
            <w:shd w:fill="E9EEF2"/>
          </w:tcPr>
          <w:p>
            <w:r>
              <w:rPr>
                <w:b/>
                <w:sz w:val="17"/>
              </w:rPr>
              <w:t>Código</w:t>
            </w:r>
          </w:p>
        </w:tc>
        <w:tc>
          <w:tcPr>
            <w:tcW w:type="dxa" w:w="2365"/>
            <w:shd w:fill="E9EEF2"/>
          </w:tcPr>
          <w:p>
            <w:r>
              <w:rPr>
                <w:b/>
                <w:sz w:val="17"/>
              </w:rPr>
              <w:t>Componente / ejecución</w:t>
            </w:r>
          </w:p>
        </w:tc>
        <w:tc>
          <w:tcPr>
            <w:tcW w:type="dxa" w:w="2365"/>
            <w:shd w:fill="E9EEF2"/>
          </w:tcPr>
          <w:p>
            <w:r>
              <w:rPr>
                <w:b/>
                <w:sz w:val="17"/>
              </w:rPr>
              <w:t>Resultado documentado</w:t>
            </w:r>
          </w:p>
        </w:tc>
        <w:tc>
          <w:tcPr>
            <w:tcW w:type="dxa" w:w="2365"/>
            <w:shd w:fill="E9EEF2"/>
          </w:tcPr>
          <w:p>
            <w:r>
              <w:rPr>
                <w:b/>
                <w:sz w:val="17"/>
              </w:rPr>
              <w:t>Fuente</w:t>
            </w:r>
          </w:p>
        </w:tc>
      </w:tr>
      <w:tr>
        <w:tc>
          <w:tcPr>
            <w:tcW w:type="dxa" w:w="2365"/>
            <w:vAlign w:val="center"/>
          </w:tcPr>
          <w:p>
            <w:pPr>
              <w:spacing w:after="40" w:before="40"/>
            </w:pPr>
            <w:r>
              <w:rPr>
                <w:sz w:val="16"/>
              </w:rPr>
              <w:t>PT-01</w:t>
            </w:r>
          </w:p>
        </w:tc>
        <w:tc>
          <w:tcPr>
            <w:tcW w:type="dxa" w:w="2365"/>
            <w:vAlign w:val="center"/>
          </w:tcPr>
          <w:p>
            <w:pPr>
              <w:spacing w:after="40" w:before="40"/>
            </w:pPr>
            <w:r>
              <w:rPr>
                <w:sz w:val="16"/>
              </w:rPr>
              <w:t>Archivos: FolderApiTest + FolderDocumentTest</w:t>
            </w:r>
          </w:p>
        </w:tc>
        <w:tc>
          <w:tcPr>
            <w:tcW w:type="dxa" w:w="2365"/>
            <w:vAlign w:val="center"/>
          </w:tcPr>
          <w:p>
            <w:pPr>
              <w:spacing w:after="40" w:before="40"/>
            </w:pPr>
            <w:r>
              <w:rPr>
                <w:sz w:val="16"/>
              </w:rPr>
              <w:t>32/32; 778 aserciones; nombres ES/EN, versiones, accesos</w:t>
            </w:r>
          </w:p>
        </w:tc>
        <w:tc>
          <w:tcPr>
            <w:tcW w:type="dxa" w:w="2365"/>
            <w:vAlign w:val="center"/>
          </w:tcPr>
          <w:p>
            <w:pPr>
              <w:spacing w:after="40" w:before="40"/>
            </w:pPr>
            <w:r>
              <w:rPr>
                <w:sz w:val="16"/>
              </w:rPr>
              <w:t>docs/VALIDACION.md, 08/10</w:t>
            </w:r>
          </w:p>
        </w:tc>
      </w:tr>
      <w:tr>
        <w:tc>
          <w:tcPr>
            <w:tcW w:type="dxa" w:w="2365"/>
            <w:vAlign w:val="center"/>
            <w:shd w:fill="F6F8F9"/>
          </w:tcPr>
          <w:p>
            <w:pPr>
              <w:spacing w:after="40" w:before="40"/>
            </w:pPr>
            <w:r>
              <w:rPr>
                <w:sz w:val="16"/>
              </w:rPr>
              <w:t>PT-02</w:t>
            </w:r>
          </w:p>
        </w:tc>
        <w:tc>
          <w:tcPr>
            <w:tcW w:type="dxa" w:w="2365"/>
            <w:vAlign w:val="center"/>
            <w:shd w:fill="F6F8F9"/>
          </w:tcPr>
          <w:p>
            <w:pPr>
              <w:spacing w:after="40" w:before="40"/>
            </w:pPr>
            <w:r>
              <w:rPr>
                <w:sz w:val="16"/>
              </w:rPr>
              <w:t>Playwright: folder-language.spec.mjs</w:t>
            </w:r>
          </w:p>
        </w:tc>
        <w:tc>
          <w:tcPr>
            <w:tcW w:type="dxa" w:w="2365"/>
            <w:vAlign w:val="center"/>
            <w:shd w:fill="F6F8F9"/>
          </w:tcPr>
          <w:p>
            <w:pPr>
              <w:spacing w:after="40" w:before="40"/>
            </w:pPr>
            <w:r>
              <w:rPr>
                <w:sz w:val="16"/>
              </w:rPr>
              <w:t>1 aprobado; 0 fallidos; persistencia de idioma, 360 px</w:t>
            </w:r>
          </w:p>
        </w:tc>
        <w:tc>
          <w:tcPr>
            <w:tcW w:type="dxa" w:w="2365"/>
            <w:vAlign w:val="center"/>
            <w:shd w:fill="F6F8F9"/>
          </w:tcPr>
          <w:p>
            <w:pPr>
              <w:spacing w:after="40" w:before="40"/>
            </w:pPr>
            <w:r>
              <w:rPr>
                <w:sz w:val="16"/>
              </w:rPr>
              <w:t>docs/VALIDACION.md, 08/10</w:t>
            </w:r>
          </w:p>
        </w:tc>
      </w:tr>
      <w:tr>
        <w:tc>
          <w:tcPr>
            <w:tcW w:type="dxa" w:w="2365"/>
            <w:vAlign w:val="center"/>
          </w:tcPr>
          <w:p>
            <w:pPr>
              <w:spacing w:after="40" w:before="40"/>
            </w:pPr>
            <w:r>
              <w:rPr>
                <w:sz w:val="16"/>
              </w:rPr>
              <w:t>PT-03</w:t>
            </w:r>
          </w:p>
        </w:tc>
        <w:tc>
          <w:tcPr>
            <w:tcW w:type="dxa" w:w="2365"/>
            <w:vAlign w:val="center"/>
          </w:tcPr>
          <w:p>
            <w:pPr>
              <w:spacing w:after="40" w:before="40"/>
            </w:pPr>
            <w:r>
              <w:rPr>
                <w:sz w:val="16"/>
              </w:rPr>
              <w:t>Playwright: folders.spec.mjs</w:t>
            </w:r>
          </w:p>
        </w:tc>
        <w:tc>
          <w:tcPr>
            <w:tcW w:type="dxa" w:w="2365"/>
            <w:vAlign w:val="center"/>
          </w:tcPr>
          <w:p>
            <w:pPr>
              <w:spacing w:after="40" w:before="40"/>
            </w:pPr>
            <w:r>
              <w:rPr>
                <w:sz w:val="16"/>
              </w:rPr>
              <w:t>1 aprobado; 0 fallidos; jerarquía, conflictos, auditoría</w:t>
            </w:r>
          </w:p>
        </w:tc>
        <w:tc>
          <w:tcPr>
            <w:tcW w:type="dxa" w:w="2365"/>
            <w:vAlign w:val="center"/>
          </w:tcPr>
          <w:p>
            <w:pPr>
              <w:spacing w:after="40" w:before="40"/>
            </w:pPr>
            <w:r>
              <w:rPr>
                <w:sz w:val="16"/>
              </w:rPr>
              <w:t>docs/VALIDACION.md, 08/10</w:t>
            </w:r>
          </w:p>
        </w:tc>
      </w:tr>
      <w:tr>
        <w:tc>
          <w:tcPr>
            <w:tcW w:type="dxa" w:w="2365"/>
            <w:vAlign w:val="center"/>
            <w:shd w:fill="F6F8F9"/>
          </w:tcPr>
          <w:p>
            <w:pPr>
              <w:spacing w:after="40" w:before="40"/>
            </w:pPr>
            <w:r>
              <w:rPr>
                <w:sz w:val="16"/>
              </w:rPr>
              <w:t>PT-04</w:t>
            </w:r>
          </w:p>
        </w:tc>
        <w:tc>
          <w:tcPr>
            <w:tcW w:type="dxa" w:w="2365"/>
            <w:vAlign w:val="center"/>
            <w:shd w:fill="F6F8F9"/>
          </w:tcPr>
          <w:p>
            <w:pPr>
              <w:spacing w:after="40" w:before="40"/>
            </w:pPr>
            <w:r>
              <w:rPr>
                <w:sz w:val="16"/>
              </w:rPr>
              <w:t>Android nativo: Jest + TypeScript + lint</w:t>
            </w:r>
          </w:p>
        </w:tc>
        <w:tc>
          <w:tcPr>
            <w:tcW w:type="dxa" w:w="2365"/>
            <w:vAlign w:val="center"/>
            <w:shd w:fill="F6F8F9"/>
          </w:tcPr>
          <w:p>
            <w:pPr>
              <w:spacing w:after="40" w:before="40"/>
            </w:pPr>
            <w:r>
              <w:rPr>
                <w:sz w:val="16"/>
              </w:rPr>
              <w:t>37/37 Jest; compilación debug x86_64 satisfactoria</w:t>
            </w:r>
          </w:p>
        </w:tc>
        <w:tc>
          <w:tcPr>
            <w:tcW w:type="dxa" w:w="2365"/>
            <w:vAlign w:val="center"/>
            <w:shd w:fill="F6F8F9"/>
          </w:tcPr>
          <w:p>
            <w:pPr>
              <w:spacing w:after="40" w:before="40"/>
            </w:pPr>
            <w:r>
              <w:rPr>
                <w:sz w:val="16"/>
              </w:rPr>
              <w:t>docs/VALIDACION.md, 05/10</w:t>
            </w:r>
          </w:p>
        </w:tc>
      </w:tr>
      <w:tr>
        <w:tc>
          <w:tcPr>
            <w:tcW w:type="dxa" w:w="2365"/>
            <w:vAlign w:val="center"/>
          </w:tcPr>
          <w:p>
            <w:pPr>
              <w:spacing w:after="40" w:before="40"/>
            </w:pPr>
            <w:r>
              <w:rPr>
                <w:sz w:val="16"/>
              </w:rPr>
              <w:t>PT-05</w:t>
            </w:r>
          </w:p>
        </w:tc>
        <w:tc>
          <w:tcPr>
            <w:tcW w:type="dxa" w:w="2365"/>
            <w:vAlign w:val="center"/>
          </w:tcPr>
          <w:p>
            <w:pPr>
              <w:spacing w:after="40" w:before="40"/>
            </w:pPr>
            <w:r>
              <w:rPr>
                <w:sz w:val="16"/>
              </w:rPr>
              <w:t>Chat: paginación de conversaciones en Chromium</w:t>
            </w:r>
          </w:p>
        </w:tc>
        <w:tc>
          <w:tcPr>
            <w:tcW w:type="dxa" w:w="2365"/>
            <w:vAlign w:val="center"/>
          </w:tcPr>
          <w:p>
            <w:pPr>
              <w:spacing w:after="40" w:before="40"/>
            </w:pPr>
            <w:r>
              <w:rPr>
                <w:sz w:val="16"/>
              </w:rPr>
              <w:t>1 caso aprobado; 27 conversaciones, páginas 25 + 2</w:t>
            </w:r>
          </w:p>
        </w:tc>
        <w:tc>
          <w:tcPr>
            <w:tcW w:type="dxa" w:w="2365"/>
            <w:vAlign w:val="center"/>
          </w:tcPr>
          <w:p>
            <w:pPr>
              <w:spacing w:after="40" w:before="40"/>
            </w:pPr>
            <w:r>
              <w:rPr>
                <w:sz w:val="16"/>
              </w:rPr>
              <w:t>docs/VALIDACION.md, 03/10</w:t>
            </w:r>
          </w:p>
        </w:tc>
      </w:tr>
      <w:tr>
        <w:tc>
          <w:tcPr>
            <w:tcW w:type="dxa" w:w="2365"/>
            <w:vAlign w:val="center"/>
            <w:shd w:fill="F6F8F9"/>
          </w:tcPr>
          <w:p>
            <w:pPr>
              <w:spacing w:after="40" w:before="40"/>
            </w:pPr>
            <w:r>
              <w:rPr>
                <w:sz w:val="16"/>
              </w:rPr>
              <w:t>PT-06</w:t>
            </w:r>
          </w:p>
        </w:tc>
        <w:tc>
          <w:tcPr>
            <w:tcW w:type="dxa" w:w="2365"/>
            <w:vAlign w:val="center"/>
            <w:shd w:fill="F6F8F9"/>
          </w:tcPr>
          <w:p>
            <w:pPr>
              <w:spacing w:after="40" w:before="40"/>
            </w:pPr>
            <w:r>
              <w:rPr>
                <w:sz w:val="16"/>
              </w:rPr>
              <w:t>Gateway: consulta concurrente de servicios</w:t>
            </w:r>
          </w:p>
        </w:tc>
        <w:tc>
          <w:tcPr>
            <w:tcW w:type="dxa" w:w="2365"/>
            <w:vAlign w:val="center"/>
            <w:shd w:fill="F6F8F9"/>
          </w:tcPr>
          <w:p>
            <w:pPr>
              <w:spacing w:after="40" w:before="40"/>
            </w:pPr>
            <w:r>
              <w:rPr>
                <w:sz w:val="16"/>
              </w:rPr>
              <w:t>25 pruebas; 407 aserciones; degradación parcial controlada</w:t>
            </w:r>
          </w:p>
        </w:tc>
        <w:tc>
          <w:tcPr>
            <w:tcW w:type="dxa" w:w="2365"/>
            <w:vAlign w:val="center"/>
            <w:shd w:fill="F6F8F9"/>
          </w:tcPr>
          <w:p>
            <w:pPr>
              <w:spacing w:after="40" w:before="40"/>
            </w:pPr>
            <w:r>
              <w:rPr>
                <w:sz w:val="16"/>
              </w:rPr>
              <w:t>docs/VALIDACION.md, 03/10</w:t>
            </w:r>
          </w:p>
        </w:tc>
      </w:tr>
      <w:tr>
        <w:tc>
          <w:tcPr>
            <w:tcW w:type="dxa" w:w="2365"/>
            <w:vAlign w:val="center"/>
          </w:tcPr>
          <w:p>
            <w:pPr>
              <w:spacing w:after="40" w:before="40"/>
            </w:pPr>
            <w:r>
              <w:rPr>
                <w:sz w:val="16"/>
              </w:rPr>
              <w:t>PT-07</w:t>
            </w:r>
          </w:p>
        </w:tc>
        <w:tc>
          <w:tcPr>
            <w:tcW w:type="dxa" w:w="2365"/>
            <w:vAlign w:val="center"/>
          </w:tcPr>
          <w:p>
            <w:pPr>
              <w:spacing w:after="40" w:before="40"/>
            </w:pPr>
            <w:r>
              <w:rPr>
                <w:sz w:val="16"/>
              </w:rPr>
              <w:t>Outbox: reintento autorizado en Chromium</w:t>
            </w:r>
          </w:p>
        </w:tc>
        <w:tc>
          <w:tcPr>
            <w:tcW w:type="dxa" w:w="2365"/>
            <w:vAlign w:val="center"/>
          </w:tcPr>
          <w:p>
            <w:pPr>
              <w:spacing w:after="40" w:before="40"/>
            </w:pPr>
            <w:r>
              <w:rPr>
                <w:sz w:val="16"/>
              </w:rPr>
              <w:t>1 caso aprobado; deduplicación y rol comprobados</w:t>
            </w:r>
          </w:p>
        </w:tc>
        <w:tc>
          <w:tcPr>
            <w:tcW w:type="dxa" w:w="2365"/>
            <w:vAlign w:val="center"/>
          </w:tcPr>
          <w:p>
            <w:pPr>
              <w:spacing w:after="40" w:before="40"/>
            </w:pPr>
            <w:r>
              <w:rPr>
                <w:sz w:val="16"/>
              </w:rPr>
              <w:t>docs/VALIDACION.md, 03/10</w:t>
            </w:r>
          </w:p>
        </w:tc>
      </w:tr>
      <w:tr>
        <w:tc>
          <w:tcPr>
            <w:tcW w:type="dxa" w:w="2365"/>
            <w:vAlign w:val="center"/>
            <w:shd w:fill="F6F8F9"/>
          </w:tcPr>
          <w:p>
            <w:pPr>
              <w:spacing w:after="40" w:before="40"/>
            </w:pPr>
            <w:r>
              <w:rPr>
                <w:sz w:val="16"/>
              </w:rPr>
              <w:t>PT-08</w:t>
            </w:r>
          </w:p>
        </w:tc>
        <w:tc>
          <w:tcPr>
            <w:tcW w:type="dxa" w:w="2365"/>
            <w:vAlign w:val="center"/>
            <w:shd w:fill="F6F8F9"/>
          </w:tcPr>
          <w:p>
            <w:pPr>
              <w:spacing w:after="40" w:before="40"/>
            </w:pPr>
            <w:r>
              <w:rPr>
                <w:sz w:val="16"/>
              </w:rPr>
              <w:t>Correo local: reintentos de entrega</w:t>
            </w:r>
          </w:p>
        </w:tc>
        <w:tc>
          <w:tcPr>
            <w:tcW w:type="dxa" w:w="2365"/>
            <w:vAlign w:val="center"/>
            <w:shd w:fill="F6F8F9"/>
          </w:tcPr>
          <w:p>
            <w:pPr>
              <w:spacing w:after="40" w:before="40"/>
            </w:pPr>
            <w:r>
              <w:rPr>
                <w:sz w:val="16"/>
              </w:rPr>
              <w:t>Chromium 1 caso aprobado; recepción en Mailpit</w:t>
            </w:r>
          </w:p>
        </w:tc>
        <w:tc>
          <w:tcPr>
            <w:tcW w:type="dxa" w:w="2365"/>
            <w:vAlign w:val="center"/>
            <w:shd w:fill="F6F8F9"/>
          </w:tcPr>
          <w:p>
            <w:pPr>
              <w:spacing w:after="40" w:before="40"/>
            </w:pPr>
            <w:r>
              <w:rPr>
                <w:sz w:val="16"/>
              </w:rPr>
              <w:t>docs/VALIDACION.md, 03/10</w:t>
            </w:r>
          </w:p>
        </w:tc>
      </w:tr>
      <w:tr>
        <w:tc>
          <w:tcPr>
            <w:tcW w:type="dxa" w:w="2365"/>
            <w:vAlign w:val="center"/>
          </w:tcPr>
          <w:p>
            <w:pPr>
              <w:spacing w:after="40" w:before="40"/>
            </w:pPr>
            <w:r>
              <w:rPr>
                <w:sz w:val="16"/>
              </w:rPr>
              <w:t>PT-09</w:t>
            </w:r>
          </w:p>
        </w:tc>
        <w:tc>
          <w:tcPr>
            <w:tcW w:type="dxa" w:w="2365"/>
            <w:vAlign w:val="center"/>
          </w:tcPr>
          <w:p>
            <w:pPr>
              <w:spacing w:after="40" w:before="40"/>
            </w:pPr>
            <w:r>
              <w:rPr>
                <w:sz w:val="16"/>
              </w:rPr>
              <w:t>Exposición Android físico por Expo Go</w:t>
            </w:r>
          </w:p>
        </w:tc>
        <w:tc>
          <w:tcPr>
            <w:tcW w:type="dxa" w:w="2365"/>
            <w:vAlign w:val="center"/>
          </w:tcPr>
          <w:p>
            <w:pPr>
              <w:spacing w:after="40" w:before="40"/>
            </w:pPr>
            <w:r>
              <w:rPr>
                <w:sz w:val="16"/>
              </w:rPr>
              <w:t>Acceso/MFA, Inicio, Personas, Agenda, Avisos, Perfil y reingreso con semilla anterior</w:t>
            </w:r>
          </w:p>
        </w:tc>
        <w:tc>
          <w:tcPr>
            <w:tcW w:type="dxa" w:w="2365"/>
            <w:vAlign w:val="center"/>
          </w:tcPr>
          <w:p>
            <w:pPr>
              <w:spacing w:after="40" w:before="40"/>
            </w:pPr>
            <w:r>
              <w:rPr>
                <w:sz w:val="16"/>
              </w:rPr>
              <w:t>docs/GUIA-EXPOSICION-2026-10-09.md</w:t>
            </w:r>
          </w:p>
        </w:tc>
      </w:tr>
      <w:tr>
        <w:tc>
          <w:tcPr>
            <w:tcW w:type="dxa" w:w="2365"/>
            <w:vAlign w:val="center"/>
            <w:shd w:fill="F6F8F9"/>
          </w:tcPr>
          <w:p>
            <w:pPr>
              <w:spacing w:after="40" w:before="40"/>
            </w:pPr>
            <w:r>
              <w:rPr>
                <w:sz w:val="16"/>
              </w:rPr>
              <w:t>PT-10</w:t>
            </w:r>
          </w:p>
        </w:tc>
        <w:tc>
          <w:tcPr>
            <w:tcW w:type="dxa" w:w="2365"/>
            <w:vAlign w:val="center"/>
            <w:shd w:fill="F6F8F9"/>
          </w:tcPr>
          <w:p>
            <w:pPr>
              <w:spacing w:after="40" w:before="40"/>
            </w:pPr>
            <w:r>
              <w:rPr>
                <w:sz w:val="16"/>
              </w:rPr>
              <w:t>Recuperación operativa, 09/10</w:t>
            </w:r>
          </w:p>
        </w:tc>
        <w:tc>
          <w:tcPr>
            <w:tcW w:type="dxa" w:w="2365"/>
            <w:vAlign w:val="center"/>
            <w:shd w:fill="F6F8F9"/>
          </w:tcPr>
          <w:p>
            <w:pPr>
              <w:spacing w:after="40" w:before="40"/>
            </w:pPr>
            <w:r>
              <w:rPr>
                <w:sz w:val="16"/>
              </w:rPr>
              <w:t>33 eventos agotados recuperados y publicados; 9 schedulers healthy</w:t>
            </w:r>
          </w:p>
        </w:tc>
        <w:tc>
          <w:tcPr>
            <w:tcW w:type="dxa" w:w="2365"/>
            <w:vAlign w:val="center"/>
            <w:shd w:fill="F6F8F9"/>
          </w:tcPr>
          <w:p>
            <w:pPr>
              <w:spacing w:after="40" w:before="40"/>
            </w:pPr>
            <w:r>
              <w:rPr>
                <w:sz w:val="16"/>
              </w:rPr>
              <w:t>Registros de consola de la recuperación</w:t>
            </w:r>
          </w:p>
        </w:tc>
      </w:tr>
      <w:tr>
        <w:tc>
          <w:tcPr>
            <w:tcW w:type="dxa" w:w="2365"/>
            <w:vAlign w:val="center"/>
          </w:tcPr>
          <w:p>
            <w:pPr>
              <w:spacing w:after="40" w:before="40"/>
            </w:pPr>
            <w:r>
              <w:rPr>
                <w:sz w:val="16"/>
              </w:rPr>
              <w:t>PT-11</w:t>
            </w:r>
          </w:p>
        </w:tc>
        <w:tc>
          <w:tcPr>
            <w:tcW w:type="dxa" w:w="2365"/>
            <w:vAlign w:val="center"/>
          </w:tcPr>
          <w:p>
            <w:pPr>
              <w:spacing w:after="40" w:before="40"/>
            </w:pPr>
            <w:r>
              <w:rPr>
                <w:sz w:val="16"/>
              </w:rPr>
              <w:t>Firma antivirus, 09/10</w:t>
            </w:r>
          </w:p>
        </w:tc>
        <w:tc>
          <w:tcPr>
            <w:tcW w:type="dxa" w:w="2365"/>
            <w:vAlign w:val="center"/>
          </w:tcPr>
          <w:p>
            <w:pPr>
              <w:spacing w:after="40" w:before="40"/>
            </w:pPr>
            <w:r>
              <w:rPr>
                <w:sz w:val="16"/>
              </w:rPr>
              <w:t>ClamAV healthy; FreshClam versión 28148; actualización verificada</w:t>
            </w:r>
          </w:p>
        </w:tc>
        <w:tc>
          <w:tcPr>
            <w:tcW w:type="dxa" w:w="2365"/>
            <w:vAlign w:val="center"/>
          </w:tcPr>
          <w:p>
            <w:pPr>
              <w:spacing w:after="40" w:before="40"/>
            </w:pPr>
            <w:r>
              <w:rPr>
                <w:sz w:val="16"/>
              </w:rPr>
              <w:t>Registros de consola de la recuperación</w:t>
            </w:r>
          </w:p>
        </w:tc>
      </w:tr>
    </w:tbl>
    <w:p>
      <w:pPr>
        <w:spacing w:after="40"/>
      </w:pPr>
    </w:p>
    <w:p>
      <w:pPr>
        <w:pStyle w:val="Heading1"/>
      </w:pPr>
      <w:r>
        <w:t>4. Casos funcionales y criterios de aceptación</w:t>
      </w:r>
    </w:p>
    <w:p>
      <w:pPr/>
      <w:r>
        <w:t>Para cada RF, RNF y CU se conserva el identificador de TRAZABILIDAD.md y se diligencian los campos: requisito/caso, precondición y rol, datos sintéticos, pasos reproducibles, resultado esperado, resultado obtenido, referencia de evidencia, fecha y estado. Estados aceptados: aprobado en el alcance ensayado; fallido con evidencia; parcial (existe implementación con verificación incompleta); bloqueado por entorno; no ejecutado. Una pantalla que responde 200 no acredita una operación de negocio.</w:t>
      </w:r>
    </w:p>
    <w:p>
      <w:pPr/>
      <w:r>
        <w:t>La matriz debe cubrir, además de rutas sin efectos, una operación permitida y la correspondiente denegada por cada rol donde corresponda: Personas, Carpetas, Calendario, Tesorería, Inventario, Configuración, Invitaciones, Chat y Auditoría. Incluir 403/404, conflicto 409, consulta 503, escritura de estado incierto y aislamiento entre juntas; no cerrar casos por navegación exitosa solamente.</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365"/>
            <w:shd w:fill="E9EEF2"/>
          </w:tcPr>
          <w:p>
            <w:r>
              <w:rPr>
                <w:b/>
                <w:sz w:val="17"/>
              </w:rPr>
              <w:t>ID</w:t>
            </w:r>
          </w:p>
        </w:tc>
        <w:tc>
          <w:tcPr>
            <w:tcW w:type="dxa" w:w="2365"/>
            <w:shd w:fill="E9EEF2"/>
          </w:tcPr>
          <w:p>
            <w:r>
              <w:rPr>
                <w:b/>
                <w:sz w:val="17"/>
              </w:rPr>
              <w:t>Escenario y pasos mínimos</w:t>
            </w:r>
          </w:p>
        </w:tc>
        <w:tc>
          <w:tcPr>
            <w:tcW w:type="dxa" w:w="2365"/>
            <w:shd w:fill="E9EEF2"/>
          </w:tcPr>
          <w:p>
            <w:r>
              <w:rPr>
                <w:b/>
                <w:sz w:val="17"/>
              </w:rPr>
              <w:t>Criterio esperado</w:t>
            </w:r>
          </w:p>
        </w:tc>
        <w:tc>
          <w:tcPr>
            <w:tcW w:type="dxa" w:w="2365"/>
            <w:shd w:fill="E9EEF2"/>
          </w:tcPr>
          <w:p>
            <w:r>
              <w:rPr>
                <w:b/>
                <w:sz w:val="17"/>
              </w:rPr>
              <w:t>Estado</w:t>
            </w:r>
          </w:p>
        </w:tc>
      </w:tr>
      <w:tr>
        <w:tc>
          <w:tcPr>
            <w:tcW w:type="dxa" w:w="2365"/>
            <w:vAlign w:val="center"/>
          </w:tcPr>
          <w:p>
            <w:pPr>
              <w:spacing w:after="40" w:before="40"/>
            </w:pPr>
            <w:r>
              <w:rPr>
                <w:sz w:val="16"/>
              </w:rPr>
              <w:t>CP-01</w:t>
            </w:r>
          </w:p>
        </w:tc>
        <w:tc>
          <w:tcPr>
            <w:tcW w:type="dxa" w:w="2365"/>
            <w:vAlign w:val="center"/>
          </w:tcPr>
          <w:p>
            <w:pPr>
              <w:spacing w:after="40" w:before="40"/>
            </w:pPr>
            <w:r>
              <w:rPr>
                <w:sz w:val="16"/>
              </w:rPr>
              <w:t>Iniciar sesión con junta y MFA local</w:t>
            </w:r>
          </w:p>
        </w:tc>
        <w:tc>
          <w:tcPr>
            <w:tcW w:type="dxa" w:w="2365"/>
            <w:vAlign w:val="center"/>
          </w:tcPr>
          <w:p>
            <w:pPr>
              <w:spacing w:after="40" w:before="40"/>
            </w:pPr>
            <w:r>
              <w:rPr>
                <w:sz w:val="16"/>
              </w:rPr>
              <w:t>Solo accede la cuenta autorizada y la junta activa</w:t>
            </w:r>
          </w:p>
        </w:tc>
        <w:tc>
          <w:tcPr>
            <w:tcW w:type="dxa" w:w="2365"/>
            <w:vAlign w:val="center"/>
          </w:tcPr>
          <w:p>
            <w:pPr>
              <w:spacing w:after="40" w:before="40"/>
            </w:pPr>
            <w:r>
              <w:rPr>
                <w:sz w:val="16"/>
              </w:rPr>
              <w:t>Evidencia previa</w:t>
            </w:r>
          </w:p>
        </w:tc>
      </w:tr>
      <w:tr>
        <w:tc>
          <w:tcPr>
            <w:tcW w:type="dxa" w:w="2365"/>
            <w:vAlign w:val="center"/>
            <w:shd w:fill="F6F8F9"/>
          </w:tcPr>
          <w:p>
            <w:pPr>
              <w:spacing w:after="40" w:before="40"/>
            </w:pPr>
            <w:r>
              <w:rPr>
                <w:sz w:val="16"/>
              </w:rPr>
              <w:t>CP-02</w:t>
            </w:r>
          </w:p>
        </w:tc>
        <w:tc>
          <w:tcPr>
            <w:tcW w:type="dxa" w:w="2365"/>
            <w:vAlign w:val="center"/>
            <w:shd w:fill="F6F8F9"/>
          </w:tcPr>
          <w:p>
            <w:pPr>
              <w:spacing w:after="40" w:before="40"/>
            </w:pPr>
            <w:r>
              <w:rPr>
                <w:sz w:val="16"/>
              </w:rPr>
              <w:t>Intentar leer otra junta cambiando un identificador</w:t>
            </w:r>
          </w:p>
        </w:tc>
        <w:tc>
          <w:tcPr>
            <w:tcW w:type="dxa" w:w="2365"/>
            <w:vAlign w:val="center"/>
            <w:shd w:fill="F6F8F9"/>
          </w:tcPr>
          <w:p>
            <w:pPr>
              <w:spacing w:after="40" w:before="40"/>
            </w:pPr>
            <w:r>
              <w:rPr>
                <w:sz w:val="16"/>
              </w:rPr>
              <w:t>El servidor rechaza recursos de otra junta</w:t>
            </w:r>
          </w:p>
        </w:tc>
        <w:tc>
          <w:tcPr>
            <w:tcW w:type="dxa" w:w="2365"/>
            <w:vAlign w:val="center"/>
            <w:shd w:fill="F6F8F9"/>
          </w:tcPr>
          <w:p>
            <w:pPr>
              <w:spacing w:after="40" w:before="40"/>
            </w:pPr>
            <w:r>
              <w:rPr>
                <w:sz w:val="16"/>
              </w:rPr>
              <w:t>Cobertura parcial</w:t>
            </w:r>
          </w:p>
        </w:tc>
      </w:tr>
      <w:tr>
        <w:tc>
          <w:tcPr>
            <w:tcW w:type="dxa" w:w="2365"/>
            <w:vAlign w:val="center"/>
          </w:tcPr>
          <w:p>
            <w:pPr>
              <w:spacing w:after="40" w:before="40"/>
            </w:pPr>
            <w:r>
              <w:rPr>
                <w:sz w:val="16"/>
              </w:rPr>
              <w:t>CP-03</w:t>
            </w:r>
          </w:p>
        </w:tc>
        <w:tc>
          <w:tcPr>
            <w:tcW w:type="dxa" w:w="2365"/>
            <w:vAlign w:val="center"/>
          </w:tcPr>
          <w:p>
            <w:pPr>
              <w:spacing w:after="40" w:before="40"/>
            </w:pPr>
            <w:r>
              <w:rPr>
                <w:sz w:val="16"/>
              </w:rPr>
              <w:t>Crear persona pendiente con datos mínimos</w:t>
            </w:r>
          </w:p>
        </w:tc>
        <w:tc>
          <w:tcPr>
            <w:tcW w:type="dxa" w:w="2365"/>
            <w:vAlign w:val="center"/>
          </w:tcPr>
          <w:p>
            <w:pPr>
              <w:spacing w:after="40" w:before="40"/>
            </w:pPr>
            <w:r>
              <w:rPr>
                <w:sz w:val="16"/>
              </w:rPr>
              <w:t>Guarda sin forzar campos de completado</w:t>
            </w:r>
          </w:p>
        </w:tc>
        <w:tc>
          <w:tcPr>
            <w:tcW w:type="dxa" w:w="2365"/>
            <w:vAlign w:val="center"/>
          </w:tcPr>
          <w:p>
            <w:pPr>
              <w:spacing w:after="40" w:before="40"/>
            </w:pPr>
            <w:r>
              <w:rPr>
                <w:sz w:val="16"/>
              </w:rPr>
              <w:t>Cobertura parcial</w:t>
            </w:r>
          </w:p>
        </w:tc>
      </w:tr>
      <w:tr>
        <w:tc>
          <w:tcPr>
            <w:tcW w:type="dxa" w:w="2365"/>
            <w:vAlign w:val="center"/>
            <w:shd w:fill="F6F8F9"/>
          </w:tcPr>
          <w:p>
            <w:pPr>
              <w:spacing w:after="40" w:before="40"/>
            </w:pPr>
            <w:r>
              <w:rPr>
                <w:sz w:val="16"/>
              </w:rPr>
              <w:t>CP-04</w:t>
            </w:r>
          </w:p>
        </w:tc>
        <w:tc>
          <w:tcPr>
            <w:tcW w:type="dxa" w:w="2365"/>
            <w:vAlign w:val="center"/>
            <w:shd w:fill="F6F8F9"/>
          </w:tcPr>
          <w:p>
            <w:pPr>
              <w:spacing w:after="40" w:before="40"/>
            </w:pPr>
            <w:r>
              <w:rPr>
                <w:sz w:val="16"/>
              </w:rPr>
              <w:t>Filtrar y exportar personas</w:t>
            </w:r>
          </w:p>
        </w:tc>
        <w:tc>
          <w:tcPr>
            <w:tcW w:type="dxa" w:w="2365"/>
            <w:vAlign w:val="center"/>
            <w:shd w:fill="F6F8F9"/>
          </w:tcPr>
          <w:p>
            <w:pPr>
              <w:spacing w:after="40" w:before="40"/>
            </w:pPr>
            <w:r>
              <w:rPr>
                <w:sz w:val="16"/>
              </w:rPr>
              <w:t>Respeta permisos, selección y nombre de archivo</w:t>
            </w:r>
          </w:p>
        </w:tc>
        <w:tc>
          <w:tcPr>
            <w:tcW w:type="dxa" w:w="2365"/>
            <w:vAlign w:val="center"/>
            <w:shd w:fill="F6F8F9"/>
          </w:tcPr>
          <w:p>
            <w:pPr>
              <w:spacing w:after="40" w:before="40"/>
            </w:pPr>
            <w:r>
              <w:rPr>
                <w:sz w:val="16"/>
              </w:rPr>
              <w:t>Cobertura parcial</w:t>
            </w:r>
          </w:p>
        </w:tc>
      </w:tr>
      <w:tr>
        <w:tc>
          <w:tcPr>
            <w:tcW w:type="dxa" w:w="2365"/>
            <w:vAlign w:val="center"/>
          </w:tcPr>
          <w:p>
            <w:pPr>
              <w:spacing w:after="40" w:before="40"/>
            </w:pPr>
            <w:r>
              <w:rPr>
                <w:sz w:val="16"/>
              </w:rPr>
              <w:t>CP-05</w:t>
            </w:r>
          </w:p>
        </w:tc>
        <w:tc>
          <w:tcPr>
            <w:tcW w:type="dxa" w:w="2365"/>
            <w:vAlign w:val="center"/>
          </w:tcPr>
          <w:p>
            <w:pPr>
              <w:spacing w:after="40" w:before="40"/>
            </w:pPr>
            <w:r>
              <w:rPr>
                <w:sz w:val="16"/>
              </w:rPr>
              <w:t>Crear, mover y renombrar carpeta, probando conflicto</w:t>
            </w:r>
          </w:p>
        </w:tc>
        <w:tc>
          <w:tcPr>
            <w:tcW w:type="dxa" w:w="2365"/>
            <w:vAlign w:val="center"/>
          </w:tcPr>
          <w:p>
            <w:pPr>
              <w:spacing w:after="40" w:before="40"/>
            </w:pPr>
            <w:r>
              <w:rPr>
                <w:sz w:val="16"/>
              </w:rPr>
              <w:t>No permite ciclos ni edición obsoleta; registra auditoría</w:t>
            </w:r>
          </w:p>
        </w:tc>
        <w:tc>
          <w:tcPr>
            <w:tcW w:type="dxa" w:w="2365"/>
            <w:vAlign w:val="center"/>
          </w:tcPr>
          <w:p>
            <w:pPr>
              <w:spacing w:after="40" w:before="40"/>
            </w:pPr>
            <w:r>
              <w:rPr>
                <w:sz w:val="16"/>
              </w:rPr>
              <w:t>Evidencia previa</w:t>
            </w:r>
          </w:p>
        </w:tc>
      </w:tr>
      <w:tr>
        <w:tc>
          <w:tcPr>
            <w:tcW w:type="dxa" w:w="2365"/>
            <w:vAlign w:val="center"/>
            <w:shd w:fill="F6F8F9"/>
          </w:tcPr>
          <w:p>
            <w:pPr>
              <w:spacing w:after="40" w:before="40"/>
            </w:pPr>
            <w:r>
              <w:rPr>
                <w:sz w:val="16"/>
              </w:rPr>
              <w:t>CP-06</w:t>
            </w:r>
          </w:p>
        </w:tc>
        <w:tc>
          <w:tcPr>
            <w:tcW w:type="dxa" w:w="2365"/>
            <w:vAlign w:val="center"/>
            <w:shd w:fill="F6F8F9"/>
          </w:tcPr>
          <w:p>
            <w:pPr>
              <w:spacing w:after="40" w:before="40"/>
            </w:pPr>
            <w:r>
              <w:rPr>
                <w:sz w:val="16"/>
              </w:rPr>
              <w:t>Registrar ingreso y egreso informativo</w:t>
            </w:r>
          </w:p>
        </w:tc>
        <w:tc>
          <w:tcPr>
            <w:tcW w:type="dxa" w:w="2365"/>
            <w:vAlign w:val="center"/>
            <w:shd w:fill="F6F8F9"/>
          </w:tcPr>
          <w:p>
            <w:pPr>
              <w:spacing w:after="40" w:before="40"/>
            </w:pPr>
            <w:r>
              <w:rPr>
                <w:sz w:val="16"/>
              </w:rPr>
              <w:t>Saldo y numeración conservan consistencia</w:t>
            </w:r>
          </w:p>
        </w:tc>
        <w:tc>
          <w:tcPr>
            <w:tcW w:type="dxa" w:w="2365"/>
            <w:vAlign w:val="center"/>
            <w:shd w:fill="F6F8F9"/>
          </w:tcPr>
          <w:p>
            <w:pPr>
              <w:spacing w:after="40" w:before="40"/>
            </w:pPr>
            <w:r>
              <w:rPr>
                <w:sz w:val="16"/>
              </w:rPr>
              <w:t>Cobertura parcial</w:t>
            </w:r>
          </w:p>
        </w:tc>
      </w:tr>
      <w:tr>
        <w:tc>
          <w:tcPr>
            <w:tcW w:type="dxa" w:w="2365"/>
            <w:vAlign w:val="center"/>
          </w:tcPr>
          <w:p>
            <w:pPr>
              <w:spacing w:after="40" w:before="40"/>
            </w:pPr>
            <w:r>
              <w:rPr>
                <w:sz w:val="16"/>
              </w:rPr>
              <w:t>CP-07</w:t>
            </w:r>
          </w:p>
        </w:tc>
        <w:tc>
          <w:tcPr>
            <w:tcW w:type="dxa" w:w="2365"/>
            <w:vAlign w:val="center"/>
          </w:tcPr>
          <w:p>
            <w:pPr>
              <w:spacing w:after="40" w:before="40"/>
            </w:pPr>
            <w:r>
              <w:rPr>
                <w:sz w:val="16"/>
              </w:rPr>
              <w:t>Registrar bien y movimiento de existencias</w:t>
            </w:r>
          </w:p>
        </w:tc>
        <w:tc>
          <w:tcPr>
            <w:tcW w:type="dxa" w:w="2365"/>
            <w:vAlign w:val="center"/>
          </w:tcPr>
          <w:p>
            <w:pPr>
              <w:spacing w:after="40" w:before="40"/>
            </w:pPr>
            <w:r>
              <w:rPr>
                <w:sz w:val="16"/>
              </w:rPr>
              <w:t>Historial inmutable y cantidad coherente</w:t>
            </w:r>
          </w:p>
        </w:tc>
        <w:tc>
          <w:tcPr>
            <w:tcW w:type="dxa" w:w="2365"/>
            <w:vAlign w:val="center"/>
          </w:tcPr>
          <w:p>
            <w:pPr>
              <w:spacing w:after="40" w:before="40"/>
            </w:pPr>
            <w:r>
              <w:rPr>
                <w:sz w:val="16"/>
              </w:rPr>
              <w:t>Cobertura parcial</w:t>
            </w:r>
          </w:p>
        </w:tc>
      </w:tr>
      <w:tr>
        <w:tc>
          <w:tcPr>
            <w:tcW w:type="dxa" w:w="2365"/>
            <w:vAlign w:val="center"/>
            <w:shd w:fill="F6F8F9"/>
          </w:tcPr>
          <w:p>
            <w:pPr>
              <w:spacing w:after="40" w:before="40"/>
            </w:pPr>
            <w:r>
              <w:rPr>
                <w:sz w:val="16"/>
              </w:rPr>
              <w:t>CP-08</w:t>
            </w:r>
          </w:p>
        </w:tc>
        <w:tc>
          <w:tcPr>
            <w:tcW w:type="dxa" w:w="2365"/>
            <w:vAlign w:val="center"/>
            <w:shd w:fill="F6F8F9"/>
          </w:tcPr>
          <w:p>
            <w:pPr>
              <w:spacing w:after="40" w:before="40"/>
            </w:pPr>
            <w:r>
              <w:rPr>
                <w:sz w:val="16"/>
              </w:rPr>
              <w:t>Generar invitación y capturar correo en Mailpit</w:t>
            </w:r>
          </w:p>
        </w:tc>
        <w:tc>
          <w:tcPr>
            <w:tcW w:type="dxa" w:w="2365"/>
            <w:vAlign w:val="center"/>
            <w:shd w:fill="F6F8F9"/>
          </w:tcPr>
          <w:p>
            <w:pPr>
              <w:spacing w:after="40" w:before="40"/>
            </w:pPr>
            <w:r>
              <w:rPr>
                <w:sz w:val="16"/>
              </w:rPr>
              <w:t>Entrega dentro del entorno local sin usar correo externo</w:t>
            </w:r>
          </w:p>
        </w:tc>
        <w:tc>
          <w:tcPr>
            <w:tcW w:type="dxa" w:w="2365"/>
            <w:vAlign w:val="center"/>
            <w:shd w:fill="F6F8F9"/>
          </w:tcPr>
          <w:p>
            <w:pPr>
              <w:spacing w:after="40" w:before="40"/>
            </w:pPr>
            <w:r>
              <w:rPr>
                <w:sz w:val="16"/>
              </w:rPr>
              <w:t>Evidencia previa</w:t>
            </w:r>
          </w:p>
        </w:tc>
      </w:tr>
      <w:tr>
        <w:tc>
          <w:tcPr>
            <w:tcW w:type="dxa" w:w="2365"/>
            <w:vAlign w:val="center"/>
          </w:tcPr>
          <w:p>
            <w:pPr>
              <w:spacing w:after="40" w:before="40"/>
            </w:pPr>
            <w:r>
              <w:rPr>
                <w:sz w:val="16"/>
              </w:rPr>
              <w:t>CP-09</w:t>
            </w:r>
          </w:p>
        </w:tc>
        <w:tc>
          <w:tcPr>
            <w:tcW w:type="dxa" w:w="2365"/>
            <w:vAlign w:val="center"/>
          </w:tcPr>
          <w:p>
            <w:pPr>
              <w:spacing w:after="40" w:before="40"/>
            </w:pPr>
            <w:r>
              <w:rPr>
                <w:sz w:val="16"/>
              </w:rPr>
              <w:t>Recuperar outbox agotado con base audit disponible</w:t>
            </w:r>
          </w:p>
        </w:tc>
        <w:tc>
          <w:tcPr>
            <w:tcW w:type="dxa" w:w="2365"/>
            <w:vAlign w:val="center"/>
          </w:tcPr>
          <w:p>
            <w:pPr>
              <w:spacing w:after="40" w:before="40"/>
            </w:pPr>
            <w:r>
              <w:rPr>
                <w:sz w:val="16"/>
              </w:rPr>
              <w:t>published aumenta, exhausted llega a 0, sin duplicar ID</w:t>
            </w:r>
          </w:p>
        </w:tc>
        <w:tc>
          <w:tcPr>
            <w:tcW w:type="dxa" w:w="2365"/>
            <w:vAlign w:val="center"/>
          </w:tcPr>
          <w:p>
            <w:pPr>
              <w:spacing w:after="40" w:before="40"/>
            </w:pPr>
            <w:r>
              <w:rPr>
                <w:sz w:val="16"/>
              </w:rPr>
              <w:t>Comprobado 09/10</w:t>
            </w:r>
          </w:p>
        </w:tc>
      </w:tr>
      <w:tr>
        <w:tc>
          <w:tcPr>
            <w:tcW w:type="dxa" w:w="2365"/>
            <w:vAlign w:val="center"/>
            <w:shd w:fill="F6F8F9"/>
          </w:tcPr>
          <w:p>
            <w:pPr>
              <w:spacing w:after="40" w:before="40"/>
            </w:pPr>
            <w:r>
              <w:rPr>
                <w:sz w:val="16"/>
              </w:rPr>
              <w:t>CP-10</w:t>
            </w:r>
          </w:p>
        </w:tc>
        <w:tc>
          <w:tcPr>
            <w:tcW w:type="dxa" w:w="2365"/>
            <w:vAlign w:val="center"/>
            <w:shd w:fill="F6F8F9"/>
          </w:tcPr>
          <w:p>
            <w:pPr>
              <w:spacing w:after="40" w:before="40"/>
            </w:pPr>
            <w:r>
              <w:rPr>
                <w:sz w:val="16"/>
              </w:rPr>
              <w:t>Escanear archivo de prueba EICAR y archivo limpio</w:t>
            </w:r>
          </w:p>
        </w:tc>
        <w:tc>
          <w:tcPr>
            <w:tcW w:type="dxa" w:w="2365"/>
            <w:vAlign w:val="center"/>
            <w:shd w:fill="F6F8F9"/>
          </w:tcPr>
          <w:p>
            <w:pPr>
              <w:spacing w:after="40" w:before="40"/>
            </w:pPr>
            <w:r>
              <w:rPr>
                <w:sz w:val="16"/>
              </w:rPr>
              <w:t>Acepta limpio y rechaza amenaza</w:t>
            </w:r>
          </w:p>
        </w:tc>
        <w:tc>
          <w:tcPr>
            <w:tcW w:type="dxa" w:w="2365"/>
            <w:vAlign w:val="center"/>
            <w:shd w:fill="F6F8F9"/>
          </w:tcPr>
          <w:p>
            <w:pPr>
              <w:spacing w:after="40" w:before="40"/>
            </w:pPr>
            <w:r>
              <w:rPr>
                <w:sz w:val="16"/>
              </w:rPr>
              <w:t>Pendiente de ejecución</w:t>
            </w:r>
          </w:p>
        </w:tc>
      </w:tr>
      <w:tr>
        <w:tc>
          <w:tcPr>
            <w:tcW w:type="dxa" w:w="2365"/>
            <w:vAlign w:val="center"/>
          </w:tcPr>
          <w:p>
            <w:pPr>
              <w:spacing w:after="40" w:before="40"/>
            </w:pPr>
            <w:r>
              <w:rPr>
                <w:sz w:val="16"/>
              </w:rPr>
              <w:t>CP-11</w:t>
            </w:r>
          </w:p>
        </w:tc>
        <w:tc>
          <w:tcPr>
            <w:tcW w:type="dxa" w:w="2365"/>
            <w:vAlign w:val="center"/>
          </w:tcPr>
          <w:p>
            <w:pPr>
              <w:spacing w:after="40" w:before="40"/>
            </w:pPr>
            <w:r>
              <w:rPr>
                <w:sz w:val="16"/>
              </w:rPr>
              <w:t>Validar 50 usuarios simultáneos</w:t>
            </w:r>
          </w:p>
        </w:tc>
        <w:tc>
          <w:tcPr>
            <w:tcW w:type="dxa" w:w="2365"/>
            <w:vAlign w:val="center"/>
          </w:tcPr>
          <w:p>
            <w:pPr>
              <w:spacing w:after="40" w:before="40"/>
            </w:pPr>
            <w:r>
              <w:rPr>
                <w:sz w:val="16"/>
              </w:rPr>
              <w:t>Objetivo de capacidad sujeto a medición</w:t>
            </w:r>
          </w:p>
        </w:tc>
        <w:tc>
          <w:tcPr>
            <w:tcW w:type="dxa" w:w="2365"/>
            <w:vAlign w:val="center"/>
          </w:tcPr>
          <w:p>
            <w:pPr>
              <w:spacing w:after="40" w:before="40"/>
            </w:pPr>
            <w:r>
              <w:rPr>
                <w:sz w:val="16"/>
              </w:rPr>
              <w:t>Pendiente</w:t>
            </w:r>
          </w:p>
        </w:tc>
      </w:tr>
      <w:tr>
        <w:tc>
          <w:tcPr>
            <w:tcW w:type="dxa" w:w="2365"/>
            <w:vAlign w:val="center"/>
            <w:shd w:fill="F6F8F9"/>
          </w:tcPr>
          <w:p>
            <w:pPr>
              <w:spacing w:after="40" w:before="40"/>
            </w:pPr>
            <w:r>
              <w:rPr>
                <w:sz w:val="16"/>
              </w:rPr>
              <w:t>CP-12</w:t>
            </w:r>
          </w:p>
        </w:tc>
        <w:tc>
          <w:tcPr>
            <w:tcW w:type="dxa" w:w="2365"/>
            <w:vAlign w:val="center"/>
            <w:shd w:fill="F6F8F9"/>
          </w:tcPr>
          <w:p>
            <w:pPr>
              <w:spacing w:after="40" w:before="40"/>
            </w:pPr>
            <w:r>
              <w:rPr>
                <w:sz w:val="16"/>
              </w:rPr>
              <w:t>Validar instalación y distribución de APK/EXE</w:t>
            </w:r>
          </w:p>
        </w:tc>
        <w:tc>
          <w:tcPr>
            <w:tcW w:type="dxa" w:w="2365"/>
            <w:vAlign w:val="center"/>
            <w:shd w:fill="F6F8F9"/>
          </w:tcPr>
          <w:p>
            <w:pPr>
              <w:spacing w:after="40" w:before="40"/>
            </w:pPr>
            <w:r>
              <w:rPr>
                <w:sz w:val="16"/>
              </w:rPr>
              <w:t>Instalación, actualizaciones y firma probadas</w:t>
            </w:r>
          </w:p>
        </w:tc>
        <w:tc>
          <w:tcPr>
            <w:tcW w:type="dxa" w:w="2365"/>
            <w:vAlign w:val="center"/>
            <w:shd w:fill="F6F8F9"/>
          </w:tcPr>
          <w:p>
            <w:pPr>
              <w:spacing w:after="40" w:before="40"/>
            </w:pPr>
            <w:r>
              <w:rPr>
                <w:sz w:val="16"/>
              </w:rPr>
              <w:t>Pendiente</w:t>
            </w:r>
          </w:p>
        </w:tc>
      </w:tr>
    </w:tbl>
    <w:p>
      <w:pPr>
        <w:spacing w:after="40"/>
      </w:pPr>
    </w:p>
    <w:p>
      <w:pPr>
        <w:pStyle w:val="Heading1"/>
      </w:pPr>
      <w:r>
        <w:t>5. Registro puntual de corrección y repetición</w:t>
      </w:r>
    </w:p>
    <w:p>
      <w:pPr/>
      <w:r>
        <w:t>En Consultar Personas se detectó que una búsqueda nueva o fallida podía mantener la ficha anterior. Se corrigió el estado de carga y se limpió el resultado previo; la prueba dirigida con 503 y reintento aprobó. La evidencia respalda ese escenario específico, no todos los buscadores de la plataforma.</w:t>
      </w:r>
    </w:p>
    <w:p>
      <w:pPr/>
      <w:r>
        <w:t>Los archivos service-status.spec.mjs, person-date-ranges.spec.mjs y person-base-filters.spec.mjs fallaron inicialmente por expectativas desactualizadas frente a API y controles vigentes. Se actualizaron las pruebas y aprobaron por separado. Se clasifica como mantenimiento de expectativas hasta contar con evidencia de un defecto funcional; deben incluirse en la próxima regresión consolidada.</w:t>
      </w:r>
    </w:p>
    <w:p>
      <w:r>
        <w:t>El 9 de octubre se detectaron eventos del outbox agotados porque Auditoría no disponía de la tabla audit_events. Se aplicó la migración de auditoría y, tras respaldar las bases afectadas, se reprogramaron los 15 eventos de Identidad, ocho de Registros, cuatro de Calendario, tres de Tesorería y tres de Inventario. Los comandos de estado confirmaron cero agotados en esos emisores. Los planificadores de Archivos y Chat pasaron a healthy tras inicializar sus bases y ejecutar su ciclo. Finalmente ClamAV arrancó; se corrigieron finales de línea CRLF del actualizador y FreshClam obtuvo las firmas versión 28148.</w:t>
      </w:r>
    </w:p>
    <w:p>
      <w:pPr>
        <w:pStyle w:val="Heading1"/>
      </w:pPr>
      <w:r>
        <w:t>6. Ejecución reproducible</w:t>
      </w:r>
    </w:p>
    <w:p>
      <w:pPr/>
      <w:r>
        <w:t>Preparación: verificar docker compose ps, migraciones y salud de los servicios necesarios; identificar el identificador de la imagen web. Ejecutar desde la raíz del repositorio PowerShell: .\scripts\Test-Browser.ps1 -Compose -Spec web-empty-states.spec.mjs. Para lotes controlados usar .\scripts\Test-Browser.ps1 -Compose -Specs @('service-status.spec.mjs','person-base-filters.spec.mjs'). Cada archivo usa sus fixtures aisladas; archivar salida, capturas y fecha bajo .local/browser-runs.</w:t>
      </w:r>
    </w:p>
    <w:p>
      <w:pPr/>
      <w:r>
        <w:t>Después de cada corrección, repetir primero el archivo fallido, después sus recorridos dependientes y finalmente la batería completa sobre una imagen congelada. Limpiar únicamente fixtures de prueba; no borrar volúmenes persistentes. Ante Docker Desktop sin respuesta, detener el lote, documentar consumo y reiniciar el motor de manera controlada, comprobar salud y reanudar con lotes reducidos.</w:t>
      </w:r>
    </w:p>
    <w:p>
      <w:pPr>
        <w:pStyle w:val="NoSpacing"/>
        <w:spacing w:after="20"/>
      </w:pPr>
      <w:r>
        <w:rPr>
          <w:rFonts w:ascii="Consolas" w:hAnsi="Consolas"/>
          <w:color w:val="205472"/>
          <w:sz w:val="16"/>
        </w:rPr>
        <w:t>./scripts/Test.ps1</w:t>
      </w:r>
    </w:p>
    <w:p>
      <w:pPr>
        <w:pStyle w:val="NoSpacing"/>
        <w:spacing w:after="20"/>
      </w:pPr>
      <w:r>
        <w:rPr>
          <w:rFonts w:ascii="Consolas" w:hAnsi="Consolas"/>
          <w:color w:val="205472"/>
          <w:sz w:val="16"/>
        </w:rPr>
        <w:t>./scripts/Test-OutboxConcurrency.ps1</w:t>
      </w:r>
    </w:p>
    <w:p>
      <w:pPr>
        <w:pStyle w:val="NoSpacing"/>
        <w:spacing w:after="20"/>
      </w:pPr>
      <w:r>
        <w:rPr>
          <w:rFonts w:ascii="Consolas" w:hAnsi="Consolas"/>
          <w:color w:val="205472"/>
          <w:sz w:val="16"/>
        </w:rPr>
        <w:t>./scripts/Test-FileSafety.ps1</w:t>
      </w:r>
    </w:p>
    <w:p>
      <w:pPr>
        <w:pStyle w:val="NoSpacing"/>
        <w:spacing w:after="20"/>
      </w:pPr>
      <w:r>
        <w:rPr>
          <w:rFonts w:ascii="Consolas" w:hAnsi="Consolas"/>
          <w:color w:val="205472"/>
          <w:sz w:val="16"/>
        </w:rPr>
        <w:t>./scripts/Test-Browser.ps1 -Compose</w:t>
      </w:r>
    </w:p>
    <w:p>
      <w:pPr>
        <w:pStyle w:val="NoSpacing"/>
        <w:spacing w:after="20"/>
      </w:pPr>
      <w:r>
        <w:rPr>
          <w:rFonts w:ascii="Consolas" w:hAnsi="Consolas"/>
          <w:color w:val="205472"/>
          <w:sz w:val="16"/>
        </w:rPr>
        <w:t>docker compose ps</w:t>
      </w:r>
    </w:p>
    <w:p>
      <w:pPr>
        <w:pStyle w:val="NoSpacing"/>
        <w:spacing w:after="20"/>
      </w:pPr>
      <w:r>
        <w:rPr>
          <w:rFonts w:ascii="Consolas" w:hAnsi="Consolas"/>
          <w:color w:val="205472"/>
          <w:sz w:val="16"/>
        </w:rPr>
        <w:t>docker compose exec identity php artisan srd:outbox-status</w:t>
      </w:r>
    </w:p>
    <w:p>
      <w:pPr>
        <w:pStyle w:val="NoSpacing"/>
        <w:spacing w:after="20"/>
      </w:pPr>
      <w:r>
        <w:rPr>
          <w:rFonts w:ascii="Consolas" w:hAnsi="Consolas"/>
          <w:color w:val="205472"/>
          <w:sz w:val="16"/>
        </w:rPr>
        <w:t>docker compose exec treasury php artisan srd:outbox-status</w:t>
      </w:r>
    </w:p>
    <w:p>
      <w:pPr>
        <w:spacing w:after="20"/>
      </w:pPr>
    </w:p>
    <w:p>
      <w:r>
        <w:t>Los comandos anteriores son procedimientos disponibles en el repositorio, no una afirmación de que todos se ejecutaron nuevamente el día de esta entrega. Algunos scripts crean datos sintéticos o contenedores de prueba; se deben revisar sus parámetros y disponer de memoria antes de correrlos.</w:t>
      </w:r>
    </w:p>
    <w:p>
      <w:pPr>
        <w:pStyle w:val="Heading1"/>
      </w:pPr>
      <w:r>
        <w:t>7. Incidencias, límites y criterio de cierre</w:t>
      </w:r>
    </w:p>
    <w:p>
      <w:pPr/>
      <w:r>
        <w:t>Permanecen abiertos tres criterios UX: 1) verificación visual de todos los estados, diálogos, temas y anchos; 7) matriz de formularios y escrituras permitidas/denegadas por rol; y 10) regresión de los 140 archivos sobre una misma imagen final. Responsable y fecha de cierre: por asignar; evidencia requerida: capturas revisadas, matriz de resultados y reporte consolidado, respectivamente.</w:t>
      </w:r>
    </w:p>
    <w:p>
      <w:pPr/>
      <w:r>
        <w:t>La carga protegida continuará bloqueada hasta que una actualización autorizada de firmas permita verificar antigüedad, estado de ClamAV y aceptación/rechazo de muestras. El incidente de Docker se considera recuperado para el arranque (web HTTP 200, 23 servicios saludables en ese corte), pero la regresión extendida sigue sin cerrarse. Ninguna de estas observaciones acredita un entorno público.</w:t>
      </w:r>
    </w:p>
    <w:p>
      <w:pPr>
        <w:pStyle w:val="ListBullet"/>
      </w:pPr>
      <w:r>
        <w:t>Las pruebas documentadas cubren incrementos concretos; no existe cierre integral de los 56 RF.</w:t>
      </w:r>
    </w:p>
    <w:p>
      <w:pPr>
        <w:pStyle w:val="ListBullet"/>
      </w:pPr>
      <w:r>
        <w:t>El chat tiene flujo de texto, pero siguen pendientes adjuntos, notas de voz y llamadas.</w:t>
      </w:r>
    </w:p>
    <w:p>
      <w:pPr>
        <w:pStyle w:val="ListBullet"/>
      </w:pPr>
      <w:r>
        <w:t>La variante Expo Go es una demostración en teléfono físico, no un APK release distribuible.</w:t>
      </w:r>
    </w:p>
    <w:p>
      <w:pPr>
        <w:pStyle w:val="ListBullet"/>
      </w:pPr>
      <w:r>
        <w:t>No existe una medición integral que acredite 50 usuarios concurrentes.</w:t>
      </w:r>
    </w:p>
    <w:p>
      <w:pPr>
        <w:pStyle w:val="ListBullet"/>
      </w:pPr>
      <w:r>
        <w:t>El indicador healthy verifica un componente concreto; no reemplaza pruebas de seguridad y comportamiento.</w:t>
      </w:r>
    </w:p>
    <w:p>
      <w:pPr>
        <w:pStyle w:val="ListBullet"/>
      </w:pPr>
      <w:r>
        <w:t>Antes de aceptación: repetir regresión completa, pruebas EICAR, permisos cruzados, accesibilidad, restauración, carga y UAT con usuarios de JAC.</w:t>
      </w:r>
    </w:p>
    <w:p>
      <w:pPr>
        <w:pStyle w:val="Heading1"/>
      </w:pPr>
      <w:r>
        <w:t>8. Fuentes internas</w:t>
      </w:r>
    </w:p>
    <w:p>
      <w:r>
        <w:t>README.md; docs/VALIDACION.md; docs/TRAZABILIDAD.md; docs/WEB_ACEPTACION.md; docs/OUTBOX.md; docs/GUIA-EXPOSICION-2026-10-09.md; scripts/Test.ps1; scripts/Test-Browser.ps1. Código fuente SRD, corte del 09/10/2026.</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PR-01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PR-01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