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rPr>
          <w:b/>
        </w:rPr>
        <w:t>SRD  /  SISTEMA DE REGISTRO DIGITAL</w:t>
      </w:r>
    </w:p>
    <w:p>
      <w:pPr>
        <w:pStyle w:val="Title"/>
      </w:pPr>
      <w:r>
        <w:t>Procedimiento de implementación del software</w:t>
      </w:r>
    </w:p>
    <w:p>
      <w:r>
        <w:rPr>
          <w:i/>
        </w:rPr>
        <w:t>Despliegue local controlado, comprobación y recuperación</w:t>
      </w:r>
    </w:p>
    <w:p>
      <w:pPr>
        <w:spacing w:after="40"/>
      </w:pPr>
      <w:r>
        <w:t>Juan Sebastián González Horta</w:t>
      </w:r>
    </w:p>
    <w:p>
      <w:pPr>
        <w:spacing w:after="40"/>
      </w:pPr>
      <w:r>
        <w:t>Servicio Nacional de Aprendizaje (SENA)</w:t>
      </w:r>
    </w:p>
    <w:p>
      <w:pPr>
        <w:spacing w:after="40"/>
      </w:pPr>
      <w:r>
        <w:t>Centro de la Industria, la Empresa y los Servicios (CIES)</w:t>
      </w:r>
    </w:p>
    <w:p>
      <w:pPr>
        <w:spacing w:after="40"/>
      </w:pPr>
      <w:r>
        <w:t>Programa: Análisis y Desarrollo de Software</w:t>
      </w:r>
    </w:p>
    <w:p>
      <w:pPr>
        <w:spacing w:after="40"/>
      </w:pPr>
      <w:r>
        <w:t>Versión 1.1  ·  revisión al 19 de octubre de 2026 (historial 09/10 preservado)</w:t>
      </w:r>
    </w:p>
    <w:p>
      <w:pPr>
        <w:pStyle w:val="Heading2"/>
      </w:pPr>
      <w:r>
        <w:t>Propósito</w:t>
      </w:r>
    </w:p>
    <w:p>
      <w:r>
        <w:t>Definir una instalación reproducible del incremento de SRD con separación de ambientes y datos, controles previos, procedimientos de verificación y manejo de fallos sin destruir información.</w:t>
      </w:r>
    </w:p>
    <w:p>
      <w:pPr>
        <w:pStyle w:val="Heading2"/>
      </w:pPr>
      <w:r>
        <w:t>Alcance documental</w:t>
      </w:r>
    </w:p>
    <w:p>
      <w:r>
        <w:t>Documento elaborado para el incremento de desarrollo y demostración local de SRD. Las funciones no implementadas o todavía sin aceptación se distinguen expresamente de las verificadas; no constituye una certificación de producción.</w:t>
      </w:r>
    </w:p>
    <w:p>
      <w:pPr>
        <w:pStyle w:val="Heading2"/>
      </w:pPr>
      <w:r>
        <w:t>CONTENIDO</w:t>
      </w:r>
    </w:p>
    <w:p>
      <w:pPr>
        <w:spacing w:after="20" w:line="240" w:lineRule="auto"/>
      </w:pPr>
      <w:r>
        <w:rPr>
          <w:color w:val="5C6875"/>
          <w:sz w:val="17"/>
        </w:rPr>
        <w:t>01  1. Modalidad y arquitectura de despliegue</w:t>
      </w:r>
    </w:p>
    <w:p>
      <w:pPr>
        <w:spacing w:after="20" w:line="240" w:lineRule="auto"/>
      </w:pPr>
      <w:r>
        <w:rPr>
          <w:color w:val="5C6875"/>
          <w:sz w:val="17"/>
        </w:rPr>
        <w:t>02  2. Requisitos de instalación</w:t>
      </w:r>
    </w:p>
    <w:p>
      <w:pPr>
        <w:spacing w:after="20" w:line="240" w:lineRule="auto"/>
      </w:pPr>
      <w:r>
        <w:rPr>
          <w:color w:val="5C6875"/>
          <w:sz w:val="17"/>
        </w:rPr>
        <w:t>03  3. Preparación</w:t>
      </w:r>
    </w:p>
    <w:p>
      <w:pPr>
        <w:spacing w:after="20" w:line="240" w:lineRule="auto"/>
      </w:pPr>
      <w:r>
        <w:rPr>
          <w:color w:val="5C6875"/>
          <w:sz w:val="17"/>
        </w:rPr>
        <w:t>04  4. Instalación controlada</w:t>
      </w:r>
    </w:p>
    <w:p>
      <w:pPr>
        <w:spacing w:after="20" w:line="240" w:lineRule="auto"/>
      </w:pPr>
      <w:r>
        <w:rPr>
          <w:color w:val="5C6875"/>
          <w:sz w:val="17"/>
        </w:rPr>
        <w:t>05  5. Comprobación posterior</w:t>
      </w:r>
    </w:p>
    <w:p>
      <w:pPr>
        <w:spacing w:after="20" w:line="240" w:lineRule="auto"/>
      </w:pPr>
      <w:r>
        <w:rPr>
          <w:color w:val="5C6875"/>
          <w:sz w:val="17"/>
        </w:rPr>
        <w:t>06  6. Demostración reproducible</w:t>
      </w:r>
    </w:p>
    <w:p>
      <w:pPr>
        <w:spacing w:after="20" w:line="240" w:lineRule="auto"/>
      </w:pPr>
      <w:r>
        <w:rPr>
          <w:color w:val="5C6875"/>
          <w:sz w:val="17"/>
        </w:rPr>
        <w:t>07  7. Validación de los datos y servicios</w:t>
      </w:r>
    </w:p>
    <w:p>
      <w:pPr>
        <w:spacing w:after="20" w:line="240" w:lineRule="auto"/>
      </w:pPr>
      <w:r>
        <w:rPr>
          <w:color w:val="5C6875"/>
          <w:sz w:val="17"/>
        </w:rPr>
        <w:t>08  8. Actualizaciones, respaldo y recuperación</w:t>
      </w:r>
    </w:p>
    <w:p>
      <w:pPr>
        <w:spacing w:after="20" w:line="240" w:lineRule="auto"/>
      </w:pPr>
      <w:r>
        <w:rPr>
          <w:color w:val="5C6875"/>
          <w:sz w:val="17"/>
        </w:rPr>
        <w:t>09  9. Plan de reversión y registro de instalación</w:t>
      </w:r>
    </w:p>
    <w:p>
      <w:pPr>
        <w:spacing w:after="20" w:line="240" w:lineRule="auto"/>
      </w:pPr>
      <w:r>
        <w:rPr>
          <w:color w:val="5C6875"/>
          <w:sz w:val="17"/>
        </w:rPr>
        <w:t>10  10. Alcance fuera de este procedimiento</w:t>
      </w:r>
    </w:p>
    <w:p>
      <w:r>
        <w:br w:type="page"/>
      </w:r>
    </w:p>
    <w:p>
      <w:pPr>
        <w:pStyle w:val="Heading1"/>
      </w:pPr>
      <w:r>
        <w:t>1. Modalidad y arquitectura de despliegue</w:t>
      </w:r>
    </w:p>
    <w:p>
      <w:pPr/>
      <w:r>
        <w:t>El alcance efectivo de este procedimiento es instalación y operación local. La topología dispone de un Gateway, diez dominios Laravel, MySQL por dominio, planificadores y auxiliares; el dominio especializado de Reportes sigue planificado. Una publicación en VPS requiere otro procedimiento de endurecimiento (PHP-FPM, dominio/TLS, WSS, SMTP real, TURN si aplica y copias externas), que no se encuentra aceptado en este incremento.</w:t>
      </w:r>
    </w:p>
    <w:p>
      <w:r>
        <w:t>El despliegue actualmente validado es local y basado en Docker Compose. Un navegador o cliente se comunica con la interfaz web y el Gateway Laravel; el Gateway transmite el contexto autorizado a los microservicios. Los datos MySQL se separan por dominio y las juntas se aíslan lógicamente dentro de los dominios.</w:t>
      </w:r>
    </w:p>
    <w:p>
      <w:r>
        <w:drawing>
          <wp:inline xmlns:a="http://schemas.openxmlformats.org/drawingml/2006/main" xmlns:pic="http://schemas.openxmlformats.org/drawingml/2006/picture">
            <wp:extent cx="5897880" cy="2244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s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4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1. Esquema del incremento desplegable. El dominio especializado de reportes no está implementado.</w:t>
      </w:r>
    </w:p>
    <w:p>
      <w:pPr>
        <w:pStyle w:val="Heading1"/>
      </w:pPr>
      <w:r>
        <w:t>2. Requisitos de instalación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0"/>
        <w:gridCol w:w="4730"/>
      </w:tblGrid>
      <w:tr>
        <w:trPr>
          <w:tblHeader w:val="true"/>
        </w:trPr>
        <w:tc>
          <w:tcPr>
            <w:tcW w:type="dxa" w:w="4730"/>
            <w:shd w:fill="E9EEF2"/>
          </w:tcPr>
          <w:p>
            <w:r>
              <w:rPr>
                <w:b/>
                <w:sz w:val="17"/>
              </w:rPr>
              <w:t>Elemento</w:t>
            </w:r>
          </w:p>
        </w:tc>
        <w:tc>
          <w:tcPr>
            <w:tcW w:type="dxa" w:w="4730"/>
            <w:shd w:fill="E9EEF2"/>
          </w:tcPr>
          <w:p>
            <w:r>
              <w:rPr>
                <w:b/>
                <w:sz w:val="17"/>
              </w:rPr>
              <w:t>Condición</w:t>
            </w:r>
          </w:p>
        </w:tc>
      </w:tr>
      <w:tr>
        <w:tc>
          <w:tcPr>
            <w:tcW w:type="dxa" w:w="473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Sistema anfitrión</w:t>
            </w:r>
          </w:p>
        </w:tc>
        <w:tc>
          <w:tcPr>
            <w:tcW w:type="dxa" w:w="473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Windows con PowerShell y Docker Desktop en modo contenedores Linux</w:t>
            </w:r>
          </w:p>
        </w:tc>
      </w:tr>
      <w:tr>
        <w:tc>
          <w:tcPr>
            <w:tcW w:type="dxa" w:w="4730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Docker</w:t>
            </w:r>
          </w:p>
        </w:tc>
        <w:tc>
          <w:tcPr>
            <w:tcW w:type="dxa" w:w="4730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Engine y Compose disponibles; Docker Desktop iniciado</w:t>
            </w:r>
          </w:p>
        </w:tc>
      </w:tr>
      <w:tr>
        <w:tc>
          <w:tcPr>
            <w:tcW w:type="dxa" w:w="473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Red</w:t>
            </w:r>
          </w:p>
        </w:tc>
        <w:tc>
          <w:tcPr>
            <w:tcW w:type="dxa" w:w="473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Acceso para descargar imágenes/dependencias en el primer arranque</w:t>
            </w:r>
          </w:p>
        </w:tc>
      </w:tr>
      <w:tr>
        <w:tc>
          <w:tcPr>
            <w:tcW w:type="dxa" w:w="4730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Recursos</w:t>
            </w:r>
          </w:p>
        </w:tc>
        <w:tc>
          <w:tcPr>
            <w:tcW w:type="dxa" w:w="4730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Memoria suficiente para MySQL, servicios Laravel y ClamAV (motor observado cerca de 946 MiB)</w:t>
            </w:r>
          </w:p>
        </w:tc>
      </w:tr>
      <w:tr>
        <w:tc>
          <w:tcPr>
            <w:tcW w:type="dxa" w:w="473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Código</w:t>
            </w:r>
          </w:p>
        </w:tc>
        <w:tc>
          <w:tcPr>
            <w:tcW w:type="dxa" w:w="4730"/>
            <w:vAlign w:val="center"/>
          </w:tcPr>
          <w:p>
            <w:r>
              <w:t>ZIP SRD vigente del 19/10/2026 extraído completo, incluida la carpeta scripts</w:t>
            </w:r>
          </w:p>
        </w:tc>
      </w:tr>
      <w:tr>
        <w:tc>
          <w:tcPr>
            <w:tcW w:type="dxa" w:w="4730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Para pruebas móviles</w:t>
            </w:r>
          </w:p>
        </w:tc>
        <w:tc>
          <w:tcPr>
            <w:tcW w:type="dxa" w:w="4730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Node.js y Expo Go SDK 57; ADB/USB si se demuestra en teléfono</w:t>
            </w:r>
          </w:p>
        </w:tc>
      </w:tr>
      <w:tr>
        <w:tc>
          <w:tcPr>
            <w:tcW w:type="dxa" w:w="473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Para correo</w:t>
            </w:r>
          </w:p>
        </w:tc>
        <w:tc>
          <w:tcPr>
            <w:tcW w:type="dxa" w:w="473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Mailpit local, sin envío a destinatarios externos</w:t>
            </w:r>
          </w:p>
        </w:tc>
      </w:tr>
    </w:tbl>
    <w:p>
      <w:pPr>
        <w:spacing w:after="40"/>
      </w:pPr>
    </w:p>
    <w:p>
      <w:pPr>
        <w:pStyle w:val="Heading1"/>
      </w:pPr>
      <w:r>
        <w:t>3. Preparación</w:t>
      </w:r>
    </w:p>
    <w:p>
      <w:pPr/>
      <w:r>
        <w:t>Seleccionar antes de ejecutar cualquier script uno de tres escenarios: instalación limpia sin volúmenes previos, actualización que conserva juntas y datos, o demostración sintética aislada. Registrar carpeta, versión de código, estado de Docker, puertos y existencia de .env/.local. Initialize.ps1 genera configuración local; no ejecutarlo sin revisar sus efectos sobre una instancia previamente utilizada.</w:t>
      </w:r>
    </w:p>
    <w:p>
      <w:pPr>
        <w:ind w:left="346" w:hanging="259"/>
      </w:pPr>
      <w:r>
        <w:t>1. Extraer el archivo de código en una ruta sin privilegios adicionales; abrir PowerShell desde la carpeta SRD.</w:t>
      </w:r>
    </w:p>
    <w:p>
      <w:pPr>
        <w:ind w:left="346" w:hanging="259"/>
      </w:pPr>
      <w:r>
        <w:t>2. Comprobar que Docker responde y que los puertos locales 8080/8025 están libres.</w:t>
      </w:r>
    </w:p>
    <w:p>
      <w:pPr>
        <w:ind w:left="346" w:hanging="259"/>
      </w:pPr>
      <w:r>
        <w:t>3. Revisar el archivo .env.example. El inicializador crea secretos locales; no copiar contraseñas de otra instalación ni incluir .env en entregables.</w:t>
      </w:r>
    </w:p>
    <w:p>
      <w:pPr>
        <w:ind w:left="346" w:hanging="259"/>
      </w:pPr>
      <w:r>
        <w:t>4. Asegurar que no se ejecutará sobre bases de producción o juntas reales.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docker version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docker compose version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docker compose config -q</w:t>
      </w:r>
    </w:p>
    <w:p>
      <w:pPr>
        <w:spacing w:after="20"/>
      </w:pPr>
    </w:p>
    <w:p>
      <w:pPr>
        <w:pStyle w:val="Heading1"/>
      </w:pPr>
      <w:r>
        <w:t>4. Instalación controlada</w:t>
      </w:r>
    </w:p>
    <w:p>
      <w:pPr/>
      <w:r>
        <w:t>Ruta A — nueva instalación: en una copia sin datos, inspeccionar compose.yaml, .env.example y la disponibilidad de Docker; ejecutar .\scripts\Initialize.ps1 una sola vez según el script vigente y continuar con .\scripts\Up.ps1. El resultado esperado son bases/migraciones aplicadas y servicios iniciados; no cargar fixtures de exposición en un entorno que deba conservar datos reales.</w:t>
      </w:r>
    </w:p>
    <w:p>
      <w:pPr/>
      <w:r>
        <w:t>Ruta B — actualización: respaldar antes del cambio con .\scripts\Backup-Local.ps1 y autenticar la copia con .\scripts\Test-BackupRestore.ps1 -VerifyOnly; conservar .env, .local y volúmenes. Revisar diferencias de Compose, imagen y migraciones; aplicar la nueva versión con .\scripts\Up.ps1 y comprobar dominios individualmente. No regenerar secretos, no ejecutar migrate:fresh ni asumir que volver al código anterior revierte una migración.</w:t>
      </w:r>
    </w:p>
    <w:p>
      <w:pPr/>
      <w:r>
        <w:t>Ruta C — demo aislada: únicamente sobre una instalación de pruebas, utilizar .\scripts\Start-Exposition.ps1 -WebOnly, confirmar los efectos de siembra y consultar credenciales generadas en .local del equipo. Start-ExpoGo.ps1 y Android son opcionales; no son prerrequisito del acceso web. Este arranque de exposición no equivale a un instalador ni a un despliegue productivo.</w:t>
      </w:r>
    </w:p>
    <w:p>
      <w:r>
        <w:t>La ruta recomendada es el script de operación del proyecto. Este ejecuta la inicialización, inicia MySQL y Mailpit, aprovisiona las bases faltantes, construye los servicios, aplica migraciones con --force, ejecuta la preparación de recordatorios, inicia los planificadores, la web y el antivirus.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./scripts/Up.ps1</w:t>
      </w:r>
    </w:p>
    <w:p>
      <w:pPr>
        <w:spacing w:after="20"/>
      </w:pPr>
    </w:p>
    <w:p>
      <w:r>
        <w:t>No ejecutar docker compose down -v, migrate:fresh ni borrar volúmenes. Una actualización sobre un volumen existente debe conservar las credenciales previas y aplicar migraciones incrementales. Si falta un servicio específico, inspeccionar docker compose ps y logs antes de repetir todo el arranque.</w:t>
      </w:r>
    </w:p>
    <w:p>
      <w:pPr>
        <w:pStyle w:val="Heading1"/>
      </w:pPr>
      <w:r>
        <w:t>5. Comprobación posterior</w:t>
      </w:r>
    </w:p>
    <w:p>
      <w:pPr/>
      <w:r>
        <w:t>Comprobar docker compose ps, portada http://localhost:8080, Mailpit http://localhost:8025 y migraciones de los servicios involucrados. Validar además inicio de sesión/MFA, lectura de Personas, una escritura y reversión ficticias, permisos entre juntas y publicación de auditoría/outbox. La disponibilidad HTTP o la salud de contenedores no sustituyen esa verificación de negocio.</w:t>
      </w:r>
    </w:p>
    <w:p>
      <w:pPr/>
      <w:r>
        <w:t>Al 19/10/2026, la prueba de cargas no puede darse por aprobada con firmas antivirus locales vencidas: el 503 es una medida de protección. Detener ese caso, registrar estado de antivirus-updater y ejecutar de nuevo solo cuando las firmas puedan actualizarse de manera autorizada.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docker compose ps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docker compose exec audit php artisan migrate:status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docker compose exec files php artisan migrate:status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docker compose exec chat php artisan migrate:status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docker compose exec identity php artisan srd:outbox-status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docker compose exec antivirus clamdscan --version</w:t>
      </w:r>
    </w:p>
    <w:p>
      <w:pPr>
        <w:spacing w:after="20"/>
      </w:pPr>
    </w:p>
    <w:p>
      <w:r>
        <w:t>Verificar el inicio de sesión web en http://localhost:8080/j/srd-e2e-a/login solo cuando exista una junta sintética con ese código. Para MFA local, abrir http://localhost:8025 y consultar el mensaje generado por la prueba.</w:t>
      </w:r>
    </w:p>
    <w:p>
      <w:pPr>
        <w:pStyle w:val="Heading1"/>
      </w:pPr>
      <w:r>
        <w:t>6. Demostración reproducible</w:t>
      </w:r>
    </w:p>
    <w:p>
      <w:pPr/>
      <w:r>
        <w:t>Registrar como entrada el ZIP o commit efectivo, el nombre de la junta ficticia y la versión de la imagen. Si se usa teléfono, validar ADB/Metro por separado; Expo Go no es el cliente Android distribuible. Al finalizar, retirar las fixtures de demo por sus scripts o procedimientos específicos, sin afectar juntas reales.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./scripts/Start-Exposition.ps1 -WebOnly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# Con teléfono Android y ADB configurado: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./scripts/Start-Exposition.ps1</w:t>
      </w:r>
    </w:p>
    <w:p>
      <w:pPr>
        <w:spacing w:after="20"/>
      </w:pPr>
    </w:p>
    <w:p>
      <w:r>
        <w:t>La semilla del 09/10 registra ocho personas pendientes, cuatro eventos, tres asientos y tres bienes ficticios. Credenciales locales: archivo .local/e2e-fixture.json generado en el equipo. Nunca compartirlo ni publicarlo. La modalidad Expo Go usa USB y ADB reverse; no representa una instalación de APK final.</w:t>
      </w:r>
    </w:p>
    <w:p>
      <w:pPr>
        <w:pStyle w:val="Heading1"/>
      </w:pPr>
      <w:r>
        <w:t>7. Validación de los datos y servicios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blHeader w:val="true"/>
        </w:trPr>
        <w:tc>
          <w:tcPr>
            <w:tcW w:type="dxa" w:w="3154"/>
            <w:shd w:fill="E9EEF2"/>
          </w:tcPr>
          <w:p>
            <w:r>
              <w:rPr>
                <w:b/>
                <w:sz w:val="17"/>
              </w:rPr>
              <w:t>Verificación</w:t>
            </w:r>
          </w:p>
        </w:tc>
        <w:tc>
          <w:tcPr>
            <w:tcW w:type="dxa" w:w="3154"/>
            <w:shd w:fill="E9EEF2"/>
          </w:tcPr>
          <w:p>
            <w:r>
              <w:rPr>
                <w:b/>
                <w:sz w:val="17"/>
              </w:rPr>
              <w:t>Condición esperada</w:t>
            </w:r>
          </w:p>
        </w:tc>
        <w:tc>
          <w:tcPr>
            <w:tcW w:type="dxa" w:w="3154"/>
            <w:shd w:fill="E9EEF2"/>
          </w:tcPr>
          <w:p>
            <w:r>
              <w:rPr>
                <w:b/>
                <w:sz w:val="17"/>
              </w:rPr>
              <w:t>Acción si falla</w:t>
            </w:r>
          </w:p>
        </w:tc>
      </w:tr>
      <w:tr>
        <w:tc>
          <w:tcPr>
            <w:tcW w:type="dxa" w:w="315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Web y Gateway</w:t>
            </w:r>
          </w:p>
        </w:tc>
        <w:tc>
          <w:tcPr>
            <w:tcW w:type="dxa" w:w="315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Contenedores activos y acceso a inicio de sesión</w:t>
            </w:r>
          </w:p>
        </w:tc>
        <w:tc>
          <w:tcPr>
            <w:tcW w:type="dxa" w:w="315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Inspeccionar docker compose logs web gateway</w:t>
            </w:r>
          </w:p>
        </w:tc>
      </w:tr>
      <w:tr>
        <w:tc>
          <w:tcPr>
            <w:tcW w:type="dxa" w:w="3154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Bases y migraciones</w:t>
            </w:r>
          </w:p>
        </w:tc>
        <w:tc>
          <w:tcPr>
            <w:tcW w:type="dxa" w:w="3154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Migraciones Ran en dominios activos</w:t>
            </w:r>
          </w:p>
        </w:tc>
        <w:tc>
          <w:tcPr>
            <w:tcW w:type="dxa" w:w="3154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Aplicar migrate --force solo en el servicio afectado</w:t>
            </w:r>
          </w:p>
        </w:tc>
      </w:tr>
      <w:tr>
        <w:tc>
          <w:tcPr>
            <w:tcW w:type="dxa" w:w="315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Auditoría</w:t>
            </w:r>
          </w:p>
        </w:tc>
        <w:tc>
          <w:tcPr>
            <w:tcW w:type="dxa" w:w="315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Sin agotados después del procesamiento normal</w:t>
            </w:r>
          </w:p>
        </w:tc>
        <w:tc>
          <w:tcPr>
            <w:tcW w:type="dxa" w:w="315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Consultar srd:outbox-status, tablas y servicio audit</w:t>
            </w:r>
          </w:p>
        </w:tc>
      </w:tr>
      <w:tr>
        <w:tc>
          <w:tcPr>
            <w:tcW w:type="dxa" w:w="3154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Planificadores</w:t>
            </w:r>
          </w:p>
        </w:tc>
        <w:tc>
          <w:tcPr>
            <w:tcW w:type="dxa" w:w="3154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Marcadores recientes y healthy</w:t>
            </w:r>
          </w:p>
        </w:tc>
        <w:tc>
          <w:tcPr>
            <w:tcW w:type="dxa" w:w="3154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Revisar health logs y schedule:run</w:t>
            </w:r>
          </w:p>
        </w:tc>
      </w:tr>
      <w:tr>
        <w:tc>
          <w:tcPr>
            <w:tcW w:type="dxa" w:w="315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Antivirus</w:t>
            </w:r>
          </w:p>
        </w:tc>
        <w:tc>
          <w:tcPr>
            <w:tcW w:type="dxa" w:w="315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Clamd healthy, firmas recientes, marcador visible</w:t>
            </w:r>
          </w:p>
        </w:tc>
        <w:tc>
          <w:tcPr>
            <w:tcW w:type="dxa" w:w="315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Revisar antivirus-updater y sus logs</w:t>
            </w:r>
          </w:p>
        </w:tc>
      </w:tr>
      <w:tr>
        <w:tc>
          <w:tcPr>
            <w:tcW w:type="dxa" w:w="3154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MFA local</w:t>
            </w:r>
          </w:p>
        </w:tc>
        <w:tc>
          <w:tcPr>
            <w:tcW w:type="dxa" w:w="3154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Correo de código visible en Mailpit</w:t>
            </w:r>
          </w:p>
        </w:tc>
        <w:tc>
          <w:tcPr>
            <w:tcW w:type="dxa" w:w="3154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Consultar logs identity notifications mailpit</w:t>
            </w:r>
          </w:p>
        </w:tc>
      </w:tr>
    </w:tbl>
    <w:p>
      <w:pPr>
        <w:spacing w:after="40"/>
      </w:pPr>
    </w:p>
    <w:p>
      <w:pPr>
        <w:pStyle w:val="Heading1"/>
      </w:pPr>
      <w:r>
        <w:t>8. Actualizaciones, respaldo y recuperación</w:t>
      </w:r>
    </w:p>
    <w:p>
      <w:pPr/>
      <w:r>
        <w:t>Mantener el archivo .srdbackup cifrado y su clave recovery-key.bin bajo custodias separadas. Verificar autenticación y hacer simulacro de restauración en MySQL temporal aislado; registrar duración, tablas y consistencia. Antes de restaurar datos en servicio se exige conciliar supresiones posteriores a la copia, asientos de tesorería y objetos privados. El ensayo local no acredita por sí solo RPO/RTO de un piloto.</w:t>
      </w:r>
    </w:p>
    <w:p>
      <w:r>
        <w:t>Antes de cambiar una imagen, migración o configuración persistente se recomienda crear un respaldo cifrado y comprobar que pueda autenticarse y restaurarse en contenedor aislado. El script Backup-Local.ps1 detiene temporalmente los servicios de aplicación mientras realiza una copia consistente; debe planearse esa ventana.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./scripts/Backup-Local.ps1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./scripts/Test-BackupRestore.ps1 -VerifyOnly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./scripts/Test-BackupRestore.ps1</w:t>
      </w:r>
    </w:p>
    <w:p>
      <w:pPr>
        <w:spacing w:after="20"/>
      </w:pPr>
    </w:p>
    <w:p>
      <w:r>
        <w:t>La clave de recuperación local se guarda en .local/backups/recovery-key.bin. Debe custodiarse por separado del backup. La restauración automatizada descrita por el proyecto se comprueba en un MySQL temporal aislado; no se debe utilizar directamente sobre el servicio activo.</w:t>
      </w:r>
    </w:p>
    <w:p>
      <w:pPr>
        <w:pStyle w:val="Heading1"/>
      </w:pPr>
      <w:r>
        <w:t>9. Plan de reversión y registro de instalación</w:t>
      </w:r>
    </w:p>
    <w:p>
      <w:pPr/>
      <w:r>
        <w:t>Acta mínima: operador real, fecha/hora y zona, versión de origen y destino, imagen, estado de migraciones, ubicación protegida del respaldo, resultado de VerifyOnly, lista de servicios, pruebas de MFA/permisos/auditoría y decisiones. Si Docker pierde respuesta durante pruebas amplias, reiniciar controladamente y verificar salud; no usar docker compose down -v como recuperación. Registrar una nueva revisión antes de retomar los lotes.</w:t>
      </w:r>
    </w:p>
    <w:p>
      <w:pPr>
        <w:pStyle w:val="ListBullet"/>
      </w:pPr>
      <w:r>
        <w:t>Si un contenedor no inicia: guardar logs y configuración efectiva, detener el cambio de despliegue y conservar volúmenes.</w:t>
      </w:r>
    </w:p>
    <w:p>
      <w:pPr>
        <w:pStyle w:val="ListBullet"/>
      </w:pPr>
      <w:r>
        <w:t>Si una migración falla: detener escrituras del dominio, diagnosticar el esquema y valorar una reversión respaldada. No ejecutar rollback ciego.</w:t>
      </w:r>
    </w:p>
    <w:p>
      <w:pPr>
        <w:pStyle w:val="ListBullet"/>
      </w:pPr>
      <w:r>
        <w:t>Si falta acceso a correo/antivirus: impedir cargas sensibles y suspender la demostración de ese flujo hasta recuperar el componente.</w:t>
      </w:r>
    </w:p>
    <w:p>
      <w:pPr>
        <w:pStyle w:val="ListBullet"/>
      </w:pPr>
      <w:r>
        <w:t>Registrar fecha, versión del ZIP, salida de compose ps, bases migradas, evidencia de salud, responsable y observaciones.</w:t>
      </w:r>
    </w:p>
    <w:p>
      <w:pPr>
        <w:pStyle w:val="Heading1"/>
      </w:pPr>
      <w:r>
        <w:t>10. Alcance fuera de este procedimiento</w:t>
      </w:r>
    </w:p>
    <w:p>
      <w:r>
        <w:t>No se certifican HTTPS de producción, balanceo, copias externas, monitoreo continuo ni instalación de una aplicación móvil distribuida. La ruta de despliegue publicada corresponde al entorno de desarrollo y demostración, no a una guía de puesta en producción en Internet.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IM-02  ·  SRD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SRD  /  IM-02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D2B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547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2B3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20547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D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