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rPr>
          <w:b/>
        </w:rPr>
        <w:t>SRD  /  SISTEMA DE REGISTRO DIGITAL</w:t>
      </w:r>
    </w:p>
    <w:p>
      <w:pPr>
        <w:pStyle w:val="Title"/>
      </w:pPr>
      <w:r>
        <w:t>Acciones correctivas, preventivas y de mejoramiento</w:t>
      </w:r>
    </w:p>
    <w:p>
      <w:r>
        <w:rPr>
          <w:i/>
        </w:rPr>
        <w:t>Registro CAPA del incremento SRD 0.1</w:t>
      </w:r>
    </w:p>
    <w:p>
      <w:pPr>
        <w:spacing w:after="40"/>
      </w:pPr>
      <w:r>
        <w:t>Juan Sebastián González Horta</w:t>
      </w:r>
    </w:p>
    <w:p>
      <w:pPr>
        <w:spacing w:after="40"/>
      </w:pPr>
      <w:r>
        <w:t>Servicio Nacional de Aprendizaje (SENA)</w:t>
      </w:r>
    </w:p>
    <w:p>
      <w:pPr>
        <w:spacing w:after="40"/>
      </w:pPr>
      <w:r>
        <w:t>Centro de la Industria, la Empresa y los Servicios (CIES)</w:t>
      </w:r>
    </w:p>
    <w:p>
      <w:pPr>
        <w:spacing w:after="40"/>
      </w:pPr>
      <w:r>
        <w:t>Programa: Análisis y Desarrollo de Software</w:t>
      </w:r>
    </w:p>
    <w:p>
      <w:pPr>
        <w:spacing w:after="40"/>
      </w:pPr>
      <w:r>
        <w:t>Versión 1.1  ·  revisión al 19 de octubre de 2026 (historial 09/10 preservado)</w:t>
      </w:r>
    </w:p>
    <w:p>
      <w:pPr>
        <w:pStyle w:val="Heading2"/>
      </w:pPr>
      <w:r>
        <w:t>Propósito</w:t>
      </w:r>
    </w:p>
    <w:p>
      <w:r>
        <w:t>Organizar las fallas conocidas en causas, acciones comprobables, prevenciones y mejoras pendientes. Se prioriza la integridad de datos y la trazabilidad de cada intervención.</w:t>
      </w:r>
    </w:p>
    <w:p>
      <w:pPr>
        <w:pStyle w:val="Heading2"/>
      </w:pPr>
      <w:r>
        <w:t>Alcance documental</w:t>
      </w:r>
    </w:p>
    <w:p>
      <w:r>
        <w:t>Documento elaborado para el incremento de desarrollo y demostración local de SRD. Las funciones no implementadas o todavía sin aceptación se distinguen expresamente de las verificadas; no constituye una certificación de producción.</w:t>
      </w:r>
    </w:p>
    <w:p>
      <w:pPr>
        <w:pStyle w:val="Heading2"/>
      </w:pPr>
      <w:r>
        <w:t>CONTENIDO</w:t>
      </w:r>
    </w:p>
    <w:p>
      <w:pPr>
        <w:spacing w:after="20" w:line="240" w:lineRule="auto"/>
      </w:pPr>
      <w:r>
        <w:rPr>
          <w:color w:val="5C6875"/>
          <w:sz w:val="17"/>
        </w:rPr>
        <w:t>01  1. Método del registro</w:t>
      </w:r>
    </w:p>
    <w:p>
      <w:pPr>
        <w:spacing w:after="20" w:line="240" w:lineRule="auto"/>
      </w:pPr>
      <w:r>
        <w:rPr>
          <w:color w:val="5C6875"/>
          <w:sz w:val="17"/>
        </w:rPr>
        <w:t>02  2. Registro de acciones correctivas</w:t>
      </w:r>
    </w:p>
    <w:p>
      <w:pPr>
        <w:spacing w:after="20" w:line="240" w:lineRule="auto"/>
      </w:pPr>
      <w:r>
        <w:rPr>
          <w:color w:val="5C6875"/>
          <w:sz w:val="17"/>
        </w:rPr>
        <w:t>03  3. Acciones preventivas</w:t>
      </w:r>
    </w:p>
    <w:p>
      <w:pPr>
        <w:spacing w:after="20" w:line="240" w:lineRule="auto"/>
      </w:pPr>
      <w:r>
        <w:rPr>
          <w:color w:val="5C6875"/>
          <w:sz w:val="17"/>
        </w:rPr>
        <w:t>04  4. Oportunidades de mejoramiento</w:t>
      </w:r>
    </w:p>
    <w:p>
      <w:pPr>
        <w:spacing w:after="20" w:line="240" w:lineRule="auto"/>
      </w:pPr>
      <w:r>
        <w:rPr>
          <w:color w:val="5C6875"/>
          <w:sz w:val="17"/>
        </w:rPr>
        <w:t>05  5. Tratamiento del riesgo</w:t>
      </w:r>
    </w:p>
    <w:p>
      <w:pPr>
        <w:spacing w:after="20" w:line="240" w:lineRule="auto"/>
      </w:pPr>
      <w:r>
        <w:rPr>
          <w:color w:val="5C6875"/>
          <w:sz w:val="17"/>
        </w:rPr>
        <w:t>06  6. Lecciones aprendidas</w:t>
      </w:r>
    </w:p>
    <w:p>
      <w:pPr>
        <w:spacing w:after="20" w:line="240" w:lineRule="auto"/>
      </w:pPr>
      <w:r>
        <w:rPr>
          <w:color w:val="5C6875"/>
          <w:sz w:val="17"/>
        </w:rPr>
        <w:t>07  7. Seguimiento</w:t>
      </w:r>
    </w:p>
    <w:p>
      <w:r>
        <w:br w:type="page"/>
      </w:r>
    </w:p>
    <w:p>
      <w:pPr>
        <w:pStyle w:val="Heading1"/>
      </w:pPr>
      <w:r>
        <w:t>1. Método del registro</w:t>
      </w:r>
    </w:p>
    <w:p>
      <w:pPr/>
      <w:r>
        <w:t>Se conservan los cierres históricos del 9 de octubre y se distingue una corrección técnica aplicada de su eficacia verificada y de la aceptación del sistema completo. Cada registro contiene: ID, clase, fecha de detección, hallazgo y evidencia, impacto, causa confirmada o hipótesis, contención, acción, responsable (por asignar si no se conoce), plazo (por definir si no se acordó), prueba de eficacia, estado y evidencia de cierre.</w:t>
      </w:r>
    </w:p>
    <w:p>
      <w:r>
        <w:t>Una acción correctiva remueve una causa presente; una preventiva reduce la probabilidad de que el incidente vuelva a ocurrir; una mejora añade capacidad o calidad sin que exista necesariamente una falla. Cada registro identifica evidencia, ejecución, verificación y estado. No se confunde una comprobación técnica puntual con aceptación integral.</w:t>
      </w:r>
    </w:p>
    <w:p>
      <w:pPr>
        <w:pStyle w:val="Heading1"/>
      </w:pPr>
      <w:r>
        <w:t>2. Registro de acciones correctivas</w:t>
      </w:r>
    </w:p>
    <w:p>
      <w:pPr/>
      <w:r>
        <w:t>AC-07 — Corrección aplicada, eficacia dirigida comprobada (19/10/2026). Hallazgo: Consultar Personas podía mostrar la ficha de una consulta anterior al iniciar o fallar una nueva. Impacto: riesgo de interpretación de datos obsoletos. Causa técnica: gestión del estado de resultado/carga. Acción: limpiar ficha previa y mostrar estado de carga y error; prueba de consulta 503/reintento aprobada. Responsable: por asignar; cierre integral: pendiente de revisar pantallas de lectura equivalentes.</w:t>
      </w:r>
    </w:p>
    <w:p>
      <w:pPr/>
      <w:r>
        <w:t>AC-08 — Corrección de pruebas (19/10/2026). Hallazgo: service-status.spec.mjs, person-date-ranges.spec.mjs y person-base-filters.spec.mjs contenían expectativas de controles o respuestas antiguas. Acción: ajustar selectores/aserciones a la interfaz y API vigente; cada archivo aprobó en reejecución individual. No se concluye que exista un defecto de producto en los tres casos. Eficacia de regresión completa: pendiente.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65"/>
        <w:gridCol w:w="2365"/>
        <w:gridCol w:w="2365"/>
        <w:gridCol w:w="2365"/>
      </w:tblGrid>
      <w:tr>
        <w:trPr>
          <w:tblHeader w:val="true"/>
        </w:trPr>
        <w:tc>
          <w:tcPr>
            <w:tcW w:type="dxa" w:w="2365"/>
            <w:shd w:fill="E9EEF2"/>
          </w:tcPr>
          <w:p>
            <w:r>
              <w:rPr>
                <w:b/>
                <w:sz w:val="17"/>
              </w:rPr>
              <w:t>ID / prioridad</w:t>
            </w:r>
          </w:p>
        </w:tc>
        <w:tc>
          <w:tcPr>
            <w:tcW w:type="dxa" w:w="2365"/>
            <w:shd w:fill="E9EEF2"/>
          </w:tcPr>
          <w:p>
            <w:r>
              <w:rPr>
                <w:b/>
                <w:sz w:val="17"/>
              </w:rPr>
              <w:t>Incidente y causa</w:t>
            </w:r>
          </w:p>
        </w:tc>
        <w:tc>
          <w:tcPr>
            <w:tcW w:type="dxa" w:w="2365"/>
            <w:shd w:fill="E9EEF2"/>
          </w:tcPr>
          <w:p>
            <w:r>
              <w:rPr>
                <w:b/>
                <w:sz w:val="17"/>
              </w:rPr>
              <w:t>Intervención ejecutada</w:t>
            </w:r>
          </w:p>
        </w:tc>
        <w:tc>
          <w:tcPr>
            <w:tcW w:type="dxa" w:w="2365"/>
            <w:shd w:fill="E9EEF2"/>
          </w:tcPr>
          <w:p>
            <w:r>
              <w:rPr>
                <w:b/>
                <w:sz w:val="17"/>
              </w:rPr>
              <w:t>Comprobación / estado</w:t>
            </w:r>
          </w:p>
        </w:tc>
      </w:tr>
      <w:tr>
        <w:tc>
          <w:tcPr>
            <w:tcW w:type="dxa" w:w="236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AC-01 / Alta</w:t>
            </w:r>
          </w:p>
        </w:tc>
        <w:tc>
          <w:tcPr>
            <w:tcW w:type="dxa" w:w="236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Auditoría: tabla audit_events inexistente; outbox agotado</w:t>
            </w:r>
          </w:p>
        </w:tc>
        <w:tc>
          <w:tcPr>
            <w:tcW w:type="dxa" w:w="236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Migración de audit; respaldo MySQL; reprogramación dirigida de eventos agotados</w:t>
            </w:r>
          </w:p>
        </w:tc>
        <w:tc>
          <w:tcPr>
            <w:tcW w:type="dxa" w:w="236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33/33 publicados; cierres de Identity, Records, Calendar, Treasury e Inventory comprobados / Cerrada 09/10</w:t>
            </w:r>
          </w:p>
        </w:tc>
      </w:tr>
      <w:tr>
        <w:tc>
          <w:tcPr>
            <w:tcW w:type="dxa" w:w="2365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AC-02 / Alta</w:t>
            </w:r>
          </w:p>
        </w:tc>
        <w:tc>
          <w:tcPr>
            <w:tcW w:type="dxa" w:w="2365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Files y Chat: bases vacías; migraciones ausentes</w:t>
            </w:r>
          </w:p>
        </w:tc>
        <w:tc>
          <w:tcPr>
            <w:tcW w:type="dxa" w:w="2365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Aplicar 11 migraciones Files y 3 Chat sin reiniciar las bases</w:t>
            </w:r>
          </w:p>
        </w:tc>
        <w:tc>
          <w:tcPr>
            <w:tcW w:type="dxa" w:w="2365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migrate:status Ran; outbox-status disponible / Cerrada 09/10</w:t>
            </w:r>
          </w:p>
        </w:tc>
      </w:tr>
      <w:tr>
        <w:tc>
          <w:tcPr>
            <w:tcW w:type="dxa" w:w="236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AC-03 / Media</w:t>
            </w:r>
          </w:p>
        </w:tc>
        <w:tc>
          <w:tcPr>
            <w:tcW w:type="dxa" w:w="236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files-scheduler y chat-scheduler unhealthy por falta de señales recientes</w:t>
            </w:r>
          </w:p>
        </w:tc>
        <w:tc>
          <w:tcPr>
            <w:tcW w:type="dxa" w:w="236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Reejecutar schedule:run tras migrar y revisar comprobaciones de salud</w:t>
            </w:r>
          </w:p>
        </w:tc>
        <w:tc>
          <w:tcPr>
            <w:tcW w:type="dxa" w:w="236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Ambos healthy y tareas completadas / Cerrada 09/10</w:t>
            </w:r>
          </w:p>
        </w:tc>
      </w:tr>
      <w:tr>
        <w:tc>
          <w:tcPr>
            <w:tcW w:type="dxa" w:w="2365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AC-04 / Alta</w:t>
            </w:r>
          </w:p>
        </w:tc>
        <w:tc>
          <w:tcPr>
            <w:tcW w:type="dxa" w:w="2365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Actualizador ClamAV falla: illegal option - en set del script</w:t>
            </w:r>
          </w:p>
        </w:tc>
        <w:tc>
          <w:tcPr>
            <w:tcW w:type="dxa" w:w="2365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Convertir docker/update-signatures.sh de CRLF a LF, conservar .bak y recrear solo updater</w:t>
            </w:r>
          </w:p>
        </w:tc>
        <w:tc>
          <w:tcPr>
            <w:tcW w:type="dxa" w:w="2365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FreshClam 28148; database test passed; srd-update-ok disponible / Cerrada 09/10</w:t>
            </w:r>
          </w:p>
        </w:tc>
      </w:tr>
      <w:tr>
        <w:tc>
          <w:tcPr>
            <w:tcW w:type="dxa" w:w="236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AC-05 / Media</w:t>
            </w:r>
          </w:p>
        </w:tc>
        <w:tc>
          <w:tcPr>
            <w:tcW w:type="dxa" w:w="236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Interfaz de carpetas con texto de selector de archivos según idioma del navegador</w:t>
            </w:r>
          </w:p>
        </w:tc>
        <w:tc>
          <w:tcPr>
            <w:tcW w:type="dxa" w:w="236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Control accesible ES/EN que conserva el input real</w:t>
            </w:r>
          </w:p>
        </w:tc>
        <w:tc>
          <w:tcPr>
            <w:tcW w:type="dxa" w:w="236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Playwright folder-language.spec.mjs 1/1 / Cerrada 08/10</w:t>
            </w:r>
          </w:p>
        </w:tc>
      </w:tr>
      <w:tr>
        <w:tc>
          <w:tcPr>
            <w:tcW w:type="dxa" w:w="2365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AC-06 / Media</w:t>
            </w:r>
          </w:p>
        </w:tc>
        <w:tc>
          <w:tcPr>
            <w:tcW w:type="dxa" w:w="2365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Pruebas de carpetas inestables por selector amplio y dependencias de auditoría</w:t>
            </w:r>
          </w:p>
        </w:tc>
        <w:tc>
          <w:tcPr>
            <w:tcW w:type="dxa" w:w="2365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Acotar selector y arrancar dependencias necesarias</w:t>
            </w:r>
          </w:p>
        </w:tc>
        <w:tc>
          <w:tcPr>
            <w:tcW w:type="dxa" w:w="2365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Reejecución aprobada; registros en VALIDACION.md / Cerrada 08/10</w:t>
            </w:r>
          </w:p>
        </w:tc>
      </w:tr>
      <w:tr>
        <w:tc>
          <w:tcPr>
            <w:tcW w:type="dxa" w:w="2365"/>
          </w:tcPr>
          <w:p>
            <w:r>
              <w:t>AC-07 / Media · 19/10</w:t>
            </w:r>
          </w:p>
        </w:tc>
        <w:tc>
          <w:tcPr>
            <w:tcW w:type="dxa" w:w="2365"/>
          </w:tcPr>
          <w:p>
            <w:r>
              <w:t>Consultar Personas conserva ficha anterior al fallar una lectura (503).</w:t>
            </w:r>
          </w:p>
        </w:tc>
        <w:tc>
          <w:tcPr>
            <w:tcW w:type="dxa" w:w="2365"/>
          </w:tcPr>
          <w:p>
            <w:r>
              <w:t>Limpiar resultado al consultar; mostrar carga y reintento.</w:t>
            </w:r>
          </w:p>
        </w:tc>
        <w:tc>
          <w:tcPr>
            <w:tcW w:type="dxa" w:w="2365"/>
          </w:tcPr>
          <w:p>
            <w:r>
              <w:t>Prueba dirigida 503/reintento aprobada; extensión a otras lecturas pendiente.</w:t>
            </w:r>
          </w:p>
        </w:tc>
      </w:tr>
      <w:tr>
        <w:tc>
          <w:tcPr>
            <w:tcW w:type="dxa" w:w="2365"/>
          </w:tcPr>
          <w:p>
            <w:r>
              <w:t>AC-08 / Media · 19/10</w:t>
            </w:r>
          </w:p>
        </w:tc>
        <w:tc>
          <w:tcPr>
            <w:tcW w:type="dxa" w:w="2365"/>
          </w:tcPr>
          <w:p>
            <w:r>
              <w:t>Expectativas de navegador obsoletas en tres archivos, sin defecto de producto confirmado.</w:t>
            </w:r>
          </w:p>
        </w:tc>
        <w:tc>
          <w:tcPr>
            <w:tcW w:type="dxa" w:w="2365"/>
          </w:tcPr>
          <w:p>
            <w:r>
              <w:t>Actualizar service-status, person-date-ranges y person-base-filters.</w:t>
            </w:r>
          </w:p>
        </w:tc>
        <w:tc>
          <w:tcPr>
            <w:tcW w:type="dxa" w:w="2365"/>
          </w:tcPr>
          <w:p>
            <w:r>
              <w:t>Los tres aprobaron individualmente; suite consolidada pendiente.</w:t>
            </w:r>
          </w:p>
        </w:tc>
      </w:tr>
      <w:tr>
        <w:tc>
          <w:tcPr>
            <w:tcW w:type="dxa" w:w="2365"/>
          </w:tcPr>
          <w:p>
            <w:r>
              <w:t>AC-09 / Alta · 19/10</w:t>
            </w:r>
          </w:p>
        </w:tc>
        <w:tc>
          <w:tcPr>
            <w:tcW w:type="dxa" w:w="2365"/>
          </w:tcPr>
          <w:p>
            <w:r>
              <w:t>Firmas ClamAV vencidas bloquean adjuntos con 503.</w:t>
            </w:r>
          </w:p>
        </w:tc>
        <w:tc>
          <w:tcPr>
            <w:tcW w:type="dxa" w:w="2365"/>
          </w:tcPr>
          <w:p>
            <w:r>
              <w:t>Preservar rechazo, actualizar firmas autorizadamente y volver a probar.</w:t>
            </w:r>
          </w:p>
        </w:tc>
        <w:tc>
          <w:tcPr>
            <w:tcW w:type="dxa" w:w="2365"/>
          </w:tcPr>
          <w:p>
            <w:r>
              <w:t>Abierta por entorno; no hay aceptación de cargas.</w:t>
            </w:r>
          </w:p>
        </w:tc>
      </w:tr>
    </w:tbl>
    <w:p>
      <w:pPr>
        <w:spacing w:after="40"/>
      </w:pPr>
    </w:p>
    <w:p>
      <w:pPr>
        <w:pStyle w:val="Heading1"/>
      </w:pPr>
      <w:r>
        <w:t>3. Acciones preventivas</w:t>
      </w:r>
    </w:p>
    <w:p>
      <w:pPr/>
      <w:r>
        <w:t>AP-07 — Mantener el control antivirus como requisito previo de carga. Al detectar firmas caducadas y respuesta 503, bloquear el escenario de adjuntos, comprobar actualización FreshClam de manera autorizada, registrar fecha de firmas y repetir pruebas limpias y maliciosas sin desactivar ClamAV. Responsable y plazo por asignar; estado abierto por entorno.</w:t>
      </w:r>
    </w:p>
    <w:p>
      <w:pPr/>
      <w:r>
        <w:t>AP-08 — Para regresión del navegador, usar lotes pequeños con -Specs y capturar versión de imagen, memoria, resultados e informes. Docker Desktop perdió respuesta durante un lote; después de un reinicio controlado la web respondió HTTP 200 y 23 servicios aparecieron saludables. Aún deben ejecutarse los archivos restantes; no atribuir a la recuperación la aceptación del conjunto.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65"/>
        <w:gridCol w:w="2365"/>
        <w:gridCol w:w="2365"/>
        <w:gridCol w:w="2365"/>
      </w:tblGrid>
      <w:tr>
        <w:trPr>
          <w:tblHeader w:val="true"/>
        </w:trPr>
        <w:tc>
          <w:tcPr>
            <w:tcW w:type="dxa" w:w="2365"/>
            <w:shd w:fill="E9EEF2"/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2365"/>
            <w:shd w:fill="E9EEF2"/>
          </w:tcPr>
          <w:p>
            <w:r>
              <w:rPr>
                <w:b/>
                <w:sz w:val="17"/>
              </w:rPr>
              <w:t>Prevención</w:t>
            </w:r>
          </w:p>
        </w:tc>
        <w:tc>
          <w:tcPr>
            <w:tcW w:type="dxa" w:w="2365"/>
            <w:shd w:fill="E9EEF2"/>
          </w:tcPr>
          <w:p>
            <w:r>
              <w:rPr>
                <w:b/>
                <w:sz w:val="17"/>
              </w:rPr>
              <w:t>Verificación propuesta</w:t>
            </w:r>
          </w:p>
        </w:tc>
        <w:tc>
          <w:tcPr>
            <w:tcW w:type="dxa" w:w="2365"/>
            <w:shd w:fill="E9EEF2"/>
          </w:tcPr>
          <w:p>
            <w:r>
              <w:rPr>
                <w:b/>
                <w:sz w:val="17"/>
              </w:rPr>
              <w:t>Estado</w:t>
            </w:r>
          </w:p>
        </w:tc>
      </w:tr>
      <w:tr>
        <w:tc>
          <w:tcPr>
            <w:tcW w:type="dxa" w:w="236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AP-01</w:t>
            </w:r>
          </w:p>
        </w:tc>
        <w:tc>
          <w:tcPr>
            <w:tcW w:type="dxa" w:w="236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Añadir preflight de migraciones por servicio al arranque y a la verificación del paquete</w:t>
            </w:r>
          </w:p>
        </w:tc>
        <w:tc>
          <w:tcPr>
            <w:tcW w:type="dxa" w:w="236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migrate:status sobre los 10 dominios; falla explícita ante tablas faltantes</w:t>
            </w:r>
          </w:p>
        </w:tc>
        <w:tc>
          <w:tcPr>
            <w:tcW w:type="dxa" w:w="236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Por automatizar</w:t>
            </w:r>
          </w:p>
        </w:tc>
      </w:tr>
      <w:tr>
        <w:tc>
          <w:tcPr>
            <w:tcW w:type="dxa" w:w="2365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AP-02</w:t>
            </w:r>
          </w:p>
        </w:tc>
        <w:tc>
          <w:tcPr>
            <w:tcW w:type="dxa" w:w="2365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Conservar pruebas de outbox ante caída de audit, reintentos agotados y deduplicación</w:t>
            </w:r>
          </w:p>
        </w:tc>
        <w:tc>
          <w:tcPr>
            <w:tcW w:type="dxa" w:w="2365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Pruebas sintéticas y reporte de exhausted por emisor</w:t>
            </w:r>
          </w:p>
        </w:tc>
        <w:tc>
          <w:tcPr>
            <w:tcW w:type="dxa" w:w="2365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Parcial</w:t>
            </w:r>
          </w:p>
        </w:tc>
      </w:tr>
      <w:tr>
        <w:tc>
          <w:tcPr>
            <w:tcW w:type="dxa" w:w="236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AP-03</w:t>
            </w:r>
          </w:p>
        </w:tc>
        <w:tc>
          <w:tcPr>
            <w:tcW w:type="dxa" w:w="236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Verificar fin de línea LF en scripts shell con gitattributes y check automatizado</w:t>
            </w:r>
          </w:p>
        </w:tc>
        <w:tc>
          <w:tcPr>
            <w:tcW w:type="dxa" w:w="236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Validación en CI sobre docker/*.sh</w:t>
            </w:r>
          </w:p>
        </w:tc>
        <w:tc>
          <w:tcPr>
            <w:tcW w:type="dxa" w:w="236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Por automatizar</w:t>
            </w:r>
          </w:p>
        </w:tc>
      </w:tr>
      <w:tr>
        <w:tc>
          <w:tcPr>
            <w:tcW w:type="dxa" w:w="2365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AP-04</w:t>
            </w:r>
          </w:p>
        </w:tc>
        <w:tc>
          <w:tcPr>
            <w:tcW w:type="dxa" w:w="2365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Mantener firmas ClamAV al día, con alerta si caduca el marcador</w:t>
            </w:r>
          </w:p>
        </w:tc>
        <w:tc>
          <w:tcPr>
            <w:tcW w:type="dxa" w:w="2365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Última fecha de firmas y antigüedad de srd-update-ok</w:t>
            </w:r>
          </w:p>
        </w:tc>
        <w:tc>
          <w:tcPr>
            <w:tcW w:type="dxa" w:w="2365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Parcial</w:t>
            </w:r>
          </w:p>
        </w:tc>
      </w:tr>
      <w:tr>
        <w:tc>
          <w:tcPr>
            <w:tcW w:type="dxa" w:w="236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AP-05</w:t>
            </w:r>
          </w:p>
        </w:tc>
        <w:tc>
          <w:tcPr>
            <w:tcW w:type="dxa" w:w="236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Conservar respaldo cifrado antes de cambios de esquema o datos</w:t>
            </w:r>
          </w:p>
        </w:tc>
        <w:tc>
          <w:tcPr>
            <w:tcW w:type="dxa" w:w="236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Prueba de autenticación y restauración aislada</w:t>
            </w:r>
          </w:p>
        </w:tc>
        <w:tc>
          <w:tcPr>
            <w:tcW w:type="dxa" w:w="236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Implementada en scripts; operación periódica pendiente</w:t>
            </w:r>
          </w:p>
        </w:tc>
      </w:tr>
      <w:tr>
        <w:tc>
          <w:tcPr>
            <w:tcW w:type="dxa" w:w="2365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AP-06</w:t>
            </w:r>
          </w:p>
        </w:tc>
        <w:tc>
          <w:tcPr>
            <w:tcW w:type="dxa" w:w="2365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No guardar credenciales de fixtures, correos ni llaves en ZIP distribuibles</w:t>
            </w:r>
          </w:p>
        </w:tc>
        <w:tc>
          <w:tcPr>
            <w:tcW w:type="dxa" w:w="2365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Inspección automatizada del empaquetado y .gitignore</w:t>
            </w:r>
          </w:p>
        </w:tc>
        <w:tc>
          <w:tcPr>
            <w:tcW w:type="dxa" w:w="2365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Parcial</w:t>
            </w:r>
          </w:p>
        </w:tc>
      </w:tr>
    </w:tbl>
    <w:p>
      <w:pPr>
        <w:spacing w:after="40"/>
      </w:pPr>
    </w:p>
    <w:p>
      <w:pPr>
        <w:pStyle w:val="Heading1"/>
      </w:pPr>
      <w:r>
        <w:t>4. Oportunidades de mejoramiento</w:t>
      </w:r>
    </w:p>
    <w:p>
      <w:pPr/>
      <w:r>
        <w:t>AM-07 — Cerrar en una misma versión los criterios UX 1, 7 y 10: inspección visual completa a 320/1280 px, matriz de escrituras y denegaciones por seis roles, y 140 archivos de navegador sobre imagen final. Corte: 33 archivos aprobados con ejecución final documentada y 107 sin esa evidencia; ningún porcentaje de avance global resulta de esta cuenta.</w:t>
      </w:r>
    </w:p>
    <w:p>
      <w:pPr/>
      <w:r>
        <w:t>AM-08 — Completar aceptación del idioma por usuario ES/EN y del contenido redactado por junta: navegación, mensajes de error, correo, avisos, PDF/XLSX y registros históricos sin inglés. Las cadenas disponibles no prueban que todos los flujos estén traducidos. Vincular la solicitud de cambio con la línea base del SRS.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65"/>
        <w:gridCol w:w="2365"/>
        <w:gridCol w:w="2365"/>
        <w:gridCol w:w="2365"/>
      </w:tblGrid>
      <w:tr>
        <w:trPr>
          <w:tblHeader w:val="true"/>
        </w:trPr>
        <w:tc>
          <w:tcPr>
            <w:tcW w:type="dxa" w:w="2365"/>
            <w:shd w:fill="E9EEF2"/>
          </w:tcPr>
          <w:p>
            <w:r>
              <w:rPr>
                <w:b/>
                <w:sz w:val="17"/>
              </w:rPr>
              <w:t>ID / prioridad</w:t>
            </w:r>
          </w:p>
        </w:tc>
        <w:tc>
          <w:tcPr>
            <w:tcW w:type="dxa" w:w="2365"/>
            <w:shd w:fill="E9EEF2"/>
          </w:tcPr>
          <w:p>
            <w:r>
              <w:rPr>
                <w:b/>
                <w:sz w:val="17"/>
              </w:rPr>
              <w:t>Mejora</w:t>
            </w:r>
          </w:p>
        </w:tc>
        <w:tc>
          <w:tcPr>
            <w:tcW w:type="dxa" w:w="2365"/>
            <w:shd w:fill="E9EEF2"/>
          </w:tcPr>
          <w:p>
            <w:r>
              <w:rPr>
                <w:b/>
                <w:sz w:val="17"/>
              </w:rPr>
              <w:t>Resultado esperado</w:t>
            </w:r>
          </w:p>
        </w:tc>
        <w:tc>
          <w:tcPr>
            <w:tcW w:type="dxa" w:w="2365"/>
            <w:shd w:fill="E9EEF2"/>
          </w:tcPr>
          <w:p>
            <w:r>
              <w:rPr>
                <w:b/>
                <w:sz w:val="17"/>
              </w:rPr>
              <w:t>Situación</w:t>
            </w:r>
          </w:p>
        </w:tc>
      </w:tr>
      <w:tr>
        <w:tc>
          <w:tcPr>
            <w:tcW w:type="dxa" w:w="236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AM-01 / Alta</w:t>
            </w:r>
          </w:p>
        </w:tc>
        <w:tc>
          <w:tcPr>
            <w:tcW w:type="dxa" w:w="236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Cerrar 56 RF contra criterios y evidencias de aceptación</w:t>
            </w:r>
          </w:p>
        </w:tc>
        <w:tc>
          <w:tcPr>
            <w:tcW w:type="dxa" w:w="236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Matriz con aprobado, fallido o no ejecutado por caso</w:t>
            </w:r>
          </w:p>
        </w:tc>
        <w:tc>
          <w:tcPr>
            <w:tcW w:type="dxa" w:w="236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Pendiente</w:t>
            </w:r>
          </w:p>
        </w:tc>
      </w:tr>
      <w:tr>
        <w:tc>
          <w:tcPr>
            <w:tcW w:type="dxa" w:w="2365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AM-02 / Alta</w:t>
            </w:r>
          </w:p>
        </w:tc>
        <w:tc>
          <w:tcPr>
            <w:tcW w:type="dxa" w:w="2365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Completar chat: adjuntos, audio y llamadas según alcance</w:t>
            </w:r>
          </w:p>
        </w:tc>
        <w:tc>
          <w:tcPr>
            <w:tcW w:type="dxa" w:w="2365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Funciones integradas y probadas por roles y dispositivo</w:t>
            </w:r>
          </w:p>
        </w:tc>
        <w:tc>
          <w:tcPr>
            <w:tcW w:type="dxa" w:w="2365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Pendiente</w:t>
            </w:r>
          </w:p>
        </w:tc>
      </w:tr>
      <w:tr>
        <w:tc>
          <w:tcPr>
            <w:tcW w:type="dxa" w:w="236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AM-03 / Alta</w:t>
            </w:r>
          </w:p>
        </w:tc>
        <w:tc>
          <w:tcPr>
            <w:tcW w:type="dxa" w:w="236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Integrar reportes especializados</w:t>
            </w:r>
          </w:p>
        </w:tc>
        <w:tc>
          <w:tcPr>
            <w:tcW w:type="dxa" w:w="236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Servicio específico y contratos propios o ajustar el alcance aprobado</w:t>
            </w:r>
          </w:p>
        </w:tc>
        <w:tc>
          <w:tcPr>
            <w:tcW w:type="dxa" w:w="236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Pendiente</w:t>
            </w:r>
          </w:p>
        </w:tc>
      </w:tr>
      <w:tr>
        <w:tc>
          <w:tcPr>
            <w:tcW w:type="dxa" w:w="2365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AM-04 / Alta</w:t>
            </w:r>
          </w:p>
        </w:tc>
        <w:tc>
          <w:tcPr>
            <w:tcW w:type="dxa" w:w="2365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Validar pruebas de EICAR y archivos limpios sin exponer usuarios reales</w:t>
            </w:r>
          </w:p>
        </w:tc>
        <w:tc>
          <w:tcPr>
            <w:tcW w:type="dxa" w:w="2365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Evidencia de bloqueo/aceptación y auditoría</w:t>
            </w:r>
          </w:p>
        </w:tc>
        <w:tc>
          <w:tcPr>
            <w:tcW w:type="dxa" w:w="2365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Pendiente</w:t>
            </w:r>
          </w:p>
        </w:tc>
      </w:tr>
      <w:tr>
        <w:tc>
          <w:tcPr>
            <w:tcW w:type="dxa" w:w="236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AM-05 / Media</w:t>
            </w:r>
          </w:p>
        </w:tc>
        <w:tc>
          <w:tcPr>
            <w:tcW w:type="dxa" w:w="236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Completar traducción ES/EN en web y exportaciones</w:t>
            </w:r>
          </w:p>
        </w:tc>
        <w:tc>
          <w:tcPr>
            <w:tcW w:type="dxa" w:w="236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Revisión integral de cadenas y datos configurados</w:t>
            </w:r>
          </w:p>
        </w:tc>
        <w:tc>
          <w:tcPr>
            <w:tcW w:type="dxa" w:w="236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Parcial</w:t>
            </w:r>
          </w:p>
        </w:tc>
      </w:tr>
      <w:tr>
        <w:tc>
          <w:tcPr>
            <w:tcW w:type="dxa" w:w="2365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AM-06 / Alta</w:t>
            </w:r>
          </w:p>
        </w:tc>
        <w:tc>
          <w:tcPr>
            <w:tcW w:type="dxa" w:w="2365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Preparar publicación real Windows/Android y TLS</w:t>
            </w:r>
          </w:p>
        </w:tc>
        <w:tc>
          <w:tcPr>
            <w:tcW w:type="dxa" w:w="2365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Release firmado, instalación y desinstalación verificadas</w:t>
            </w:r>
          </w:p>
        </w:tc>
        <w:tc>
          <w:tcPr>
            <w:tcW w:type="dxa" w:w="2365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Pendiente</w:t>
            </w:r>
          </w:p>
        </w:tc>
      </w:tr>
      <w:tr>
        <w:tc>
          <w:tcPr>
            <w:tcW w:type="dxa" w:w="236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AM-07 / Media</w:t>
            </w:r>
          </w:p>
        </w:tc>
        <w:tc>
          <w:tcPr>
            <w:tcW w:type="dxa" w:w="236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Ensayar carga concurrente y degradación parcial</w:t>
            </w:r>
          </w:p>
        </w:tc>
        <w:tc>
          <w:tcPr>
            <w:tcW w:type="dxa" w:w="236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Métricas repetibles y límites de servicio</w:t>
            </w:r>
          </w:p>
        </w:tc>
        <w:tc>
          <w:tcPr>
            <w:tcW w:type="dxa" w:w="236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Pendiente</w:t>
            </w:r>
          </w:p>
        </w:tc>
      </w:tr>
    </w:tbl>
    <w:p>
      <w:pPr>
        <w:spacing w:after="40"/>
      </w:pPr>
    </w:p>
    <w:p>
      <w:pPr>
        <w:pStyle w:val="Heading1"/>
      </w:pPr>
      <w:r>
        <w:t>5. Tratamiento del riesgo</w:t>
      </w:r>
    </w:p>
    <w:p>
      <w:pPr/>
      <w:r>
        <w:t>Revisar semanalmente, hasta el cierre, firmas antivirus, salud de schedulers, outbox agotados, recuperación de backups y consumo de memoria. Para cualquier acción, anotar verificación independiente y evidencia exacta, dejando «fecha prevista por definir» si no existe un plazo acordado.</w:t>
      </w:r>
    </w:p>
    <w:p>
      <w:r>
        <w:t>Para cada cambio se conservará: número de incidente, servicio afectado, reproducción mínima, respaldo cuando haya datos, causa raíz, fecha, responsable, comandos o cambios aplicados, salida de verificación y decisión de cierre. Las acciones de base de datos y los cambios de seguridad requieren validación adicional; no se consideran cerradas por el solo arranque del contenedor.</w:t>
      </w:r>
    </w:p>
    <w:p>
      <w:pPr>
        <w:pStyle w:val="Heading1"/>
      </w:pPr>
      <w:r>
        <w:t>6. Lecciones aprendidas</w:t>
      </w:r>
    </w:p>
    <w:p>
      <w:pPr>
        <w:pStyle w:val="ListBullet"/>
      </w:pPr>
      <w:r>
        <w:t>Un healthcheck de HTTP no demuestra que el esquema de la base del dominio esté migrado.</w:t>
      </w:r>
    </w:p>
    <w:p>
      <w:pPr>
        <w:pStyle w:val="ListBullet"/>
      </w:pPr>
      <w:r>
        <w:t>El outbox exige comprobar tanto la cola emisora como la base receptora de Auditoría.</w:t>
      </w:r>
    </w:p>
    <w:p>
      <w:pPr>
        <w:pStyle w:val="ListBullet"/>
      </w:pPr>
      <w:r>
        <w:t>Las imágenes Docker pueden estar saludables aunque el proceso de actualización de firmas no se ejecute.</w:t>
      </w:r>
    </w:p>
    <w:p>
      <w:pPr>
        <w:pStyle w:val="ListBullet"/>
      </w:pPr>
      <w:r>
        <w:t>Un script desarrollado en Windows requiere verificar codificación UTF-8 y finales de línea LF antes de ejecutarse en Linux.</w:t>
      </w:r>
    </w:p>
    <w:p>
      <w:pPr>
        <w:pStyle w:val="ListBullet"/>
      </w:pPr>
      <w:r>
        <w:t>Los scripts de despliegue deben ser repetibles sin borrar volúmenes ni credenciales existentes.</w:t>
      </w:r>
    </w:p>
    <w:p>
      <w:pPr>
        <w:pStyle w:val="Heading1"/>
      </w:pPr>
      <w:r>
        <w:t>7. Seguimiento</w:t>
      </w:r>
    </w:p>
    <w:p>
      <w:pPr/>
      <w:r>
        <w:t>El seguimiento posterior al 19/10/2026 debe actualizar por separado estado de implementación, prueba de eficacia y aceptación final. Un responsable autorizado debe registrar fecha efectiva y vínculo al artefacto de ejecución; no se atribuyen cierres automáticos por documentación o por healthchecks.</w:t>
      </w:r>
    </w:p>
    <w:p>
      <w:r>
        <w:t>La revisión siguiente prioriza AP-01, AP-03 y AM-04 antes del piloto. El cierre del incremento depende de pruebas funcionales, aceptación de roles, seguridad y validación con usuarios; el registro conserva los pendientes aunque la infraestructura esté saludable.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224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AM-03  ·  SRD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SRD  /  AM-03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69" w:lineRule="auto"/>
    </w:pPr>
    <w:rPr>
      <w:rFonts w:ascii="Aptos" w:hAnsi="Aptos"/>
      <w:color w:val="1D2B3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0547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D2B3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205472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2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D2B3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