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rPr>
          <w:b/>
        </w:rPr>
        <w:t>SRD  /  SISTEMA DE REGISTRO DIGITAL</w:t>
      </w:r>
    </w:p>
    <w:p>
      <w:pPr>
        <w:pStyle w:val="Title"/>
      </w:pPr>
      <w:r>
        <w:t>Manual de usuario final</w:t>
      </w:r>
    </w:p>
    <w:p>
      <w:r>
        <w:rPr>
          <w:i/>
        </w:rPr>
        <w:t>Funciones disponibles en SRD web y vista de la demostración móvil</w:t>
      </w:r>
    </w:p>
    <w:p>
      <w:pPr>
        <w:spacing w:after="40"/>
      </w:pPr>
      <w:r>
        <w:t>Juan Sebastián González Horta</w:t>
      </w:r>
    </w:p>
    <w:p>
      <w:pPr>
        <w:spacing w:after="40"/>
      </w:pPr>
      <w:r>
        <w:t>Servicio Nacional de Aprendizaje (SENA)</w:t>
      </w:r>
    </w:p>
    <w:p>
      <w:pPr>
        <w:spacing w:after="40"/>
      </w:pPr>
      <w:r>
        <w:t>Centro de la Industria, la Empresa y los Servicios (CIES)</w:t>
      </w:r>
    </w:p>
    <w:p>
      <w:pPr>
        <w:spacing w:after="40"/>
      </w:pPr>
      <w:r>
        <w:t>Programa: Análisis y Desarrollo de Software</w:t>
      </w:r>
    </w:p>
    <w:p>
      <w:pPr>
        <w:spacing w:after="40"/>
      </w:pPr>
      <w:r>
        <w:t>Versión 1.1  ·  revisión al 19 de octubre de 2026 (historial 09/10 preservado)</w:t>
      </w:r>
    </w:p>
    <w:p>
      <w:pPr>
        <w:pStyle w:val="Heading2"/>
      </w:pPr>
      <w:r>
        <w:t>Propósito</w:t>
      </w:r>
    </w:p>
    <w:p>
      <w:r>
        <w:t>Orientación para integrantes de una JAC que utilizan SRD desde el navegador. Los procedimientos se presentan según los permisos de cada cuenta y la implementación web actualmente disponible.</w:t>
      </w:r>
    </w:p>
    <w:p>
      <w:pPr>
        <w:pStyle w:val="Heading2"/>
      </w:pPr>
      <w:r>
        <w:t>Alcance documental</w:t>
      </w:r>
    </w:p>
    <w:p>
      <w:r>
        <w:t>Documento elaborado para el incremento de desarrollo y demostración local de SRD. Las funciones no implementadas o todavía sin aceptación se distinguen expresamente de las verificadas; no constituye una certificación de producción.</w:t>
      </w:r>
    </w:p>
    <w:p>
      <w:pPr>
        <w:pStyle w:val="Heading2"/>
      </w:pPr>
      <w:r>
        <w:t>CONTENIDO</w:t>
      </w:r>
    </w:p>
    <w:p>
      <w:pPr>
        <w:spacing w:after="20" w:line="240" w:lineRule="auto"/>
      </w:pPr>
      <w:r>
        <w:rPr>
          <w:color w:val="5C6875"/>
          <w:sz w:val="17"/>
        </w:rPr>
        <w:t>01  1. Antes de entrar</w:t>
      </w:r>
    </w:p>
    <w:p>
      <w:pPr>
        <w:spacing w:after="20" w:line="240" w:lineRule="auto"/>
      </w:pPr>
      <w:r>
        <w:rPr>
          <w:color w:val="5C6875"/>
          <w:sz w:val="17"/>
        </w:rPr>
        <w:t>02  2. Inicio de sesión y verificación</w:t>
      </w:r>
    </w:p>
    <w:p>
      <w:pPr>
        <w:spacing w:after="20" w:line="240" w:lineRule="auto"/>
      </w:pPr>
      <w:r>
        <w:rPr>
          <w:color w:val="5C6875"/>
          <w:sz w:val="17"/>
        </w:rPr>
        <w:t>03  3. Roles y acciones que se pueden ver</w:t>
      </w:r>
    </w:p>
    <w:p>
      <w:pPr>
        <w:spacing w:after="20" w:line="240" w:lineRule="auto"/>
      </w:pPr>
      <w:r>
        <w:rPr>
          <w:color w:val="5C6875"/>
          <w:sz w:val="17"/>
        </w:rPr>
        <w:t>04  4. Panel principal</w:t>
      </w:r>
    </w:p>
    <w:p>
      <w:pPr>
        <w:spacing w:after="20" w:line="240" w:lineRule="auto"/>
      </w:pPr>
      <w:r>
        <w:rPr>
          <w:color w:val="5C6875"/>
          <w:sz w:val="17"/>
        </w:rPr>
        <w:t>05  5. Personas: consultar, crear y editar</w:t>
      </w:r>
    </w:p>
    <w:p>
      <w:pPr>
        <w:spacing w:after="20" w:line="240" w:lineRule="auto"/>
      </w:pPr>
      <w:r>
        <w:rPr>
          <w:color w:val="5C6875"/>
          <w:sz w:val="17"/>
        </w:rPr>
        <w:t>06  6. Agenda, eventos y notificaciones</w:t>
      </w:r>
    </w:p>
    <w:p>
      <w:pPr>
        <w:spacing w:after="20" w:line="240" w:lineRule="auto"/>
      </w:pPr>
      <w:r>
        <w:rPr>
          <w:color w:val="5C6875"/>
          <w:sz w:val="17"/>
        </w:rPr>
        <w:t>07  7. Tesorería informativa</w:t>
      </w:r>
    </w:p>
    <w:p>
      <w:pPr>
        <w:spacing w:after="20" w:line="240" w:lineRule="auto"/>
      </w:pPr>
      <w:r>
        <w:rPr>
          <w:color w:val="5C6875"/>
          <w:sz w:val="17"/>
        </w:rPr>
        <w:t>08  8. Inventario de bienes</w:t>
      </w:r>
    </w:p>
    <w:p>
      <w:pPr>
        <w:spacing w:after="20" w:line="240" w:lineRule="auto"/>
      </w:pPr>
      <w:r>
        <w:rPr>
          <w:color w:val="5C6875"/>
          <w:sz w:val="17"/>
        </w:rPr>
        <w:t>09  9. Carpetas y documentos internos</w:t>
      </w:r>
    </w:p>
    <w:p>
      <w:pPr>
        <w:spacing w:after="20" w:line="240" w:lineRule="auto"/>
      </w:pPr>
      <w:r>
        <w:rPr>
          <w:color w:val="5C6875"/>
          <w:sz w:val="17"/>
        </w:rPr>
        <w:t>10  10. Contactos y chat</w:t>
      </w:r>
    </w:p>
    <w:p>
      <w:pPr>
        <w:spacing w:after="20" w:line="240" w:lineRule="auto"/>
      </w:pPr>
      <w:r>
        <w:rPr>
          <w:color w:val="5C6875"/>
          <w:sz w:val="17"/>
        </w:rPr>
        <w:t>11  11. Auditoría y estado de servicios</w:t>
      </w:r>
    </w:p>
    <w:p>
      <w:pPr>
        <w:spacing w:after="20" w:line="240" w:lineRule="auto"/>
      </w:pPr>
      <w:r>
        <w:rPr>
          <w:color w:val="5C6875"/>
          <w:sz w:val="17"/>
        </w:rPr>
        <w:t>12  12. Perfil, idioma y cierre seguro</w:t>
      </w:r>
    </w:p>
    <w:p>
      <w:pPr>
        <w:spacing w:after="20" w:line="240" w:lineRule="auto"/>
      </w:pPr>
      <w:r>
        <w:rPr>
          <w:color w:val="5C6875"/>
          <w:sz w:val="17"/>
        </w:rPr>
        <w:t>13  13. Si algo sale mal</w:t>
      </w:r>
    </w:p>
    <w:p>
      <w:pPr>
        <w:spacing w:after="20" w:line="240" w:lineRule="auto"/>
      </w:pPr>
      <w:r>
        <w:rPr>
          <w:color w:val="5C6875"/>
          <w:sz w:val="17"/>
        </w:rPr>
        <w:t>14  14. Uso en Android y Windows</w:t>
      </w:r>
    </w:p>
    <w:p>
      <w:pPr>
        <w:spacing w:after="20" w:line="240" w:lineRule="auto"/>
      </w:pPr>
      <w:r>
        <w:rPr>
          <w:color w:val="5C6875"/>
          <w:sz w:val="17"/>
        </w:rPr>
        <w:t>15  Glosario breve</w:t>
      </w:r>
    </w:p>
    <w:p>
      <w:pPr>
        <w:spacing w:after="20" w:line="240" w:lineRule="auto"/>
      </w:pPr>
      <w:r>
        <w:rPr>
          <w:color w:val="5C6875"/>
          <w:sz w:val="17"/>
        </w:rPr>
        <w:t>16  15. Guías de trabajo por situaciones reales</w:t>
      </w:r>
    </w:p>
    <w:p>
      <w:pPr>
        <w:spacing w:after="20" w:line="240" w:lineRule="auto"/>
      </w:pPr>
      <w:r>
        <w:rPr>
          <w:color w:val="5C6875"/>
          <w:sz w:val="17"/>
        </w:rPr>
        <w:t>17  16. Carpetas y documentos privados: guía completa</w:t>
      </w:r>
    </w:p>
    <w:p>
      <w:pPr>
        <w:spacing w:after="20" w:line="240" w:lineRule="auto"/>
      </w:pPr>
      <w:r>
        <w:rPr>
          <w:color w:val="5C6875"/>
          <w:sz w:val="17"/>
        </w:rPr>
        <w:t>18  17. Contactos, conversaciones y avisos</w:t>
      </w:r>
    </w:p>
    <w:p>
      <w:pPr>
        <w:spacing w:after="20" w:line="240" w:lineRule="auto"/>
      </w:pPr>
      <w:r>
        <w:rPr>
          <w:color w:val="5C6875"/>
          <w:sz w:val="17"/>
        </w:rPr>
        <w:t>19  18. Administrar una junta desde Configuración</w:t>
      </w:r>
    </w:p>
    <w:p>
      <w:pPr>
        <w:spacing w:after="20" w:line="240" w:lineRule="auto"/>
      </w:pPr>
      <w:r>
        <w:rPr>
          <w:color w:val="5C6875"/>
          <w:sz w:val="17"/>
        </w:rPr>
        <w:t>20  19. Incidencias frecuentes y prevención de errores</w:t>
      </w:r>
    </w:p>
    <w:p>
      <w:pPr>
        <w:spacing w:after="20" w:line="240" w:lineRule="auto"/>
      </w:pPr>
      <w:r>
        <w:rPr>
          <w:color w:val="5C6875"/>
          <w:sz w:val="17"/>
        </w:rPr>
        <w:t>21  20. Ejercicios de aprendizaje para una primera sesión</w:t>
      </w:r>
    </w:p>
    <w:p>
      <w:pPr>
        <w:spacing w:after="20" w:line="240" w:lineRule="auto"/>
      </w:pPr>
      <w:r>
        <w:rPr>
          <w:color w:val="5C6875"/>
          <w:sz w:val="17"/>
        </w:rPr>
        <w:t>22  21. Referencia rápida de campos y filtros</w:t>
      </w:r>
    </w:p>
    <w:p>
      <w:pPr>
        <w:spacing w:after="20" w:line="240" w:lineRule="auto"/>
      </w:pPr>
      <w:r>
        <w:rPr>
          <w:color w:val="5C6875"/>
          <w:sz w:val="17"/>
        </w:rPr>
        <w:t>23  22. Consultas frecuentes de los usuarios</w:t>
      </w:r>
    </w:p>
    <w:p>
      <w:pPr>
        <w:spacing w:after="20" w:line="240" w:lineRule="auto"/>
      </w:pPr>
      <w:r>
        <w:rPr>
          <w:color w:val="5C6875"/>
          <w:sz w:val="17"/>
        </w:rPr>
        <w:t>24  23. Secuencias de capacitación sugeridas</w:t>
      </w:r>
    </w:p>
    <w:p>
      <w:pPr>
        <w:spacing w:after="20" w:line="240" w:lineRule="auto"/>
      </w:pPr>
      <w:r>
        <w:rPr>
          <w:color w:val="5C6875"/>
          <w:sz w:val="17"/>
        </w:rPr>
        <w:t>25  24. Referencias internas para ampliar procedimientos</w:t>
      </w:r>
    </w:p>
    <w:p>
      <w:r>
        <w:br w:type="page"/>
      </w:r>
    </w:p>
    <w:p>
      <w:pPr>
        <w:pStyle w:val="Heading1"/>
      </w:pPr>
      <w:r>
        <w:t>1. Antes de entrar</w:t>
      </w:r>
    </w:p>
    <w:p>
      <w:pPr/>
      <w:r>
        <w:t>Necesitas una cuenta habilitada en una junta y el enlace o código de esa junta. El código identifica la organización: NO es una contraseña. Si recibiste una invitación, debes completarla y esperar la membresía correspondiente; aparecer en el registro de personas no crea automáticamente un acceso al sistema.</w:t>
      </w:r>
    </w:p>
    <w:p>
      <w:r>
        <w:t>SRD permite gestionar información de una Junta de Acción Comunal desde una plataforma compartida. Cada junta conserva sus propios registros y permisos. Para usarlo se necesita una cuenta invitada o creada por una persona autorizada, el código o enlace de su junta y conexión con el servidor. No hay registro público libre.</w:t>
      </w:r>
    </w:p>
    <w:p>
      <w:r>
        <w:t>La dirección de demostración es http://localhost:8080/j/srd-e2e-a/login. En una instalación de trabajo, el administrador proporciona otra dirección y el enlace de su junta. Nunca utilizar la junta de demostración para datos reales.</w:t>
      </w:r>
    </w:p>
    <w:p>
      <w:pPr>
        <w:pStyle w:val="Heading1"/>
      </w:pPr>
      <w:r>
        <w:t>2. Inicio de sesión y verificación</w:t>
      </w:r>
    </w:p>
    <w:p>
      <w:pPr/>
      <w:r>
        <w:t>Abre la pantalla de acceso de tu junta, comprueba su nombre, escribe correo y contraseña, acepta los términos vigentes cuando se solicite e introduce el código de verificación recibido en tu correo. Si no llega, espera el tiempo indicado antes de pedir otro; nunca compartas el código. Si administras varias juntas, comprueba cuál quedó activa al entrar.</w:t>
      </w:r>
    </w:p>
    <w:p>
      <w:pPr>
        <w:ind w:left="346" w:hanging="259"/>
      </w:pPr>
      <w:r>
        <w:t>1. Abrir el enlace de la junta y comprobar su nombre antes de escribir la contraseña.</w:t>
      </w:r>
    </w:p>
    <w:p>
      <w:pPr>
        <w:ind w:left="346" w:hanging="259"/>
      </w:pPr>
      <w:r>
        <w:t>2. Introducir el correo de la cuenta y la contraseña vigente.</w:t>
      </w:r>
    </w:p>
    <w:p>
      <w:pPr>
        <w:ind w:left="346" w:hanging="259"/>
      </w:pPr>
      <w:r>
        <w:t>3. Leer y aceptar los términos de la junta cuando corresponda.</w:t>
      </w:r>
    </w:p>
    <w:p>
      <w:pPr>
        <w:ind w:left="346" w:hanging="259"/>
      </w:pPr>
      <w:r>
        <w:t>4. Introducir el código de verificación adicional que se envíe al correo registrado.</w:t>
      </w:r>
    </w:p>
    <w:p>
      <w:pPr>
        <w:ind w:left="346" w:hanging="259"/>
      </w:pPr>
      <w:r>
        <w:t>5. Una vez dentro, comprobar que el nombre y la junta activa correspondan a la cuenta.</w:t>
      </w:r>
    </w:p>
    <w:p>
      <w:r>
        <w:t>En la demostración el mensaje llega a Mailpit y se ve en localhost:8025. Si el código vence o no aparece, no insistir repetidamente; comunicarlo al administrador. Si la cuenta pertenece a varias juntas, usar el procedimiento autorizado de cambio de junta, que valida términos y crea un contexto de sesión nuevo.</w:t>
      </w:r>
    </w:p>
    <w:p>
      <w:pPr>
        <w:pStyle w:val="Heading1"/>
      </w:pPr>
      <w:r>
        <w:t>3. Roles y acciones que se pueden ver</w:t>
      </w:r>
    </w:p>
    <w:p>
      <w:pPr/>
      <w:r>
        <w:t>Resumen de permisos por defecto: Superadministrador administra la plataforma y también operaciones autorizadas; Administrador gestiona su junta y membresías; Registrador registra/edita Personas pero no las elimina; Tesorero gestiona movimientos de Tesorería e Inventario; Auditor consulta bitácora; Consultor accede a lectura permitida. Todos pueden consultar Personas de la junta; leer Carpetas siendo RE/TE/AU/CO exige una delegación expresa. No todas las delegaciones permiten escribir, y el servidor decide el acceso final.</w:t>
      </w:r>
    </w:p>
    <w:tbl>
      <w:tblPr>
        <w:tblStyle w:val="TableGrid"/>
        <w:tblW w:type="auto" w:w="0"/>
        <w:jc w:val="center"/>
        <w:tblLook w:firstColumn="1" w:firstRow="1" w:lastColumn="0" w:lastRow="0" w:noHBand="0" w:noVBand="1" w:val="04A0"/>
      </w:tblPr>
      <w:tblGrid>
        <w:gridCol w:w="4730"/>
        <w:gridCol w:w="4730"/>
      </w:tblGrid>
      <w:tr>
        <w:trPr>
          <w:tblHeader w:val="true"/>
        </w:trPr>
        <w:tc>
          <w:tcPr>
            <w:tcW w:type="dxa" w:w="4730"/>
            <w:shd w:fill="E9EEF2"/>
          </w:tcPr>
          <w:p>
            <w:r>
              <w:rPr>
                <w:b/>
                <w:sz w:val="17"/>
              </w:rPr>
              <w:t>Rol</w:t>
            </w:r>
          </w:p>
        </w:tc>
        <w:tc>
          <w:tcPr>
            <w:tcW w:type="dxa" w:w="4730"/>
            <w:shd w:fill="E9EEF2"/>
          </w:tcPr>
          <w:p>
            <w:r>
              <w:rPr>
                <w:b/>
                <w:sz w:val="17"/>
              </w:rPr>
              <w:t>Puede realizar principalmente</w:t>
            </w:r>
          </w:p>
        </w:tc>
      </w:tr>
      <w:tr>
        <w:tc>
          <w:tcPr>
            <w:tcW w:type="dxa" w:w="4730"/>
            <w:vAlign w:val="center"/>
          </w:tcPr>
          <w:p>
            <w:pPr>
              <w:spacing w:after="40" w:before="40"/>
            </w:pPr>
            <w:r>
              <w:rPr>
                <w:sz w:val="16"/>
              </w:rPr>
              <w:t>Superadministrador</w:t>
            </w:r>
          </w:p>
        </w:tc>
        <w:tc>
          <w:tcPr>
            <w:tcW w:type="dxa" w:w="4730"/>
            <w:vAlign w:val="center"/>
          </w:tcPr>
          <w:p>
            <w:pPr>
              <w:spacing w:after="40" w:before="40"/>
            </w:pPr>
            <w:r>
              <w:rPr>
                <w:sz w:val="16"/>
              </w:rPr>
              <w:t>Administrar juntas y plataforma, además de los módulos autorizados de su junta activa</w:t>
            </w:r>
          </w:p>
        </w:tc>
      </w:tr>
      <w:tr>
        <w:tc>
          <w:tcPr>
            <w:tcW w:type="dxa" w:w="4730"/>
            <w:vAlign w:val="center"/>
            <w:shd w:fill="F6F8F9"/>
          </w:tcPr>
          <w:p>
            <w:pPr>
              <w:spacing w:after="40" w:before="40"/>
            </w:pPr>
            <w:r>
              <w:rPr>
                <w:sz w:val="16"/>
              </w:rPr>
              <w:t>Administrador</w:t>
            </w:r>
          </w:p>
        </w:tc>
        <w:tc>
          <w:tcPr>
            <w:tcW w:type="dxa" w:w="4730"/>
            <w:vAlign w:val="center"/>
            <w:shd w:fill="F6F8F9"/>
          </w:tcPr>
          <w:p>
            <w:pPr>
              <w:spacing w:after="40" w:before="40"/>
            </w:pPr>
            <w:r>
              <w:rPr>
                <w:sz w:val="16"/>
              </w:rPr>
              <w:t>Gestionar miembros, configuración, fichas, carpetas y recursos administrativos de su junta</w:t>
            </w:r>
          </w:p>
        </w:tc>
      </w:tr>
      <w:tr>
        <w:tc>
          <w:tcPr>
            <w:tcW w:type="dxa" w:w="4730"/>
            <w:vAlign w:val="center"/>
          </w:tcPr>
          <w:p>
            <w:pPr>
              <w:spacing w:after="40" w:before="40"/>
            </w:pPr>
            <w:r>
              <w:rPr>
                <w:sz w:val="16"/>
              </w:rPr>
              <w:t>Registrador</w:t>
            </w:r>
          </w:p>
        </w:tc>
        <w:tc>
          <w:tcPr>
            <w:tcW w:type="dxa" w:w="4730"/>
            <w:vAlign w:val="center"/>
          </w:tcPr>
          <w:p>
            <w:pPr>
              <w:spacing w:after="40" w:before="40"/>
            </w:pPr>
            <w:r>
              <w:rPr>
                <w:sz w:val="16"/>
              </w:rPr>
              <w:t>Crear y modificar registros de personas autorizados</w:t>
            </w:r>
          </w:p>
        </w:tc>
      </w:tr>
      <w:tr>
        <w:tc>
          <w:tcPr>
            <w:tcW w:type="dxa" w:w="4730"/>
            <w:vAlign w:val="center"/>
            <w:shd w:fill="F6F8F9"/>
          </w:tcPr>
          <w:p>
            <w:pPr>
              <w:spacing w:after="40" w:before="40"/>
            </w:pPr>
            <w:r>
              <w:rPr>
                <w:sz w:val="16"/>
              </w:rPr>
              <w:t>Tesorero</w:t>
            </w:r>
          </w:p>
        </w:tc>
        <w:tc>
          <w:tcPr>
            <w:tcW w:type="dxa" w:w="4730"/>
            <w:vAlign w:val="center"/>
            <w:shd w:fill="F6F8F9"/>
          </w:tcPr>
          <w:p>
            <w:pPr>
              <w:spacing w:after="40" w:before="40"/>
            </w:pPr>
            <w:r>
              <w:rPr>
                <w:sz w:val="16"/>
              </w:rPr>
              <w:t>Registrar movimientos informativos y bienes; consultar personas autorizadas</w:t>
            </w:r>
          </w:p>
        </w:tc>
      </w:tr>
      <w:tr>
        <w:tc>
          <w:tcPr>
            <w:tcW w:type="dxa" w:w="4730"/>
            <w:vAlign w:val="center"/>
          </w:tcPr>
          <w:p>
            <w:pPr>
              <w:spacing w:after="40" w:before="40"/>
            </w:pPr>
            <w:r>
              <w:rPr>
                <w:sz w:val="16"/>
              </w:rPr>
              <w:t>Auditor</w:t>
            </w:r>
          </w:p>
        </w:tc>
        <w:tc>
          <w:tcPr>
            <w:tcW w:type="dxa" w:w="4730"/>
            <w:vAlign w:val="center"/>
          </w:tcPr>
          <w:p>
            <w:pPr>
              <w:spacing w:after="40" w:before="40"/>
            </w:pPr>
            <w:r>
              <w:rPr>
                <w:sz w:val="16"/>
              </w:rPr>
              <w:t>Consultar el historial de auditoría y exportarlo</w:t>
            </w:r>
          </w:p>
        </w:tc>
      </w:tr>
      <w:tr>
        <w:tc>
          <w:tcPr>
            <w:tcW w:type="dxa" w:w="4730"/>
            <w:vAlign w:val="center"/>
            <w:shd w:fill="F6F8F9"/>
          </w:tcPr>
          <w:p>
            <w:pPr>
              <w:spacing w:after="40" w:before="40"/>
            </w:pPr>
            <w:r>
              <w:rPr>
                <w:sz w:val="16"/>
              </w:rPr>
              <w:t>Consultor</w:t>
            </w:r>
          </w:p>
        </w:tc>
        <w:tc>
          <w:tcPr>
            <w:tcW w:type="dxa" w:w="4730"/>
            <w:vAlign w:val="center"/>
            <w:shd w:fill="F6F8F9"/>
          </w:tcPr>
          <w:p>
            <w:pPr>
              <w:spacing w:after="40" w:before="40"/>
            </w:pPr>
            <w:r>
              <w:rPr>
                <w:sz w:val="16"/>
              </w:rPr>
              <w:t>Buscar y leer información según permisos vigentes</w:t>
            </w:r>
          </w:p>
        </w:tc>
      </w:tr>
    </w:tbl>
    <w:p>
      <w:pPr>
        <w:spacing w:after="40"/>
      </w:pPr>
    </w:p>
    <w:p>
      <w:r>
        <w:t>Si un botón no aparece, puede ser una limitación de permisos o una función que todavía no esté disponible en el incremento. Cambiar la interfaz no concede permisos: el servidor los comprueba en cada operación.</w:t>
      </w:r>
    </w:p>
    <w:p>
      <w:pPr>
        <w:pStyle w:val="Heading1"/>
      </w:pPr>
      <w:r>
        <w:t>4. Panel principal</w:t>
      </w:r>
    </w:p>
    <w:p>
      <w:r>
        <w:t>Después de iniciar sesión se presenta el resumen de la junta y accesos a módulos. Puede mostrar indicadores de registros y actividad reciente. Los accesos rápidos se definen por junta y, si la configuración lo permite, el usuario puede personalizarlos. El perfil permite escoger tema y preferencia de idioma ES/EN en las secciones implementadas.</w:t>
      </w:r>
    </w:p>
    <w:p>
      <w:pPr>
        <w:pStyle w:val="Heading1"/>
      </w:pPr>
      <w:r>
        <w:t>5. Personas: consultar, crear y editar</w:t>
      </w:r>
    </w:p>
    <w:p>
      <w:pPr/>
      <w:r>
        <w:t>En Consultar, espera el indicador de carga antes de interpretar un resultado. Si un servicio falla, la ficha anterior no debe quedar presentada como resultado vigente; usa Reintentar después de comprobar la búsqueda. Al guardar, si la conexión se corta sin confirmación, regresa al listado y verifica el documento antes de volver a crear una persona.</w:t>
      </w:r>
    </w:p>
    <w:p>
      <w:pPr>
        <w:ind w:left="346" w:hanging="259"/>
      </w:pPr>
      <w:r>
        <w:t>1. Abrir Personas o Lista para consultar las fichas de la junta.</w:t>
      </w:r>
    </w:p>
    <w:p>
      <w:pPr>
        <w:ind w:left="346" w:hanging="259"/>
      </w:pPr>
      <w:r>
        <w:t>2. Usar búsqueda, estado, ubicación y los filtros adicionales que haya habilitado el administrador.</w:t>
      </w:r>
    </w:p>
    <w:p>
      <w:pPr>
        <w:ind w:left="346" w:hanging="259"/>
      </w:pPr>
      <w:r>
        <w:t>3. Abrir Ver para revisar datos y fotografías autorizadas.</w:t>
      </w:r>
    </w:p>
    <w:p>
      <w:pPr>
        <w:ind w:left="346" w:hanging="259"/>
      </w:pPr>
      <w:r>
        <w:t>4. Si el rol permite crear, seleccionar Nueva persona y diligenciar tipo/número de documento y nombres.</w:t>
      </w:r>
    </w:p>
    <w:p>
      <w:pPr>
        <w:ind w:left="346" w:hanging="259"/>
      </w:pPr>
      <w:r>
        <w:t>5. Guardar como Pendiente cuando la ficha aún no tenga la información para Completado.</w:t>
      </w:r>
    </w:p>
    <w:p>
      <w:pPr>
        <w:ind w:left="346" w:hanging="259"/>
      </w:pPr>
      <w:r>
        <w:t>6. Para completar o editar, revisar campos obligatorios, zona urbana/rural y evitar documentos duplicados.</w:t>
      </w:r>
    </w:p>
    <w:p>
      <w:pPr>
        <w:ind w:left="346" w:hanging="259"/>
      </w:pPr>
      <w:r>
        <w:t>7. Guardar y comprobar el resultado; las fotografías privadas se administran desde la ficha según permisos.</w:t>
      </w:r>
    </w:p>
    <w:p>
      <w:r>
        <w:t>Los campos adicionales, cargos y opciones son configurados por la junta. Las notas internas no se exponen a roles sin autorización. La exportación PDF/Excel existe en operaciones concretas, pero algunas exportaciones extensas del alcance original siguen pendientes.</w:t>
      </w:r>
    </w:p>
    <w:p>
      <w:pPr>
        <w:pStyle w:val="Heading1"/>
      </w:pPr>
      <w:r>
        <w:t>6. Agenda, eventos y notificaciones</w:t>
      </w:r>
    </w:p>
    <w:p>
      <w:pPr/>
      <w:r>
        <w:t>Al crear o modificar un evento, confirma fechas, participantes y recordatorios antes de guardar. Una invitación enviada no equivale a una membresía nueva. En la campana de avisos, «Marcar como leído» conserva el aviso sin contador pendiente; «Descartar» lo retira de la vista conforme a la acción disponible. Si No molestar está activo, los avisos pueden conservarse aunque no se muestre el distintivo.</w:t>
      </w:r>
    </w:p>
    <w:p>
      <w:r>
        <w:t>Abrir Calendario para consultar el mes, la semana o la agenda. Las personas con permisos pueden crear o modificar eventos y participantes; las personas invitadas pueden aceptar o rechazar con las acciones disponibles. La campana de notificaciones muestra avisos personales; desde la bandeja se pueden marcar como leídos o descartar. Las preferencias de avisos opcionales y el horario de silencio se gestionan por usuario y junta.</w:t>
      </w:r>
    </w:p>
    <w:p>
      <w:pPr>
        <w:pStyle w:val="Heading1"/>
      </w:pPr>
      <w:r>
        <w:t>7. Tesorería informativa</w:t>
      </w:r>
    </w:p>
    <w:p>
      <w:pPr>
        <w:ind w:left="346" w:hanging="259"/>
      </w:pPr>
      <w:r>
        <w:t>1. Abrir Tesorería con una cuenta SA, AD o TE.</w:t>
      </w:r>
    </w:p>
    <w:p>
      <w:pPr>
        <w:ind w:left="346" w:hanging="259"/>
      </w:pPr>
      <w:r>
        <w:t>2. Si la cuenta de la junta aún no existe, registrar la apertura (se admite importe inicial cero).</w:t>
      </w:r>
    </w:p>
    <w:p>
      <w:pPr>
        <w:ind w:left="346" w:hanging="259"/>
      </w:pPr>
      <w:r>
        <w:t>3. Elegir ingreso o egreso, importe positivo en COP, fecha efectiva y concepto.</w:t>
      </w:r>
    </w:p>
    <w:p>
      <w:pPr>
        <w:ind w:left="346" w:hanging="259"/>
      </w:pPr>
      <w:r>
        <w:t>4. Confirmar y revisar saldo, historial y número de comprobante.</w:t>
      </w:r>
    </w:p>
    <w:p>
      <w:pPr>
        <w:ind w:left="346" w:hanging="259"/>
      </w:pPr>
      <w:r>
        <w:t>5. Si se cometió un error, usar Revertir con motivo: el asiento original no se borra ni edita.</w:t>
      </w:r>
    </w:p>
    <w:p>
      <w:pPr>
        <w:ind w:left="346" w:hanging="259"/>
      </w:pPr>
      <w:r>
        <w:t>6. Aplicar filtros Desde, Hasta o concepto/comprobante; descargar el historial o comprobante PDF/Excel según las acciones habilitadas.</w:t>
      </w:r>
    </w:p>
    <w:p>
      <w:r>
        <w:t>Tesorería es un registro administrativo informativo: no realiza transferencias bancarias, pagos automáticos ni contabilidad tributaria certificada. Al dar un nombre propio al archivo descargado, se requiere confirmarlo antes de generar la descarga.</w:t>
      </w:r>
    </w:p>
    <w:p>
      <w:pPr>
        <w:pStyle w:val="Heading1"/>
      </w:pPr>
      <w:r>
        <w:t>8. Inventario de bienes</w:t>
      </w:r>
    </w:p>
    <w:p>
      <w:pPr>
        <w:ind w:left="346" w:hanging="259"/>
      </w:pPr>
      <w:r>
        <w:t>1. Entrar a Inventario y revisar la lista según estado, tipo, código o nombre.</w:t>
      </w:r>
    </w:p>
    <w:p>
      <w:pPr>
        <w:ind w:left="346" w:hanging="259"/>
      </w:pPr>
      <w:r>
        <w:t>2. Usar Registrar bien para capturar mueble o inmueble, código único, ubicación, condición y responsable cuando corresponda.</w:t>
      </w:r>
    </w:p>
    <w:p>
      <w:pPr>
        <w:ind w:left="346" w:hanging="259"/>
      </w:pPr>
      <w:r>
        <w:t>3. Abrir la ficha para consultar cantidad, fotos e historial.</w:t>
      </w:r>
    </w:p>
    <w:p>
      <w:pPr>
        <w:ind w:left="346" w:hanging="259"/>
      </w:pPr>
      <w:r>
        <w:t>4. Registrar entrada, salida o ajuste con motivo cuando deba cambiar la existencia de un mueble.</w:t>
      </w:r>
    </w:p>
    <w:p>
      <w:pPr>
        <w:ind w:left="346" w:hanging="259"/>
      </w:pPr>
      <w:r>
        <w:t>5. Usar Dar de baja con la comprobación exigida; las bajas conservan historial.</w:t>
      </w:r>
    </w:p>
    <w:p>
      <w:pPr>
        <w:ind w:left="346" w:hanging="259"/>
      </w:pPr>
      <w:r>
        <w:t>6. Exportar listado o movimientos a PDF/Excel conforme a los filtros aplicados.</w:t>
      </w:r>
    </w:p>
    <w:p>
      <w:r>
        <w:t>Las fichas de bienes activos pueden tener fotografías privadas de vista frontal, lateral y detalle. Un inmueble se registra inicialmente como una unidad; la disponibilidad de movimientos depende de su tipo y estado.</w:t>
      </w:r>
    </w:p>
    <w:p>
      <w:pPr>
        <w:pStyle w:val="Heading1"/>
      </w:pPr>
      <w:r>
        <w:t>9. Carpetas y documentos internos</w:t>
      </w:r>
    </w:p>
    <w:p>
      <w:pPr/>
      <w:r>
        <w:t>Las cargas pasan controles de tamaño, tipo, cuota y antivirus. Si se muestra que el antivirus no está disponible o un error temporal, no insistas ni intentes cambiar el archivo para eludir el control: solicita asistencia al administrador. Solo SA/AD pueden escribir en Carpetas; otros roles acceden a lectura cuando se les haya delegado.</w:t>
      </w:r>
    </w:p>
    <w:p>
      <w:r>
        <w:t>Los administradores pueden crear carpetas, renombrar, mover y eliminar carpetas vacías. También pueden cargar documentos Office permitidos, descargarlos y administrarlos según permisos. El límite inicial para DOCX/XLSX privados es 20 MiB por archivo. Las carpetas tienen nombres ES/EN cuando la función lo requiere; el contenido aportado por las personas no se traduce automáticamente.</w:t>
      </w:r>
    </w:p>
    <w:p>
      <w:pPr>
        <w:ind w:left="346" w:hanging="259"/>
      </w:pPr>
      <w:r>
        <w:t>1. Abrir el módulo de Carpetas y seleccionar la ubicación deseada.</w:t>
      </w:r>
    </w:p>
    <w:p>
      <w:pPr>
        <w:ind w:left="346" w:hanging="259"/>
      </w:pPr>
      <w:r>
        <w:t>2. Usar Nueva carpeta o Cargar documento cuando la opción esté autorizada.</w:t>
      </w:r>
    </w:p>
    <w:p>
      <w:pPr>
        <w:ind w:left="346" w:hanging="259"/>
      </w:pPr>
      <w:r>
        <w:t>3. Confirmar que el documento se guarde en la carpeta correcta.</w:t>
      </w:r>
    </w:p>
    <w:p>
      <w:pPr>
        <w:ind w:left="346" w:hanging="259"/>
      </w:pPr>
      <w:r>
        <w:t>4. Para renombrar o mover, abrir las acciones y confirmar el destino.</w:t>
      </w:r>
    </w:p>
    <w:p>
      <w:pPr>
        <w:ind w:left="346" w:hanging="259"/>
      </w:pPr>
      <w:r>
        <w:t>5. Si aparece Conflicto o la carpeta cambió, actualizar la vista y repetir después de revisar.</w:t>
      </w:r>
    </w:p>
    <w:p>
      <w:pPr>
        <w:ind w:left="346" w:hanging="259"/>
      </w:pPr>
      <w:r>
        <w:t>6. No intentar borrar una carpeta con documentos o subcarpetas: el sistema lo impide.</w:t>
      </w:r>
    </w:p>
    <w:p>
      <w:r>
        <w:t>La lectura delegada de carpetas para registradores, tesoreros, auditores o consultores se configura desde Configuración → Acceso a Carpeta; inicialmente está deshabilitada. Las cargas deben superar los controles del antivirus y la cuota.</w:t>
      </w:r>
    </w:p>
    <w:p>
      <w:pPr>
        <w:pStyle w:val="Heading1"/>
      </w:pPr>
      <w:r>
        <w:t>10. Contactos y chat</w:t>
      </w:r>
    </w:p>
    <w:p>
      <w:pPr/>
      <w:r>
        <w:t>Abre Contactos, elige un integrante activo de tu junta y entra a la conversación. Dentro de cada mensaje utiliza su menú para ver las acciones disponibles: un mensaje propio puede eliminarse para ambas partes; un mensaje recibido puede ocultarse solo en tu vista. Puedes abrir imágenes en el visor, consultar elementos fijados y revisar archivos adjuntos cuando el servidor los autorice.</w:t>
      </w:r>
    </w:p>
    <w:p>
      <w:pPr/>
      <w:r>
        <w:t>Para una nota de voz, usa el control de grabación, pausa y vista previa antes de enviar; no asumas que un audio en preparación ya se entregó. Los indicadores Escribiendo, Grabando y Llamando describen actividad momentánea; los mensajes y avisos de llamadas perdidas/finalizadas son datos que pueden consultarse después. Las llamadas funcionan en ensayos locales; entre redes pueden requerir configuración adicional y no deben darse por garantizadas en cualquier dispositivo.</w:t>
      </w:r>
    </w:p>
    <w:p>
      <w:r>
        <w:t>Desde Contactos se puede consultar el directorio de integrantes autorizados de la junta. Chat permite conversaciones directas y mensajes de texto, con estados de envío, entrega y lectura; su interfaz web cuenta con paginación. La presencia se muestra de acuerdo con las preferencias y las reglas del servicio. No presentar como disponibles los adjuntos de chat, las notas de voz ni las llamadas: siguen pendientes.</w:t>
      </w:r>
    </w:p>
    <w:p>
      <w:pPr>
        <w:pStyle w:val="Heading1"/>
      </w:pPr>
      <w:r>
        <w:t>11. Auditoría y estado de servicios</w:t>
      </w:r>
    </w:p>
    <w:p>
      <w:r>
        <w:t>Los roles de superadministrador, administrador y auditor pueden consultar Auditoría de su junta, filtrar eventos y exportar información autorizada. En Configuración → Estado de servicios, superadministradores y administradores pueden revisar salud, colas de correo, entrega de eventos y planificadores. Estas herramientas son de administración; no todos los roles las ven.</w:t>
      </w:r>
    </w:p>
    <w:p>
      <w:pPr>
        <w:pStyle w:val="Heading1"/>
      </w:pPr>
      <w:r>
        <w:t>12. Perfil, idioma y cierre seguro</w:t>
      </w:r>
    </w:p>
    <w:p>
      <w:pPr/>
      <w:r>
        <w:t>En Perfil puedes elegir Español o English y guardar la preferencia. Comprueba que continúa tras actualizar la página y volver a iniciar sesión. Los textos escritos por tu junta (nombres, términos y etiquetas configurables) pueden tener versiones españolas e inglesas redactadas por administradores: SRD no los traduce automáticamente. Si un registro antiguo no tiene versión inglesa, puede verse su texto original hasta que un responsable lo revise.</w:t>
      </w:r>
    </w:p>
    <w:p>
      <w:pPr>
        <w:ind w:left="346" w:hanging="259"/>
      </w:pPr>
      <w:r>
        <w:t>1. Abrir el menú de perfil para revisar el nombre y correo.</w:t>
      </w:r>
    </w:p>
    <w:p>
      <w:pPr>
        <w:ind w:left="346" w:hanging="259"/>
      </w:pPr>
      <w:r>
        <w:t>2. Si el módulo lo permite, modificar preferencias propias, idioma ES/EN, tema o presencia.</w:t>
      </w:r>
    </w:p>
    <w:p>
      <w:pPr>
        <w:ind w:left="346" w:hanging="259"/>
      </w:pPr>
      <w:r>
        <w:t>3. Guardar los cambios y comprobar que persisten después de recargar.</w:t>
      </w:r>
    </w:p>
    <w:p>
      <w:pPr>
        <w:ind w:left="346" w:hanging="259"/>
      </w:pPr>
      <w:r>
        <w:t>4. Antes de cerrar sesión, terminar cualquier formulario que no haya sido guardado.</w:t>
      </w:r>
    </w:p>
    <w:p>
      <w:pPr>
        <w:ind w:left="346" w:hanging="259"/>
      </w:pPr>
      <w:r>
        <w:t>5. Usar Cerrar sesión y no compartir contraseña ni códigos de verificación.</w:t>
      </w:r>
    </w:p>
    <w:p>
      <w:r>
        <w:t>La traducción ES/EN es parcial; los textos comunitarios escritos por integrantes y documentos adjuntos conservan su idioma original.</w:t>
      </w:r>
    </w:p>
    <w:p>
      <w:pPr>
        <w:pStyle w:val="Heading1"/>
      </w:pPr>
      <w:r>
        <w:t>13. Si algo sale mal</w:t>
      </w:r>
    </w:p>
    <w:p>
      <w:pPr/>
      <w:r>
        <w:t>Consulta que termina en 503 → usa Reintentar después de comprobar la conexión; error 403 → consulta al administrador los permisos; conflicto 409 → recarga antes de editar; espera excesiva tras Guardar → comprueba primero en la lista si se registró el cambio; archivo rechazado por antivirus → informa al administrador sin intentar saltar el escaneo. Estas instrucciones evitan duplicar datos.</w:t>
      </w:r>
    </w:p>
    <w:tbl>
      <w:tblPr>
        <w:tblStyle w:val="TableGrid"/>
        <w:tblW w:type="auto" w:w="0"/>
        <w:jc w:val="center"/>
        <w:tblLook w:firstColumn="1" w:firstRow="1" w:lastColumn="0" w:lastRow="0" w:noHBand="0" w:noVBand="1" w:val="04A0"/>
      </w:tblPr>
      <w:tblGrid>
        <w:gridCol w:w="4730"/>
        <w:gridCol w:w="4730"/>
      </w:tblGrid>
      <w:tr>
        <w:trPr>
          <w:tblHeader w:val="true"/>
        </w:trPr>
        <w:tc>
          <w:tcPr>
            <w:tcW w:type="dxa" w:w="4730"/>
            <w:shd w:fill="E9EEF2"/>
          </w:tcPr>
          <w:p>
            <w:r>
              <w:rPr>
                <w:b/>
                <w:sz w:val="17"/>
              </w:rPr>
              <w:t>Situación</w:t>
            </w:r>
          </w:p>
        </w:tc>
        <w:tc>
          <w:tcPr>
            <w:tcW w:type="dxa" w:w="4730"/>
            <w:shd w:fill="E9EEF2"/>
          </w:tcPr>
          <w:p>
            <w:r>
              <w:rPr>
                <w:b/>
                <w:sz w:val="17"/>
              </w:rPr>
              <w:t>Qué puede hacer</w:t>
            </w:r>
          </w:p>
        </w:tc>
      </w:tr>
      <w:tr>
        <w:tc>
          <w:tcPr>
            <w:tcW w:type="dxa" w:w="4730"/>
            <w:vAlign w:val="center"/>
          </w:tcPr>
          <w:p>
            <w:pPr>
              <w:spacing w:after="40" w:before="40"/>
            </w:pPr>
            <w:r>
              <w:rPr>
                <w:sz w:val="16"/>
              </w:rPr>
              <w:t>No entra a su junta</w:t>
            </w:r>
          </w:p>
        </w:tc>
        <w:tc>
          <w:tcPr>
            <w:tcW w:type="dxa" w:w="4730"/>
            <w:vAlign w:val="center"/>
          </w:tcPr>
          <w:p>
            <w:pPr>
              <w:spacing w:after="40" w:before="40"/>
            </w:pPr>
            <w:r>
              <w:rPr>
                <w:sz w:val="16"/>
              </w:rPr>
              <w:t>Comprobar el enlace de junta; recuperar acceso mediante el procedimiento autorizado o contactar al administrador</w:t>
            </w:r>
          </w:p>
        </w:tc>
      </w:tr>
      <w:tr>
        <w:tc>
          <w:tcPr>
            <w:tcW w:type="dxa" w:w="4730"/>
            <w:vAlign w:val="center"/>
            <w:shd w:fill="F6F8F9"/>
          </w:tcPr>
          <w:p>
            <w:pPr>
              <w:spacing w:after="40" w:before="40"/>
            </w:pPr>
            <w:r>
              <w:rPr>
                <w:sz w:val="16"/>
              </w:rPr>
              <w:t>No ve un botón</w:t>
            </w:r>
          </w:p>
        </w:tc>
        <w:tc>
          <w:tcPr>
            <w:tcW w:type="dxa" w:w="4730"/>
            <w:vAlign w:val="center"/>
            <w:shd w:fill="F6F8F9"/>
          </w:tcPr>
          <w:p>
            <w:pPr>
              <w:spacing w:after="40" w:before="40"/>
            </w:pPr>
            <w:r>
              <w:rPr>
                <w:sz w:val="16"/>
              </w:rPr>
              <w:t>Confirmar rol y permisos con el administrador</w:t>
            </w:r>
          </w:p>
        </w:tc>
      </w:tr>
      <w:tr>
        <w:tc>
          <w:tcPr>
            <w:tcW w:type="dxa" w:w="4730"/>
            <w:vAlign w:val="center"/>
          </w:tcPr>
          <w:p>
            <w:pPr>
              <w:spacing w:after="40" w:before="40"/>
            </w:pPr>
            <w:r>
              <w:rPr>
                <w:sz w:val="16"/>
              </w:rPr>
              <w:t>Aparece conflicto al guardar</w:t>
            </w:r>
          </w:p>
        </w:tc>
        <w:tc>
          <w:tcPr>
            <w:tcW w:type="dxa" w:w="4730"/>
            <w:vAlign w:val="center"/>
          </w:tcPr>
          <w:p>
            <w:pPr>
              <w:spacing w:after="40" w:before="40"/>
            </w:pPr>
            <w:r>
              <w:rPr>
                <w:sz w:val="16"/>
              </w:rPr>
              <w:t>Actualizar la ficha, comparar cambios y repetir</w:t>
            </w:r>
          </w:p>
        </w:tc>
      </w:tr>
      <w:tr>
        <w:tc>
          <w:tcPr>
            <w:tcW w:type="dxa" w:w="4730"/>
            <w:vAlign w:val="center"/>
            <w:shd w:fill="F6F8F9"/>
          </w:tcPr>
          <w:p>
            <w:pPr>
              <w:spacing w:after="40" w:before="40"/>
            </w:pPr>
            <w:r>
              <w:rPr>
                <w:sz w:val="16"/>
              </w:rPr>
              <w:t>No llega correo</w:t>
            </w:r>
          </w:p>
        </w:tc>
        <w:tc>
          <w:tcPr>
            <w:tcW w:type="dxa" w:w="4730"/>
            <w:vAlign w:val="center"/>
            <w:shd w:fill="F6F8F9"/>
          </w:tcPr>
          <w:p>
            <w:pPr>
              <w:spacing w:after="40" w:before="40"/>
            </w:pPr>
            <w:r>
              <w:rPr>
                <w:sz w:val="16"/>
              </w:rPr>
              <w:t>Verificar buzón y conectividad; en demo revisar Mailpit</w:t>
            </w:r>
          </w:p>
        </w:tc>
      </w:tr>
      <w:tr>
        <w:tc>
          <w:tcPr>
            <w:tcW w:type="dxa" w:w="4730"/>
            <w:vAlign w:val="center"/>
          </w:tcPr>
          <w:p>
            <w:pPr>
              <w:spacing w:after="40" w:before="40"/>
            </w:pPr>
            <w:r>
              <w:rPr>
                <w:sz w:val="16"/>
              </w:rPr>
              <w:t>Un archivo fue rechazado</w:t>
            </w:r>
          </w:p>
        </w:tc>
        <w:tc>
          <w:tcPr>
            <w:tcW w:type="dxa" w:w="4730"/>
            <w:vAlign w:val="center"/>
          </w:tcPr>
          <w:p>
            <w:pPr>
              <w:spacing w:after="40" w:before="40"/>
            </w:pPr>
            <w:r>
              <w:rPr>
                <w:sz w:val="16"/>
              </w:rPr>
              <w:t>Comprobar formato, tamaño, cuota y resultado del antivirus</w:t>
            </w:r>
          </w:p>
        </w:tc>
      </w:tr>
      <w:tr>
        <w:tc>
          <w:tcPr>
            <w:tcW w:type="dxa" w:w="4730"/>
            <w:vAlign w:val="center"/>
            <w:shd w:fill="F6F8F9"/>
          </w:tcPr>
          <w:p>
            <w:pPr>
              <w:spacing w:after="40" w:before="40"/>
            </w:pPr>
            <w:r>
              <w:rPr>
                <w:sz w:val="16"/>
              </w:rPr>
              <w:t>No carga un servicio</w:t>
            </w:r>
          </w:p>
        </w:tc>
        <w:tc>
          <w:tcPr>
            <w:tcW w:type="dxa" w:w="4730"/>
            <w:vAlign w:val="center"/>
            <w:shd w:fill="F6F8F9"/>
          </w:tcPr>
          <w:p>
            <w:pPr>
              <w:spacing w:after="40" w:before="40"/>
            </w:pPr>
            <w:r>
              <w:rPr>
                <w:sz w:val="16"/>
              </w:rPr>
              <w:t>Avisar al responsable técnico; no volver a crear registros para probar suerte</w:t>
            </w:r>
          </w:p>
        </w:tc>
      </w:tr>
      <w:tr>
        <w:tc>
          <w:tcPr>
            <w:tcW w:type="dxa" w:w="4730"/>
            <w:vAlign w:val="center"/>
          </w:tcPr>
          <w:p>
            <w:pPr>
              <w:spacing w:after="40" w:before="40"/>
            </w:pPr>
            <w:r>
              <w:rPr>
                <w:sz w:val="16"/>
              </w:rPr>
              <w:t>Datos de otra junta</w:t>
            </w:r>
          </w:p>
        </w:tc>
        <w:tc>
          <w:tcPr>
            <w:tcW w:type="dxa" w:w="4730"/>
            <w:vAlign w:val="center"/>
          </w:tcPr>
          <w:p>
            <w:pPr>
              <w:spacing w:after="40" w:before="40"/>
            </w:pPr>
            <w:r>
              <w:rPr>
                <w:sz w:val="16"/>
              </w:rPr>
              <w:t>Cerrar sesión y reportarlo; no copiar ni distribuir esa información</w:t>
            </w:r>
          </w:p>
        </w:tc>
      </w:tr>
    </w:tbl>
    <w:p>
      <w:pPr>
        <w:spacing w:after="40"/>
      </w:pPr>
    </w:p>
    <w:p>
      <w:pPr>
        <w:pStyle w:val="Heading1"/>
      </w:pPr>
      <w:r>
        <w:t>14. Uso en Android y Windows</w:t>
      </w:r>
    </w:p>
    <w:p>
      <w:pPr/>
      <w:r>
        <w:t>El navegador web es la experiencia con mayor alcance. Android React Native contiene una selección de operaciones y sigue en desarrollo; Expo Go solo es una opción de prueba. Windows Electron muestra la web del servidor y necesita conexión; su instalador de desarrollo aún no es una entrega oficial firmada.</w:t>
      </w:r>
    </w:p>
    <w:p>
      <w:r>
        <w:t>El cliente de Windows Electron abre la interfaz web del servidor y requiere conectividad. El cliente Android nativo continúa parcialmente implementado; para la exposición se utiliza la variante Expo Go, en la cual se comprobaron acceso/MFA, Inicio, Personas, Agenda, Avisos y Perfil en dispositivo físico. Las funciones que no aparecen en el teléfono deben hacerse desde la web cuando estén autorizadas.</w:t>
      </w:r>
    </w:p>
    <w:p>
      <w:pPr>
        <w:pStyle w:val="Heading1"/>
      </w:pPr>
      <w:r>
        <w:t>Glosario breve</w:t>
      </w:r>
    </w:p>
    <w:tbl>
      <w:tblPr>
        <w:tblStyle w:val="TableGrid"/>
        <w:tblW w:type="auto" w:w="0"/>
        <w:jc w:val="center"/>
        <w:tblLook w:firstColumn="1" w:firstRow="1" w:lastColumn="0" w:lastRow="0" w:noHBand="0" w:noVBand="1" w:val="04A0"/>
      </w:tblPr>
      <w:tblGrid>
        <w:gridCol w:w="4730"/>
        <w:gridCol w:w="4730"/>
      </w:tblGrid>
      <w:tr>
        <w:trPr>
          <w:tblHeader w:val="true"/>
        </w:trPr>
        <w:tc>
          <w:tcPr>
            <w:tcW w:type="dxa" w:w="4730"/>
            <w:shd w:fill="E9EEF2"/>
          </w:tcPr>
          <w:p>
            <w:r>
              <w:rPr>
                <w:b/>
                <w:sz w:val="17"/>
              </w:rPr>
              <w:t>Término</w:t>
            </w:r>
          </w:p>
        </w:tc>
        <w:tc>
          <w:tcPr>
            <w:tcW w:type="dxa" w:w="4730"/>
            <w:shd w:fill="E9EEF2"/>
          </w:tcPr>
          <w:p>
            <w:r>
              <w:rPr>
                <w:b/>
                <w:sz w:val="17"/>
              </w:rPr>
              <w:t>Significado</w:t>
            </w:r>
          </w:p>
        </w:tc>
      </w:tr>
      <w:tr>
        <w:tc>
          <w:tcPr>
            <w:tcW w:type="dxa" w:w="4730"/>
            <w:vAlign w:val="center"/>
          </w:tcPr>
          <w:p>
            <w:pPr>
              <w:spacing w:after="40" w:before="40"/>
            </w:pPr>
            <w:r>
              <w:rPr>
                <w:sz w:val="16"/>
              </w:rPr>
              <w:t>Junta activa</w:t>
            </w:r>
          </w:p>
        </w:tc>
        <w:tc>
          <w:tcPr>
            <w:tcW w:type="dxa" w:w="4730"/>
            <w:vAlign w:val="center"/>
          </w:tcPr>
          <w:p>
            <w:pPr>
              <w:spacing w:after="40" w:before="40"/>
            </w:pPr>
            <w:r>
              <w:rPr>
                <w:sz w:val="16"/>
              </w:rPr>
              <w:t>Organización cuyos registros está consultando la sesión</w:t>
            </w:r>
          </w:p>
        </w:tc>
      </w:tr>
      <w:tr>
        <w:tc>
          <w:tcPr>
            <w:tcW w:type="dxa" w:w="4730"/>
            <w:vAlign w:val="center"/>
            <w:shd w:fill="F6F8F9"/>
          </w:tcPr>
          <w:p>
            <w:pPr>
              <w:spacing w:after="40" w:before="40"/>
            </w:pPr>
            <w:r>
              <w:rPr>
                <w:sz w:val="16"/>
              </w:rPr>
              <w:t>MFA</w:t>
            </w:r>
          </w:p>
        </w:tc>
        <w:tc>
          <w:tcPr>
            <w:tcW w:type="dxa" w:w="4730"/>
            <w:vAlign w:val="center"/>
            <w:shd w:fill="F6F8F9"/>
          </w:tcPr>
          <w:p>
            <w:pPr>
              <w:spacing w:after="40" w:before="40"/>
            </w:pPr>
            <w:r>
              <w:rPr>
                <w:sz w:val="16"/>
              </w:rPr>
              <w:t>Código adicional para comprobar el acceso</w:t>
            </w:r>
          </w:p>
        </w:tc>
      </w:tr>
      <w:tr>
        <w:tc>
          <w:tcPr>
            <w:tcW w:type="dxa" w:w="4730"/>
            <w:vAlign w:val="center"/>
          </w:tcPr>
          <w:p>
            <w:pPr>
              <w:spacing w:after="40" w:before="40"/>
            </w:pPr>
            <w:r>
              <w:rPr>
                <w:sz w:val="16"/>
              </w:rPr>
              <w:t>Pendiente</w:t>
            </w:r>
          </w:p>
        </w:tc>
        <w:tc>
          <w:tcPr>
            <w:tcW w:type="dxa" w:w="4730"/>
            <w:vAlign w:val="center"/>
          </w:tcPr>
          <w:p>
            <w:pPr>
              <w:spacing w:after="40" w:before="40"/>
            </w:pPr>
            <w:r>
              <w:rPr>
                <w:sz w:val="16"/>
              </w:rPr>
              <w:t>Ficha todavía sin todos los campos de completado</w:t>
            </w:r>
          </w:p>
        </w:tc>
      </w:tr>
      <w:tr>
        <w:tc>
          <w:tcPr>
            <w:tcW w:type="dxa" w:w="4730"/>
            <w:vAlign w:val="center"/>
            <w:shd w:fill="F6F8F9"/>
          </w:tcPr>
          <w:p>
            <w:pPr>
              <w:spacing w:after="40" w:before="40"/>
            </w:pPr>
            <w:r>
              <w:rPr>
                <w:sz w:val="16"/>
              </w:rPr>
              <w:t>Reverso</w:t>
            </w:r>
          </w:p>
        </w:tc>
        <w:tc>
          <w:tcPr>
            <w:tcW w:type="dxa" w:w="4730"/>
            <w:vAlign w:val="center"/>
            <w:shd w:fill="F6F8F9"/>
          </w:tcPr>
          <w:p>
            <w:pPr>
              <w:spacing w:after="40" w:before="40"/>
            </w:pPr>
            <w:r>
              <w:rPr>
                <w:sz w:val="16"/>
              </w:rPr>
              <w:t>Nuevo asiento que corrige uno anterior sin borrarlo</w:t>
            </w:r>
          </w:p>
        </w:tc>
      </w:tr>
      <w:tr>
        <w:tc>
          <w:tcPr>
            <w:tcW w:type="dxa" w:w="4730"/>
            <w:vAlign w:val="center"/>
          </w:tcPr>
          <w:p>
            <w:pPr>
              <w:spacing w:after="40" w:before="40"/>
            </w:pPr>
            <w:r>
              <w:rPr>
                <w:sz w:val="16"/>
              </w:rPr>
              <w:t>Auditoría</w:t>
            </w:r>
          </w:p>
        </w:tc>
        <w:tc>
          <w:tcPr>
            <w:tcW w:type="dxa" w:w="4730"/>
            <w:vAlign w:val="center"/>
          </w:tcPr>
          <w:p>
            <w:pPr>
              <w:spacing w:after="40" w:before="40"/>
            </w:pPr>
            <w:r>
              <w:rPr>
                <w:sz w:val="16"/>
              </w:rPr>
              <w:t>Historial de operaciones relevantes con actor y momento</w:t>
            </w:r>
          </w:p>
        </w:tc>
      </w:tr>
      <w:tr>
        <w:tc>
          <w:tcPr>
            <w:tcW w:type="dxa" w:w="4730"/>
            <w:vAlign w:val="center"/>
            <w:shd w:fill="F6F8F9"/>
          </w:tcPr>
          <w:p>
            <w:pPr>
              <w:spacing w:after="40" w:before="40"/>
            </w:pPr>
            <w:r>
              <w:rPr>
                <w:sz w:val="16"/>
              </w:rPr>
              <w:t>ClamAV</w:t>
            </w:r>
          </w:p>
        </w:tc>
        <w:tc>
          <w:tcPr>
            <w:tcW w:type="dxa" w:w="4730"/>
            <w:vAlign w:val="center"/>
            <w:shd w:fill="F6F8F9"/>
          </w:tcPr>
          <w:p>
            <w:pPr>
              <w:spacing w:after="40" w:before="40"/>
            </w:pPr>
            <w:r>
              <w:rPr>
                <w:sz w:val="16"/>
              </w:rPr>
              <w:t>Motor que examina archivos subidos cuando el servicio lo requiere</w:t>
            </w:r>
          </w:p>
        </w:tc>
      </w:tr>
    </w:tbl>
    <w:p>
      <w:pPr>
        <w:spacing w:after="40"/>
      </w:pPr>
    </w:p>
    <w:p>
      <w:pPr>
        <w:pStyle w:val="Heading1"/>
      </w:pPr>
      <w:r>
        <w:t>15. Guías de trabajo por situaciones reales</w:t>
      </w:r>
    </w:p>
    <w:p>
      <w:r>
        <w:t>Los siguientes recorridos sirven para completar tareas habituales sin necesidad de conocer nombres de tablas ni servicios internos. Cada operación está condicionada al rol y a las autorizaciones de la junta activa; los ejemplos se realizan sobre datos de demostración.</w:t>
      </w:r>
    </w:p>
    <w:p>
      <w:pPr>
        <w:pStyle w:val="Heading2"/>
      </w:pPr>
      <w:r>
        <w:t>15.1 Crear una ficha pendiente y completarla después</w:t>
      </w:r>
    </w:p>
    <w:p>
      <w:pPr>
        <w:ind w:left="346" w:hanging="259"/>
      </w:pPr>
      <w:r>
        <w:t>1. Abrir Personas desde el menú de la junta.</w:t>
      </w:r>
    </w:p>
    <w:p>
      <w:pPr>
        <w:ind w:left="346" w:hanging="259"/>
      </w:pPr>
      <w:r>
        <w:t>2. Seleccionar Nueva persona con un rol SA, AD o RE.</w:t>
      </w:r>
    </w:p>
    <w:p>
      <w:pPr>
        <w:ind w:left="346" w:hanging="259"/>
      </w:pPr>
      <w:r>
        <w:t>3. Registrar tipo y número de documento, nombres y los datos disponibles.</w:t>
      </w:r>
    </w:p>
    <w:p>
      <w:pPr>
        <w:ind w:left="346" w:hanging="259"/>
      </w:pPr>
      <w:r>
        <w:t>4. Guardar como Pendiente cuando falten datos requeridos para el estado completo.</w:t>
      </w:r>
    </w:p>
    <w:p>
      <w:pPr>
        <w:ind w:left="346" w:hanging="259"/>
      </w:pPr>
      <w:r>
        <w:t>5. Volver al listado y localizar la persona por su documento o nombre.</w:t>
      </w:r>
    </w:p>
    <w:p>
      <w:pPr>
        <w:ind w:left="346" w:hanging="259"/>
      </w:pPr>
      <w:r>
        <w:t>6. Abrir la ficha, actualizar la información pendiente y guardar el estado Completado cuando los campos obligatorios sean válidos.</w:t>
      </w:r>
    </w:p>
    <w:p>
      <w:pPr>
        <w:ind w:left="346" w:hanging="259"/>
      </w:pPr>
      <w:r>
        <w:t>7. Si se requiere una fotografía, entrar a la ficha guardada y usar la opción de imágenes correspondiente.</w:t>
      </w:r>
    </w:p>
    <w:p>
      <w:r>
        <w:t>No se debe crear una segunda ficha de una persona porque la primera esté Pendiente. Ante un mensaje de documento duplicado, localizar la ficha ya existente y revisar permisos para editarla.</w:t>
      </w:r>
    </w:p>
    <w:p>
      <w:pPr>
        <w:pStyle w:val="Heading2"/>
      </w:pPr>
      <w:r>
        <w:t>15.2 Filtros de personas</w:t>
      </w:r>
    </w:p>
    <w:p>
      <w:r>
        <w:t>La búsqueda puede combinar nombre o documento con estado, zona, afiliación, género, tipo de documento, cargo, rol descriptivo, fechas de nacimiento y registro y hasta tres campos adicionales según la configuración. Es importante pulsar la acción de aplicar antes de interpretar la lista filtrada. Un resultado vacío no significa que la junta carezca de personas: puede significar que ningún registro reúne simultáneamente los criterios.</w:t>
      </w:r>
    </w:p>
    <w:p>
      <w:pPr>
        <w:pStyle w:val="Heading2"/>
      </w:pPr>
      <w:r>
        <w:t>15.3 Exportar información autorizada</w:t>
      </w:r>
    </w:p>
    <w:p>
      <w:pPr>
        <w:ind w:left="346" w:hanging="259"/>
      </w:pPr>
      <w:r>
        <w:t>1. Preparar primero los filtros que definan qué registros deben incluirse.</w:t>
      </w:r>
    </w:p>
    <w:p>
      <w:pPr>
        <w:ind w:left="346" w:hanging="259"/>
      </w:pPr>
      <w:r>
        <w:t>2. Revisar la cantidad y los campos visibles para evitar compartir información innecesaria.</w:t>
      </w:r>
    </w:p>
    <w:p>
      <w:pPr>
        <w:ind w:left="346" w:hanging="259"/>
      </w:pPr>
      <w:r>
        <w:t>3. Seleccionar la exportación PDF o Excel disponible según el módulo y el rol.</w:t>
      </w:r>
    </w:p>
    <w:p>
      <w:pPr>
        <w:ind w:left="346" w:hanging="259"/>
      </w:pPr>
      <w:r>
        <w:t>4. Si aparece Nombre del archivo, escribir uno reconocible y confirmar expresamente el texto.</w:t>
      </w:r>
    </w:p>
    <w:p>
      <w:pPr>
        <w:ind w:left="346" w:hanging="259"/>
      </w:pPr>
      <w:r>
        <w:t>5. Guardar en una ubicación protegida y abrir el archivo para comprobar que corresponde a la junta activa.</w:t>
      </w:r>
    </w:p>
    <w:p>
      <w:r>
        <w:t>Un archivo descargado puede contener información personal. No reenviarlo en grupos abiertos ni cargarlo en servicios públicos sin autorización.</w:t>
      </w:r>
    </w:p>
    <w:p>
      <w:pPr>
        <w:pStyle w:val="Heading2"/>
      </w:pPr>
      <w:r>
        <w:t>15.4 Registrar una actividad comunitaria</w:t>
      </w:r>
    </w:p>
    <w:p>
      <w:pPr>
        <w:ind w:left="346" w:hanging="259"/>
      </w:pPr>
      <w:r>
        <w:t>1. Entrar al Calendario y elegir crear evento si el rol lo permite.</w:t>
      </w:r>
    </w:p>
    <w:p>
      <w:pPr>
        <w:ind w:left="346" w:hanging="259"/>
      </w:pPr>
      <w:r>
        <w:t>2. Seleccionar tipo de evento, título, inicio, fin y lugar cuando corresponda.</w:t>
      </w:r>
    </w:p>
    <w:p>
      <w:pPr>
        <w:ind w:left="346" w:hanging="259"/>
      </w:pPr>
      <w:r>
        <w:t>3. Si se pide título español e inglés, redactar ambas versiones; el sistema no las traduce automáticamente.</w:t>
      </w:r>
    </w:p>
    <w:p>
      <w:pPr>
        <w:ind w:left="346" w:hanging="259"/>
      </w:pPr>
      <w:r>
        <w:t>4. Seleccionar participantes y recordatorios de 24 horas o 1 hora, o ninguno.</w:t>
      </w:r>
    </w:p>
    <w:p>
      <w:pPr>
        <w:ind w:left="346" w:hanging="259"/>
      </w:pPr>
      <w:r>
        <w:t>5. Guardar y confirmar que aparezca en mes, semana o agenda.</w:t>
      </w:r>
    </w:p>
    <w:p>
      <w:pPr>
        <w:ind w:left="346" w:hanging="259"/>
      </w:pPr>
      <w:r>
        <w:t>6. Si cambia el horario, editar el evento vigente y revisar de nuevo participantes y recordatorios.</w:t>
      </w:r>
    </w:p>
    <w:p>
      <w:r>
        <w:t>Un evento cancelado no debe reutilizarse como si estuviera activo. Los permisos de edición pueden concederse por rol a integrantes de la junta y revocarse posteriormente.</w:t>
      </w:r>
    </w:p>
    <w:p>
      <w:pPr>
        <w:pStyle w:val="Heading2"/>
      </w:pPr>
      <w:r>
        <w:t>15.5 Invitar y responder a una actividad</w:t>
      </w:r>
    </w:p>
    <w:p>
      <w:r>
        <w:t>Los participantes reciben avisos internos que pueden abrir desde la campana. Al consultar un evento se puede aceptar o rechazar una invitación cuando la función esté habilitada para esa cuenta. Los recordatorios llegan según la selección del evento y las preferencias personales; no deben confundirse con correo, SMS o notificaciones externas.</w:t>
      </w:r>
    </w:p>
    <w:p>
      <w:pPr>
        <w:pStyle w:val="Heading2"/>
      </w:pPr>
      <w:r>
        <w:t>15.6 Registrar un ingreso y conservar el comprobante</w:t>
      </w:r>
    </w:p>
    <w:p>
      <w:pPr>
        <w:ind w:left="346" w:hanging="259"/>
      </w:pPr>
      <w:r>
        <w:t>1. Abrir Tesorería con una cuenta de administrador o tesorero.</w:t>
      </w:r>
    </w:p>
    <w:p>
      <w:pPr>
        <w:ind w:left="346" w:hanging="259"/>
      </w:pPr>
      <w:r>
        <w:t>2. Si la cuenta no está abierta, completar primero la apertura inicial.</w:t>
      </w:r>
    </w:p>
    <w:p>
      <w:pPr>
        <w:ind w:left="346" w:hanging="259"/>
      </w:pPr>
      <w:r>
        <w:t>3. Elegir Ingreso e ingresar una cantidad positiva en COP, fecha efectiva y concepto.</w:t>
      </w:r>
    </w:p>
    <w:p>
      <w:pPr>
        <w:ind w:left="346" w:hanging="259"/>
      </w:pPr>
      <w:r>
        <w:t>4. Agregar referencia de soporte si existe, sin incluir datos innecesarios.</w:t>
      </w:r>
    </w:p>
    <w:p>
      <w:pPr>
        <w:ind w:left="346" w:hanging="259"/>
      </w:pPr>
      <w:r>
        <w:t>5. Confirmar una sola vez y revisar el número de comprobante.</w:t>
      </w:r>
    </w:p>
    <w:p>
      <w:pPr>
        <w:ind w:left="346" w:hanging="259"/>
      </w:pPr>
      <w:r>
        <w:t>6. Abrir el asiento y descargar su comprobante PDF o Excel si hay autorización.</w:t>
      </w:r>
    </w:p>
    <w:p>
      <w:pPr>
        <w:ind w:left="346" w:hanging="259"/>
      </w:pPr>
      <w:r>
        <w:t>7. Verificar el saldo histórico presentado junto al comprobante.</w:t>
      </w:r>
    </w:p>
    <w:p>
      <w:r>
        <w:t>El saldo histórico del comprobante corresponde al instante de confirmación y puede diferir del saldo actual después de operaciones posteriores.</w:t>
      </w:r>
    </w:p>
    <w:p>
      <w:pPr>
        <w:pStyle w:val="Heading2"/>
      </w:pPr>
      <w:r>
        <w:t>15.7 Corregir un movimiento de Tesorería</w:t>
      </w:r>
    </w:p>
    <w:p>
      <w:pPr>
        <w:ind w:left="346" w:hanging="259"/>
      </w:pPr>
      <w:r>
        <w:t>1. Localizar el comprobante equivocado usando fecha, concepto o número.</w:t>
      </w:r>
    </w:p>
    <w:p>
      <w:pPr>
        <w:ind w:left="346" w:hanging="259"/>
      </w:pPr>
      <w:r>
        <w:t>2. Abrir su detalle y comprobar que se trata del asiento correcto.</w:t>
      </w:r>
    </w:p>
    <w:p>
      <w:pPr>
        <w:ind w:left="346" w:hanging="259"/>
      </w:pPr>
      <w:r>
        <w:t>3. Utilizar Revertir e indicar motivo; el movimiento original permanece en el historial.</w:t>
      </w:r>
    </w:p>
    <w:p>
      <w:pPr>
        <w:ind w:left="346" w:hanging="259"/>
      </w:pPr>
      <w:r>
        <w:t>4. Confirmar que existe el nuevo asiento de reverso y que se ha recalculado el saldo.</w:t>
      </w:r>
    </w:p>
    <w:p>
      <w:pPr>
        <w:ind w:left="346" w:hanging="259"/>
      </w:pPr>
      <w:r>
        <w:t>5. Si el sistema rechaza la reversión de un ingreso por falta de saldo, no insistir: revisar egresos posteriores con el tesorero responsable.</w:t>
      </w:r>
    </w:p>
    <w:p>
      <w:r>
        <w:t>No existe un botón para borrar la historia financiera: la corrección queda registrada expresamente.</w:t>
      </w:r>
    </w:p>
    <w:p>
      <w:pPr>
        <w:pStyle w:val="Heading2"/>
      </w:pPr>
      <w:r>
        <w:t>15.8 Registrar un bien de inventario</w:t>
      </w:r>
    </w:p>
    <w:p>
      <w:pPr>
        <w:ind w:left="346" w:hanging="259"/>
      </w:pPr>
      <w:r>
        <w:t>1. Ir a Inventario y abrir Registrar bien.</w:t>
      </w:r>
    </w:p>
    <w:p>
      <w:pPr>
        <w:ind w:left="346" w:hanging="259"/>
      </w:pPr>
      <w:r>
        <w:t>2. Seleccionar mueble o inmueble y llenar nombre, código y datos requeridos.</w:t>
      </w:r>
    </w:p>
    <w:p>
      <w:pPr>
        <w:ind w:left="346" w:hanging="259"/>
      </w:pPr>
      <w:r>
        <w:t>3. Comprobar la ubicación y responsable cuando proceda.</w:t>
      </w:r>
    </w:p>
    <w:p>
      <w:pPr>
        <w:ind w:left="346" w:hanging="259"/>
      </w:pPr>
      <w:r>
        <w:t>4. Guardar el bien y abrir su ficha para verificar identificación y estado.</w:t>
      </w:r>
    </w:p>
    <w:p>
      <w:pPr>
        <w:ind w:left="346" w:hanging="259"/>
      </w:pPr>
      <w:r>
        <w:t>5. Añadir fotografías privadas permitidas, sin exceder controles del almacenamiento.</w:t>
      </w:r>
    </w:p>
    <w:p>
      <w:pPr>
        <w:ind w:left="346" w:hanging="259"/>
      </w:pPr>
      <w:r>
        <w:t>6. Si es un mueble con cantidades, usar las operaciones de entrada, salida o ajuste con su motivo.</w:t>
      </w:r>
    </w:p>
    <w:p>
      <w:r>
        <w:t>Las bajas son históricas. Un bien retirado no desaparece necesariamente de los listados de movimientos; el registro sirve para reconstruir su ciclo de vida.</w:t>
      </w:r>
    </w:p>
    <w:p>
      <w:pPr>
        <w:pStyle w:val="Heading2"/>
      </w:pPr>
      <w:r>
        <w:t>15.9 Consultar el historial de inventario</w:t>
      </w:r>
    </w:p>
    <w:p>
      <w:pPr>
        <w:ind w:left="346" w:hanging="259"/>
      </w:pPr>
      <w:r>
        <w:t>1. Abrir el detalle del bien correspondiente.</w:t>
      </w:r>
    </w:p>
    <w:p>
      <w:pPr>
        <w:ind w:left="346" w:hanging="259"/>
      </w:pPr>
      <w:r>
        <w:t>2. Seleccionar Historial de movimientos.</w:t>
      </w:r>
    </w:p>
    <w:p>
      <w:pPr>
        <w:ind w:left="346" w:hanging="259"/>
      </w:pPr>
      <w:r>
        <w:t>3. Filtrar por operación, rango de fechas o texto del motivo.</w:t>
      </w:r>
    </w:p>
    <w:p>
      <w:pPr>
        <w:ind w:left="346" w:hanging="259"/>
      </w:pPr>
      <w:r>
        <w:t>4. Aplicar los filtros y recorrer las páginas de 25 filas cuando existan.</w:t>
      </w:r>
    </w:p>
    <w:p>
      <w:pPr>
        <w:ind w:left="346" w:hanging="259"/>
      </w:pPr>
      <w:r>
        <w:t>5. Usar Limpiar filtros para volver a la historia completa.</w:t>
      </w:r>
    </w:p>
    <w:p>
      <w:pPr>
        <w:ind w:left="346" w:hanging="259"/>
      </w:pPr>
      <w:r>
        <w:t>6. Descargar el reporte permitido por el rol y revisar que conserva los filtros esperados.</w:t>
      </w:r>
    </w:p>
    <w:p>
      <w:r>
        <w:t>El saldo o cantidad actual del bien refleja todos los movimientos, no solo los que aparecen en la página filtrada.</w:t>
      </w:r>
    </w:p>
    <w:p>
      <w:pPr>
        <w:pStyle w:val="Heading1"/>
      </w:pPr>
      <w:r>
        <w:t>16. Carpetas y documentos privados: guía completa</w:t>
      </w:r>
    </w:p>
    <w:p>
      <w:pPr>
        <w:pStyle w:val="Heading2"/>
      </w:pPr>
      <w:r>
        <w:t>16.1 Crear y organizar carpetas</w:t>
      </w:r>
    </w:p>
    <w:p>
      <w:pPr>
        <w:ind w:left="346" w:hanging="259"/>
      </w:pPr>
      <w:r>
        <w:t>1. Seleccionar Carpeta en el menú.</w:t>
      </w:r>
    </w:p>
    <w:p>
      <w:pPr>
        <w:ind w:left="346" w:hanging="259"/>
      </w:pPr>
      <w:r>
        <w:t>2. Comprobar la carpeta padre en la ruta o migas de pan.</w:t>
      </w:r>
    </w:p>
    <w:p>
      <w:pPr>
        <w:ind w:left="346" w:hanging="259"/>
      </w:pPr>
      <w:r>
        <w:t>3. Pulsar Nueva carpeta si el rol permite escritura.</w:t>
      </w:r>
    </w:p>
    <w:p>
      <w:pPr>
        <w:ind w:left="346" w:hanging="259"/>
      </w:pPr>
      <w:r>
        <w:t>4. Escribir el nombre en español y el nombre en inglés cuando se solicite.</w:t>
      </w:r>
    </w:p>
    <w:p>
      <w:pPr>
        <w:ind w:left="346" w:hanging="259"/>
      </w:pPr>
      <w:r>
        <w:t>5. Guardar y comprobar que la carpeta aparezca en la jerarquía correcta.</w:t>
      </w:r>
    </w:p>
    <w:p>
      <w:pPr>
        <w:ind w:left="346" w:hanging="259"/>
      </w:pPr>
      <w:r>
        <w:t>6. Para renombrar, abrir las acciones, actualizar el nombre y confirmar.</w:t>
      </w:r>
    </w:p>
    <w:p>
      <w:pPr>
        <w:ind w:left="346" w:hanging="259"/>
      </w:pPr>
      <w:r>
        <w:t>7. Para mover, elegir un destino válido; no se puede mover una carpeta dentro de sí misma o de sus descendientes.</w:t>
      </w:r>
    </w:p>
    <w:p>
      <w:r>
        <w:t>Si otra persona cambió simultáneamente la carpeta puede aparecer un conflicto. Actualizar la pantalla y revisar la versión nueva antes de repetir.</w:t>
      </w:r>
    </w:p>
    <w:p>
      <w:pPr>
        <w:pStyle w:val="Heading2"/>
      </w:pPr>
      <w:r>
        <w:t>16.2 Cargar y descargar documentos</w:t>
      </w:r>
    </w:p>
    <w:p>
      <w:pPr>
        <w:ind w:left="346" w:hanging="259"/>
      </w:pPr>
      <w:r>
        <w:t>1. Abrir la carpeta donde debe quedar el archivo.</w:t>
      </w:r>
    </w:p>
    <w:p>
      <w:pPr>
        <w:ind w:left="346" w:hanging="259"/>
      </w:pPr>
      <w:r>
        <w:t>2. Elegir Cargar documento y seleccionar un DOCX o XLSX admitido.</w:t>
      </w:r>
    </w:p>
    <w:p>
      <w:pPr>
        <w:ind w:left="346" w:hanging="259"/>
      </w:pPr>
      <w:r>
        <w:t>3. Antes de enviar, confirmar que la carpeta y el nombre correspondan al documento.</w:t>
      </w:r>
    </w:p>
    <w:p>
      <w:pPr>
        <w:ind w:left="346" w:hanging="259"/>
      </w:pPr>
      <w:r>
        <w:t>4. Esperar a que terminen las validaciones de tamaño, cuota y antivirus.</w:t>
      </w:r>
    </w:p>
    <w:p>
      <w:pPr>
        <w:ind w:left="346" w:hanging="259"/>
      </w:pPr>
      <w:r>
        <w:t>5. Abrir el listado para confirmar que el archivo está disponible.</w:t>
      </w:r>
    </w:p>
    <w:p>
      <w:pPr>
        <w:ind w:left="346" w:hanging="259"/>
      </w:pPr>
      <w:r>
        <w:t>6. Descargar únicamente si la cuenta conserva permiso de lectura.</w:t>
      </w:r>
    </w:p>
    <w:p>
      <w:pPr>
        <w:ind w:left="346" w:hanging="259"/>
      </w:pPr>
      <w:r>
        <w:t>7. Para renombrar, mover o eliminar, utilizar las acciones correspondientes y atender el mensaje de confirmación.</w:t>
      </w:r>
    </w:p>
    <w:p>
      <w:r>
        <w:t>El límite del incremento para documentos DOCX/XLSX privados es 20 MiB. El servidor puede rechazar un archivo por formato, espacio, firma antimalware o permisos; no se recomienda cambiarle la extensión para forzar su admisión.</w:t>
      </w:r>
    </w:p>
    <w:p>
      <w:pPr>
        <w:pStyle w:val="Heading2"/>
      </w:pPr>
      <w:r>
        <w:t>16.3 Lectura delegada y revocación</w:t>
      </w:r>
    </w:p>
    <w:p>
      <w:r>
        <w:t>En Configuración → Acceso a Carpeta, SA/AD pueden conceder lectura a roles RE/TE/AU/CO o hasta 20 membresías activas individuales. La concesión permite navegar, listar, previsualizar y descargar, pero no crear ni modificar carpetas. Un administrador puede revocar el acceso en cualquier momento; abrir una carpeta en una pestaña antigua no mantiene la autorización después de la revocación.</w:t>
      </w:r>
    </w:p>
    <w:p>
      <w:r>
        <w:t>El acceso delegado empieza deshabilitado y debe concederse expresamente por junta. El permiso a una membresía individual puede caducar tras cambios de estado de esa membresía, aunque el usuario vuelva a quedar activo.</w:t>
      </w:r>
    </w:p>
    <w:p>
      <w:pPr>
        <w:pStyle w:val="Heading2"/>
      </w:pPr>
      <w:r>
        <w:t>16.4 Qué hacer si un documento desaparece de la vista</w:t>
      </w:r>
    </w:p>
    <w:p>
      <w:pPr>
        <w:ind w:left="346" w:hanging="259"/>
      </w:pPr>
      <w:r>
        <w:t>1. Comprobar si cambió la carpeta o el filtro aplicado.</w:t>
      </w:r>
    </w:p>
    <w:p>
      <w:pPr>
        <w:ind w:left="346" w:hanging="259"/>
      </w:pPr>
      <w:r>
        <w:t>2. Volver a la carpeta raíz y revisar la navegación.</w:t>
      </w:r>
    </w:p>
    <w:p>
      <w:pPr>
        <w:ind w:left="346" w:hanging="259"/>
      </w:pPr>
      <w:r>
        <w:t>3. Confirmar con el administrador si la lectura delegada sigue activa.</w:t>
      </w:r>
    </w:p>
    <w:p>
      <w:pPr>
        <w:ind w:left="346" w:hanging="259"/>
      </w:pPr>
      <w:r>
        <w:t>4. Si existe otra pestaña abierta, actualizarla antes de descargar.</w:t>
      </w:r>
    </w:p>
    <w:p>
      <w:pPr>
        <w:ind w:left="346" w:hanging="259"/>
      </w:pPr>
      <w:r>
        <w:t>5. Informar al administrador del nombre aproximado y carpeta, sin compartir contraseñas.</w:t>
      </w:r>
    </w:p>
    <w:p>
      <w:pPr>
        <w:pStyle w:val="Heading1"/>
      </w:pPr>
      <w:r>
        <w:t>17. Contactos, conversaciones y avisos</w:t>
      </w:r>
    </w:p>
    <w:p>
      <w:pPr>
        <w:pStyle w:val="Heading2"/>
      </w:pPr>
      <w:r>
        <w:t>17.1 Encontrar un contacto</w:t>
      </w:r>
    </w:p>
    <w:p>
      <w:pPr>
        <w:ind w:left="346" w:hanging="259"/>
      </w:pPr>
      <w:r>
        <w:t>1. Abrir Contactos desde el menú autorizado.</w:t>
      </w:r>
    </w:p>
    <w:p>
      <w:pPr>
        <w:ind w:left="346" w:hanging="259"/>
      </w:pPr>
      <w:r>
        <w:t>2. Buscar a una persona por nombre o los campos visibles.</w:t>
      </w:r>
    </w:p>
    <w:p>
      <w:pPr>
        <w:ind w:left="346" w:hanging="259"/>
      </w:pPr>
      <w:r>
        <w:t>3. Seleccionar el registro correspondiente y comprobar que pertenece a la junta.</w:t>
      </w:r>
    </w:p>
    <w:p>
      <w:pPr>
        <w:ind w:left="346" w:hanging="259"/>
      </w:pPr>
      <w:r>
        <w:t>4. Si la interfaz presenta la opción, abrir una conversación directa.</w:t>
      </w:r>
    </w:p>
    <w:p>
      <w:r>
        <w:t>La información que se muestra depende de los permisos y preferencias; no todas las cuentas pueden consultar todos los datos personales del directorio.</w:t>
      </w:r>
    </w:p>
    <w:p>
      <w:pPr>
        <w:pStyle w:val="Heading2"/>
      </w:pPr>
      <w:r>
        <w:t>17.2 Enviar y leer mensajes</w:t>
      </w:r>
    </w:p>
    <w:p>
      <w:pPr/>
      <w:r>
        <w:t>Para compartir un archivo, verifica que el adjunto aparezca en la vista previa y espera la confirmación. En mensajes propios, «Eliminar para ambos» afecta las vistas de las dos personas según el flujo disponible; en recibidos, ocultar no borra el original de quien lo envió. Las fotos se consultan con el visor y el zoom cuando estén disponibles. No envíes datos personales fuera de la junta autorizada.</w:t>
      </w:r>
    </w:p>
    <w:p>
      <w:pPr>
        <w:ind w:left="346" w:hanging="259"/>
      </w:pPr>
      <w:r>
        <w:t>1. Abrir Chat y seleccionar una conversación activa.</w:t>
      </w:r>
    </w:p>
    <w:p>
      <w:pPr>
        <w:ind w:left="346" w:hanging="259"/>
      </w:pPr>
      <w:r>
        <w:t>2. Escribir un mensaje de texto y utilizar Enviar.</w:t>
      </w:r>
    </w:p>
    <w:p>
      <w:pPr>
        <w:ind w:left="346" w:hanging="259"/>
      </w:pPr>
      <w:r>
        <w:t>3. Comprobar el estado Enviado, Entregado o Leído cuando esté disponible.</w:t>
      </w:r>
    </w:p>
    <w:p>
      <w:pPr>
        <w:ind w:left="346" w:hanging="259"/>
      </w:pPr>
      <w:r>
        <w:t>4. Recorrer las páginas de conversaciones si la lista supera 25.</w:t>
      </w:r>
    </w:p>
    <w:p>
      <w:pPr>
        <w:ind w:left="346" w:hanging="259"/>
      </w:pPr>
      <w:r>
        <w:t>5. Si la conversación no aparece, regresar a Contactos o a la primera página de conversaciones.</w:t>
      </w:r>
    </w:p>
    <w:p>
      <w:pPr>
        <w:ind w:left="346" w:hanging="259"/>
      </w:pPr>
      <w:r>
        <w:t>6. No enviar contraseñas, códigos MFA ni información privada que la otra persona no necesite.</w:t>
      </w:r>
    </w:p>
    <w:p>
      <w:r>
        <w:t>En este incremento el chat admite texto y estados de entrega. Adjuntos, voz y llamadas siguen pendientes y no deben incluirse en la demostración como funciones completas.</w:t>
      </w:r>
    </w:p>
    <w:p>
      <w:pPr>
        <w:pStyle w:val="Heading2"/>
      </w:pPr>
      <w:r>
        <w:t>17.3 Bandeja de notificaciones</w:t>
      </w:r>
    </w:p>
    <w:p>
      <w:pPr/>
      <w:r>
        <w:t>Puedes marcar un aviso como leído sin eliminarlo de su historial visible; descartar es otra acción. Las notificaciones por llamada perdida o actividad pueden llegar con demora o respetar preferencias. Si un aviso no se ve durante una interrupción, actualiza la bandeja antes de interpretar que el evento no ocurrió.</w:t>
      </w:r>
    </w:p>
    <w:p>
      <w:r>
        <w:t>La campana permite abrir avisos de invitaciones, modificaciones, cancelaciones, recordatorios y mensajes de Chat. Al abrir una notificación se vuelve a comprobar que la cuenta conserve autorización. Marcar como leído es distinto de descartar; ninguna de las dos acciones borra el registro administrativo relacionado en otros módulos.</w:t>
      </w:r>
    </w:p>
    <w:p>
      <w:r>
        <w:t>En el perfil de avisos se pueden ajustar categorías y horario de silencio. No molestar oculta el distintivo de alerta, pero no borra la bandeja ni modifica permisos. Las invitaciones y cancelaciones siguen mostrándose por su relevancia.</w:t>
      </w:r>
    </w:p>
    <w:p>
      <w:pPr>
        <w:pStyle w:val="Heading1"/>
      </w:pPr>
      <w:r>
        <w:t>18. Administrar una junta desde Configuración</w:t>
      </w:r>
    </w:p>
    <w:p>
      <w:pPr>
        <w:pStyle w:val="Heading2"/>
      </w:pPr>
      <w:r>
        <w:t>18.1 Invitar a un integrante nuevo</w:t>
      </w:r>
    </w:p>
    <w:p>
      <w:pPr>
        <w:ind w:left="346" w:hanging="259"/>
      </w:pPr>
      <w:r>
        <w:t>1. Entrar en Configuración → Usuarios de la junta como SA o AD.</w:t>
      </w:r>
    </w:p>
    <w:p>
      <w:pPr>
        <w:ind w:left="346" w:hanging="259"/>
      </w:pPr>
      <w:r>
        <w:t>2. Revisar que se seleccionó la junta correcta.</w:t>
      </w:r>
    </w:p>
    <w:p>
      <w:pPr>
        <w:ind w:left="346" w:hanging="259"/>
      </w:pPr>
      <w:r>
        <w:t>3. Indicar el correo del futuro integrante y asignar un rol permitido.</w:t>
      </w:r>
    </w:p>
    <w:p>
      <w:pPr>
        <w:ind w:left="346" w:hanging="259"/>
      </w:pPr>
      <w:r>
        <w:t>4. Crear la invitación y consultar su estado de entrega.</w:t>
      </w:r>
    </w:p>
    <w:p>
      <w:pPr>
        <w:ind w:left="346" w:hanging="259"/>
      </w:pPr>
      <w:r>
        <w:t>5. Pedir al invitado que abra el enlace recibido y complete el proceso dentro de su vigencia.</w:t>
      </w:r>
    </w:p>
    <w:p>
      <w:pPr>
        <w:ind w:left="346" w:hanging="259"/>
      </w:pPr>
      <w:r>
        <w:t>6. Después de la aceptación, comprobar membresía activa y permisos esperados.</w:t>
      </w:r>
    </w:p>
    <w:p>
      <w:r>
        <w:t>Las invitaciones vencen y están destinadas a una sola aceptación. Un correo no enviado o vencido no debe tratarse como una cuenta ya habilitada.</w:t>
      </w:r>
    </w:p>
    <w:p>
      <w:pPr>
        <w:pStyle w:val="Heading2"/>
      </w:pPr>
      <w:r>
        <w:t>18.2 Cambiar permisos y condiciones</w:t>
      </w:r>
    </w:p>
    <w:p>
      <w:r>
        <w:t>Las autorizaciones de carpeta, filtros visibles, campos adicionales, calendario y accesos rápidos pueden configurarse desde las opciones correspondientes. Cada permiso debe revisarse para la junta activa y aplicarse al rol o membresía prevista. Las modificaciones administrativas se someten a control de versión cuando la operación lo exige.</w:t>
      </w:r>
    </w:p>
    <w:p>
      <w:pPr>
        <w:pStyle w:val="Heading2"/>
      </w:pPr>
      <w:r>
        <w:t>18.3 Cargos y campos personalizados</w:t>
      </w:r>
    </w:p>
    <w:p>
      <w:r>
        <w:t>La junta puede mantener catálogos de cargos y campos adicionales que aparecen al editar fichas. Antes de cambiar un campo de uso frecuente, revisar qué registros históricos lo utilizan y qué personas pueden modificar su valor. Los nombres históricos permanecen asociados a las fichas y no se reemplazan automáticamente cuando se desactiva una opción.</w:t>
      </w:r>
    </w:p>
    <w:p>
      <w:pPr>
        <w:pStyle w:val="Heading2"/>
      </w:pPr>
      <w:r>
        <w:t>18.4 Auditoría y estado de servicios</w:t>
      </w:r>
    </w:p>
    <w:p>
      <w:r>
        <w:t>Los administradores autorizados pueden consultar el historial mínimo de operaciones, filtrar eventos por fecha y actor y descargar resultados permitidos. Estado de servicios informa disponibilidad de módulos, entrega de auditoría, planificadores y antivirus. Si un indicador no está saludable, el usuario no debe manipular datos en la base: debe informar al responsable técnico.</w:t>
      </w:r>
    </w:p>
    <w:p>
      <w:pPr>
        <w:pStyle w:val="Heading1"/>
      </w:pPr>
      <w:r>
        <w:t>19. Incidencias frecuentes y prevención de errores</w:t>
      </w:r>
    </w:p>
    <w:p>
      <w:pPr/>
      <w:r>
        <w:t>La interfaz incluye estados vacíos, carga y error en las secciones principales, pero los recorridos integrales de todos los diálogos y permisos aún no están aceptados. Una acción aparentemente guardada no se repite sin mirar primero el registro. La ausencia de un botón puede ser normal según tu rol, configuración y junta activa.</w:t>
      </w:r>
    </w:p>
    <w:tbl>
      <w:tblPr>
        <w:tblStyle w:val="TableGrid"/>
        <w:tblW w:type="auto" w:w="0"/>
        <w:jc w:val="center"/>
        <w:tblLook w:firstColumn="1" w:firstRow="1" w:lastColumn="0" w:lastRow="0" w:noHBand="0" w:noVBand="1" w:val="04A0"/>
      </w:tblPr>
      <w:tblGrid>
        <w:gridCol w:w="3154"/>
        <w:gridCol w:w="3154"/>
        <w:gridCol w:w="3154"/>
      </w:tblGrid>
      <w:tr>
        <w:trPr>
          <w:tblHeader w:val="true"/>
        </w:trPr>
        <w:tc>
          <w:tcPr>
            <w:tcW w:type="dxa" w:w="3154"/>
            <w:shd w:fill="E9EEF2"/>
          </w:tcPr>
          <w:p>
            <w:r>
              <w:rPr>
                <w:b/>
                <w:sz w:val="17"/>
              </w:rPr>
              <w:t>Situación</w:t>
            </w:r>
          </w:p>
        </w:tc>
        <w:tc>
          <w:tcPr>
            <w:tcW w:type="dxa" w:w="3154"/>
            <w:shd w:fill="E9EEF2"/>
          </w:tcPr>
          <w:p>
            <w:r>
              <w:rPr>
                <w:b/>
                <w:sz w:val="17"/>
              </w:rPr>
              <w:t>Interpretación posible</w:t>
            </w:r>
          </w:p>
        </w:tc>
        <w:tc>
          <w:tcPr>
            <w:tcW w:type="dxa" w:w="3154"/>
            <w:shd w:fill="E9EEF2"/>
          </w:tcPr>
          <w:p>
            <w:r>
              <w:rPr>
                <w:b/>
                <w:sz w:val="17"/>
              </w:rPr>
              <w:t>Qué hacer</w:t>
            </w:r>
          </w:p>
        </w:tc>
      </w:tr>
      <w:tr>
        <w:tc>
          <w:tcPr>
            <w:tcW w:type="dxa" w:w="3154"/>
            <w:vAlign w:val="center"/>
          </w:tcPr>
          <w:p>
            <w:pPr>
              <w:spacing w:after="40" w:before="40"/>
            </w:pPr>
            <w:r>
              <w:rPr>
                <w:sz w:val="16"/>
              </w:rPr>
              <w:t>No ve Nueva persona</w:t>
            </w:r>
          </w:p>
        </w:tc>
        <w:tc>
          <w:tcPr>
            <w:tcW w:type="dxa" w:w="3154"/>
            <w:vAlign w:val="center"/>
          </w:tcPr>
          <w:p>
            <w:pPr>
              <w:spacing w:after="40" w:before="40"/>
            </w:pPr>
            <w:r>
              <w:rPr>
                <w:sz w:val="16"/>
              </w:rPr>
              <w:t>No tiene rol de edición</w:t>
            </w:r>
          </w:p>
        </w:tc>
        <w:tc>
          <w:tcPr>
            <w:tcW w:type="dxa" w:w="3154"/>
            <w:vAlign w:val="center"/>
          </w:tcPr>
          <w:p>
            <w:pPr>
              <w:spacing w:after="40" w:before="40"/>
            </w:pPr>
            <w:r>
              <w:rPr>
                <w:sz w:val="16"/>
              </w:rPr>
              <w:t>Solicitar validación de rol al administrador</w:t>
            </w:r>
          </w:p>
        </w:tc>
      </w:tr>
      <w:tr>
        <w:tc>
          <w:tcPr>
            <w:tcW w:type="dxa" w:w="3154"/>
            <w:vAlign w:val="center"/>
            <w:shd w:fill="F6F8F9"/>
          </w:tcPr>
          <w:p>
            <w:pPr>
              <w:spacing w:after="40" w:before="40"/>
            </w:pPr>
            <w:r>
              <w:rPr>
                <w:sz w:val="16"/>
              </w:rPr>
              <w:t>Documento duplicado</w:t>
            </w:r>
          </w:p>
        </w:tc>
        <w:tc>
          <w:tcPr>
            <w:tcW w:type="dxa" w:w="3154"/>
            <w:vAlign w:val="center"/>
            <w:shd w:fill="F6F8F9"/>
          </w:tcPr>
          <w:p>
            <w:pPr>
              <w:spacing w:after="40" w:before="40"/>
            </w:pPr>
            <w:r>
              <w:rPr>
                <w:sz w:val="16"/>
              </w:rPr>
              <w:t>La persona ya tiene ficha</w:t>
            </w:r>
          </w:p>
        </w:tc>
        <w:tc>
          <w:tcPr>
            <w:tcW w:type="dxa" w:w="3154"/>
            <w:vAlign w:val="center"/>
            <w:shd w:fill="F6F8F9"/>
          </w:tcPr>
          <w:p>
            <w:pPr>
              <w:spacing w:after="40" w:before="40"/>
            </w:pPr>
            <w:r>
              <w:rPr>
                <w:sz w:val="16"/>
              </w:rPr>
              <w:t>Buscarla antes de crear una segunda</w:t>
            </w:r>
          </w:p>
        </w:tc>
      </w:tr>
      <w:tr>
        <w:tc>
          <w:tcPr>
            <w:tcW w:type="dxa" w:w="3154"/>
            <w:vAlign w:val="center"/>
          </w:tcPr>
          <w:p>
            <w:pPr>
              <w:spacing w:after="40" w:before="40"/>
            </w:pPr>
            <w:r>
              <w:rPr>
                <w:sz w:val="16"/>
              </w:rPr>
              <w:t>Conflicto al guardar</w:t>
            </w:r>
          </w:p>
        </w:tc>
        <w:tc>
          <w:tcPr>
            <w:tcW w:type="dxa" w:w="3154"/>
            <w:vAlign w:val="center"/>
          </w:tcPr>
          <w:p>
            <w:pPr>
              <w:spacing w:after="40" w:before="40"/>
            </w:pPr>
            <w:r>
              <w:rPr>
                <w:sz w:val="16"/>
              </w:rPr>
              <w:t>Otro usuario cambió el dato</w:t>
            </w:r>
          </w:p>
        </w:tc>
        <w:tc>
          <w:tcPr>
            <w:tcW w:type="dxa" w:w="3154"/>
            <w:vAlign w:val="center"/>
          </w:tcPr>
          <w:p>
            <w:pPr>
              <w:spacing w:after="40" w:before="40"/>
            </w:pPr>
            <w:r>
              <w:rPr>
                <w:sz w:val="16"/>
              </w:rPr>
              <w:t>Actualizar y comparar cambios</w:t>
            </w:r>
          </w:p>
        </w:tc>
      </w:tr>
      <w:tr>
        <w:tc>
          <w:tcPr>
            <w:tcW w:type="dxa" w:w="3154"/>
            <w:vAlign w:val="center"/>
            <w:shd w:fill="F6F8F9"/>
          </w:tcPr>
          <w:p>
            <w:pPr>
              <w:spacing w:after="40" w:before="40"/>
            </w:pPr>
            <w:r>
              <w:rPr>
                <w:sz w:val="16"/>
              </w:rPr>
              <w:t>El correo no llega</w:t>
            </w:r>
          </w:p>
        </w:tc>
        <w:tc>
          <w:tcPr>
            <w:tcW w:type="dxa" w:w="3154"/>
            <w:vAlign w:val="center"/>
            <w:shd w:fill="F6F8F9"/>
          </w:tcPr>
          <w:p>
            <w:pPr>
              <w:spacing w:after="40" w:before="40"/>
            </w:pPr>
            <w:r>
              <w:rPr>
                <w:sz w:val="16"/>
              </w:rPr>
              <w:t>Invitación pendiente o MFA no entregado</w:t>
            </w:r>
          </w:p>
        </w:tc>
        <w:tc>
          <w:tcPr>
            <w:tcW w:type="dxa" w:w="3154"/>
            <w:vAlign w:val="center"/>
            <w:shd w:fill="F6F8F9"/>
          </w:tcPr>
          <w:p>
            <w:pPr>
              <w:spacing w:after="40" w:before="40"/>
            </w:pPr>
            <w:r>
              <w:rPr>
                <w:sz w:val="16"/>
              </w:rPr>
              <w:t>Revisar buzón y contactar al administrador</w:t>
            </w:r>
          </w:p>
        </w:tc>
      </w:tr>
      <w:tr>
        <w:tc>
          <w:tcPr>
            <w:tcW w:type="dxa" w:w="3154"/>
            <w:vAlign w:val="center"/>
          </w:tcPr>
          <w:p>
            <w:pPr>
              <w:spacing w:after="40" w:before="40"/>
            </w:pPr>
            <w:r>
              <w:rPr>
                <w:sz w:val="16"/>
              </w:rPr>
              <w:t>Archivo rechazado</w:t>
            </w:r>
          </w:p>
        </w:tc>
        <w:tc>
          <w:tcPr>
            <w:tcW w:type="dxa" w:w="3154"/>
            <w:vAlign w:val="center"/>
          </w:tcPr>
          <w:p>
            <w:pPr>
              <w:spacing w:after="40" w:before="40"/>
            </w:pPr>
            <w:r>
              <w:rPr>
                <w:sz w:val="16"/>
              </w:rPr>
              <w:t>Formato, tamaño, antivirus o cuota</w:t>
            </w:r>
          </w:p>
        </w:tc>
        <w:tc>
          <w:tcPr>
            <w:tcW w:type="dxa" w:w="3154"/>
            <w:vAlign w:val="center"/>
          </w:tcPr>
          <w:p>
            <w:pPr>
              <w:spacing w:after="40" w:before="40"/>
            </w:pPr>
            <w:r>
              <w:rPr>
                <w:sz w:val="16"/>
              </w:rPr>
              <w:t>Comprobar la causa sin cambiar extensión</w:t>
            </w:r>
          </w:p>
        </w:tc>
      </w:tr>
      <w:tr>
        <w:tc>
          <w:tcPr>
            <w:tcW w:type="dxa" w:w="3154"/>
            <w:vAlign w:val="center"/>
            <w:shd w:fill="F6F8F9"/>
          </w:tcPr>
          <w:p>
            <w:pPr>
              <w:spacing w:after="40" w:before="40"/>
            </w:pPr>
            <w:r>
              <w:rPr>
                <w:sz w:val="16"/>
              </w:rPr>
              <w:t>No aparece una carpeta</w:t>
            </w:r>
          </w:p>
        </w:tc>
        <w:tc>
          <w:tcPr>
            <w:tcW w:type="dxa" w:w="3154"/>
            <w:vAlign w:val="center"/>
            <w:shd w:fill="F6F8F9"/>
          </w:tcPr>
          <w:p>
            <w:pPr>
              <w:spacing w:after="40" w:before="40"/>
            </w:pPr>
            <w:r>
              <w:rPr>
                <w:sz w:val="16"/>
              </w:rPr>
              <w:t>Acceso delegado revocado o cambió ruta</w:t>
            </w:r>
          </w:p>
        </w:tc>
        <w:tc>
          <w:tcPr>
            <w:tcW w:type="dxa" w:w="3154"/>
            <w:vAlign w:val="center"/>
            <w:shd w:fill="F6F8F9"/>
          </w:tcPr>
          <w:p>
            <w:pPr>
              <w:spacing w:after="40" w:before="40"/>
            </w:pPr>
            <w:r>
              <w:rPr>
                <w:sz w:val="16"/>
              </w:rPr>
              <w:t>Revisar permisos y navegación</w:t>
            </w:r>
          </w:p>
        </w:tc>
      </w:tr>
      <w:tr>
        <w:tc>
          <w:tcPr>
            <w:tcW w:type="dxa" w:w="3154"/>
            <w:vAlign w:val="center"/>
          </w:tcPr>
          <w:p>
            <w:pPr>
              <w:spacing w:after="40" w:before="40"/>
            </w:pPr>
            <w:r>
              <w:rPr>
                <w:sz w:val="16"/>
              </w:rPr>
              <w:t>Saldo incorrecto a simple vista</w:t>
            </w:r>
          </w:p>
        </w:tc>
        <w:tc>
          <w:tcPr>
            <w:tcW w:type="dxa" w:w="3154"/>
            <w:vAlign w:val="center"/>
          </w:tcPr>
          <w:p>
            <w:pPr>
              <w:spacing w:after="40" w:before="40"/>
            </w:pPr>
            <w:r>
              <w:rPr>
                <w:sz w:val="16"/>
              </w:rPr>
              <w:t>Filtro muestra solo parte del historial</w:t>
            </w:r>
          </w:p>
        </w:tc>
        <w:tc>
          <w:tcPr>
            <w:tcW w:type="dxa" w:w="3154"/>
            <w:vAlign w:val="center"/>
          </w:tcPr>
          <w:p>
            <w:pPr>
              <w:spacing w:after="40" w:before="40"/>
            </w:pPr>
            <w:r>
              <w:rPr>
                <w:sz w:val="16"/>
              </w:rPr>
              <w:t>Limpiar filtros, revisar comprobantes y reversos</w:t>
            </w:r>
          </w:p>
        </w:tc>
      </w:tr>
      <w:tr>
        <w:tc>
          <w:tcPr>
            <w:tcW w:type="dxa" w:w="3154"/>
            <w:vAlign w:val="center"/>
            <w:shd w:fill="F6F8F9"/>
          </w:tcPr>
          <w:p>
            <w:pPr>
              <w:spacing w:after="40" w:before="40"/>
            </w:pPr>
            <w:r>
              <w:rPr>
                <w:sz w:val="16"/>
              </w:rPr>
              <w:t>La campana no marca avisos</w:t>
            </w:r>
          </w:p>
        </w:tc>
        <w:tc>
          <w:tcPr>
            <w:tcW w:type="dxa" w:w="3154"/>
            <w:vAlign w:val="center"/>
            <w:shd w:fill="F6F8F9"/>
          </w:tcPr>
          <w:p>
            <w:pPr>
              <w:spacing w:after="40" w:before="40"/>
            </w:pPr>
            <w:r>
              <w:rPr>
                <w:sz w:val="16"/>
              </w:rPr>
              <w:t>Preferencia o No molestar</w:t>
            </w:r>
          </w:p>
        </w:tc>
        <w:tc>
          <w:tcPr>
            <w:tcW w:type="dxa" w:w="3154"/>
            <w:vAlign w:val="center"/>
            <w:shd w:fill="F6F8F9"/>
          </w:tcPr>
          <w:p>
            <w:pPr>
              <w:spacing w:after="40" w:before="40"/>
            </w:pPr>
            <w:r>
              <w:rPr>
                <w:sz w:val="16"/>
              </w:rPr>
              <w:t>Abrir bandeja y revisar configuración</w:t>
            </w:r>
          </w:p>
        </w:tc>
      </w:tr>
      <w:tr>
        <w:tc>
          <w:tcPr>
            <w:tcW w:type="dxa" w:w="3154"/>
            <w:vAlign w:val="center"/>
          </w:tcPr>
          <w:p>
            <w:pPr>
              <w:spacing w:after="40" w:before="40"/>
            </w:pPr>
            <w:r>
              <w:rPr>
                <w:sz w:val="16"/>
              </w:rPr>
              <w:t>Chat sin opciones de llamadas</w:t>
            </w:r>
          </w:p>
        </w:tc>
        <w:tc>
          <w:tcPr>
            <w:tcW w:type="dxa" w:w="3154"/>
            <w:vAlign w:val="center"/>
          </w:tcPr>
          <w:p>
            <w:pPr>
              <w:spacing w:after="40" w:before="40"/>
            </w:pPr>
            <w:r>
              <w:rPr>
                <w:sz w:val="16"/>
              </w:rPr>
              <w:t>Función aún no entregada</w:t>
            </w:r>
          </w:p>
        </w:tc>
        <w:tc>
          <w:tcPr>
            <w:tcW w:type="dxa" w:w="3154"/>
            <w:vAlign w:val="center"/>
          </w:tcPr>
          <w:p>
            <w:pPr>
              <w:spacing w:after="40" w:before="40"/>
            </w:pPr>
            <w:r>
              <w:rPr>
                <w:sz w:val="16"/>
              </w:rPr>
              <w:t>Usar texto o canal externo autorizado</w:t>
            </w:r>
          </w:p>
        </w:tc>
      </w:tr>
    </w:tbl>
    <w:p>
      <w:pPr>
        <w:spacing w:after="40"/>
      </w:pPr>
    </w:p>
    <w:p>
      <w:pPr>
        <w:pStyle w:val="Heading2"/>
      </w:pPr>
      <w:r>
        <w:t>19.1 Protección de los datos de la comunidad</w:t>
      </w:r>
    </w:p>
    <w:p>
      <w:r>
        <w:t>SRD almacena información de personas y de la actividad administrativa de la junta. La persona que usa el sistema debe verificar siempre la junta activa, cerrar sesión en equipos compartidos, guardar exportes únicamente donde corresponda y no usar la cuenta de otro miembro. Una autorización para consultar información no autoriza distribuirla fuera de la junta.</w:t>
      </w:r>
    </w:p>
    <w:p>
      <w:pPr>
        <w:pStyle w:val="Heading2"/>
      </w:pPr>
      <w:r>
        <w:t>19.2 Reglas para la demostración</w:t>
      </w:r>
    </w:p>
    <w:p>
      <w:r>
        <w:t>La junta srd-e2e-a se utiliza con datos sintéticos. Los mensajes que aparecen en Mailpit, cuentas y contraseñas de .local no deben copiarse al informe ni compartirse en pantallas públicas. Al terminar, cerrar la sesión de la junta de demostración sin modificar registros reales.</w:t>
      </w:r>
    </w:p>
    <w:p>
      <w:pPr>
        <w:pStyle w:val="Heading1"/>
      </w:pPr>
      <w:r>
        <w:t>20. Ejercicios de aprendizaje para una primera sesión</w:t>
      </w:r>
    </w:p>
    <w:tbl>
      <w:tblPr>
        <w:tblStyle w:val="TableGrid"/>
        <w:tblW w:type="auto" w:w="0"/>
        <w:jc w:val="center"/>
        <w:tblLook w:firstColumn="1" w:firstRow="1" w:lastColumn="0" w:lastRow="0" w:noHBand="0" w:noVBand="1" w:val="04A0"/>
      </w:tblPr>
      <w:tblGrid>
        <w:gridCol w:w="3154"/>
        <w:gridCol w:w="3154"/>
        <w:gridCol w:w="3154"/>
      </w:tblGrid>
      <w:tr>
        <w:trPr>
          <w:tblHeader w:val="true"/>
        </w:trPr>
        <w:tc>
          <w:tcPr>
            <w:tcW w:type="dxa" w:w="3154"/>
            <w:shd w:fill="E9EEF2"/>
          </w:tcPr>
          <w:p>
            <w:r>
              <w:rPr>
                <w:b/>
                <w:sz w:val="17"/>
              </w:rPr>
              <w:t>Ejercicio</w:t>
            </w:r>
          </w:p>
        </w:tc>
        <w:tc>
          <w:tcPr>
            <w:tcW w:type="dxa" w:w="3154"/>
            <w:shd w:fill="E9EEF2"/>
          </w:tcPr>
          <w:p>
            <w:r>
              <w:rPr>
                <w:b/>
                <w:sz w:val="17"/>
              </w:rPr>
              <w:t>Responsable</w:t>
            </w:r>
          </w:p>
        </w:tc>
        <w:tc>
          <w:tcPr>
            <w:tcW w:type="dxa" w:w="3154"/>
            <w:shd w:fill="E9EEF2"/>
          </w:tcPr>
          <w:p>
            <w:r>
              <w:rPr>
                <w:b/>
                <w:sz w:val="17"/>
              </w:rPr>
              <w:t>Resultado comprobable</w:t>
            </w:r>
          </w:p>
        </w:tc>
      </w:tr>
      <w:tr>
        <w:tc>
          <w:tcPr>
            <w:tcW w:type="dxa" w:w="3154"/>
            <w:vAlign w:val="center"/>
          </w:tcPr>
          <w:p>
            <w:pPr>
              <w:spacing w:after="40" w:before="40"/>
            </w:pPr>
            <w:r>
              <w:rPr>
                <w:sz w:val="16"/>
              </w:rPr>
              <w:t>Iniciar sesión con MFA</w:t>
            </w:r>
          </w:p>
        </w:tc>
        <w:tc>
          <w:tcPr>
            <w:tcW w:type="dxa" w:w="3154"/>
            <w:vAlign w:val="center"/>
          </w:tcPr>
          <w:p>
            <w:pPr>
              <w:spacing w:after="40" w:before="40"/>
            </w:pPr>
            <w:r>
              <w:rPr>
                <w:sz w:val="16"/>
              </w:rPr>
              <w:t>Miembro invitado</w:t>
            </w:r>
          </w:p>
        </w:tc>
        <w:tc>
          <w:tcPr>
            <w:tcW w:type="dxa" w:w="3154"/>
            <w:vAlign w:val="center"/>
          </w:tcPr>
          <w:p>
            <w:pPr>
              <w:spacing w:after="40" w:before="40"/>
            </w:pPr>
            <w:r>
              <w:rPr>
                <w:sz w:val="16"/>
              </w:rPr>
              <w:t>Acceso a junta correcta</w:t>
            </w:r>
          </w:p>
        </w:tc>
      </w:tr>
      <w:tr>
        <w:tc>
          <w:tcPr>
            <w:tcW w:type="dxa" w:w="3154"/>
            <w:vAlign w:val="center"/>
            <w:shd w:fill="F6F8F9"/>
          </w:tcPr>
          <w:p>
            <w:pPr>
              <w:spacing w:after="40" w:before="40"/>
            </w:pPr>
            <w:r>
              <w:rPr>
                <w:sz w:val="16"/>
              </w:rPr>
              <w:t>Crear una persona Pendiente</w:t>
            </w:r>
          </w:p>
        </w:tc>
        <w:tc>
          <w:tcPr>
            <w:tcW w:type="dxa" w:w="3154"/>
            <w:vAlign w:val="center"/>
            <w:shd w:fill="F6F8F9"/>
          </w:tcPr>
          <w:p>
            <w:pPr>
              <w:spacing w:after="40" w:before="40"/>
            </w:pPr>
            <w:r>
              <w:rPr>
                <w:sz w:val="16"/>
              </w:rPr>
              <w:t>SA/AD/RE</w:t>
            </w:r>
          </w:p>
        </w:tc>
        <w:tc>
          <w:tcPr>
            <w:tcW w:type="dxa" w:w="3154"/>
            <w:vAlign w:val="center"/>
            <w:shd w:fill="F6F8F9"/>
          </w:tcPr>
          <w:p>
            <w:pPr>
              <w:spacing w:after="40" w:before="40"/>
            </w:pPr>
            <w:r>
              <w:rPr>
                <w:sz w:val="16"/>
              </w:rPr>
              <w:t>Ficha visible en lista y sin duplicados</w:t>
            </w:r>
          </w:p>
        </w:tc>
      </w:tr>
      <w:tr>
        <w:tc>
          <w:tcPr>
            <w:tcW w:type="dxa" w:w="3154"/>
            <w:vAlign w:val="center"/>
          </w:tcPr>
          <w:p>
            <w:pPr>
              <w:spacing w:after="40" w:before="40"/>
            </w:pPr>
            <w:r>
              <w:rPr>
                <w:sz w:val="16"/>
              </w:rPr>
              <w:t>Agregar un evento con recordatorio</w:t>
            </w:r>
          </w:p>
        </w:tc>
        <w:tc>
          <w:tcPr>
            <w:tcW w:type="dxa" w:w="3154"/>
            <w:vAlign w:val="center"/>
          </w:tcPr>
          <w:p>
            <w:pPr>
              <w:spacing w:after="40" w:before="40"/>
            </w:pPr>
            <w:r>
              <w:rPr>
                <w:sz w:val="16"/>
              </w:rPr>
              <w:t>SA/AD o delegado</w:t>
            </w:r>
          </w:p>
        </w:tc>
        <w:tc>
          <w:tcPr>
            <w:tcW w:type="dxa" w:w="3154"/>
            <w:vAlign w:val="center"/>
          </w:tcPr>
          <w:p>
            <w:pPr>
              <w:spacing w:after="40" w:before="40"/>
            </w:pPr>
            <w:r>
              <w:rPr>
                <w:sz w:val="16"/>
              </w:rPr>
              <w:t>Evento en calendario y recordatorio configurado</w:t>
            </w:r>
          </w:p>
        </w:tc>
      </w:tr>
      <w:tr>
        <w:tc>
          <w:tcPr>
            <w:tcW w:type="dxa" w:w="3154"/>
            <w:vAlign w:val="center"/>
            <w:shd w:fill="F6F8F9"/>
          </w:tcPr>
          <w:p>
            <w:pPr>
              <w:spacing w:after="40" w:before="40"/>
            </w:pPr>
            <w:r>
              <w:rPr>
                <w:sz w:val="16"/>
              </w:rPr>
              <w:t>Crear carpeta y cargar DOCX</w:t>
            </w:r>
          </w:p>
        </w:tc>
        <w:tc>
          <w:tcPr>
            <w:tcW w:type="dxa" w:w="3154"/>
            <w:vAlign w:val="center"/>
            <w:shd w:fill="F6F8F9"/>
          </w:tcPr>
          <w:p>
            <w:pPr>
              <w:spacing w:after="40" w:before="40"/>
            </w:pPr>
            <w:r>
              <w:rPr>
                <w:sz w:val="16"/>
              </w:rPr>
              <w:t>SA/AD</w:t>
            </w:r>
          </w:p>
        </w:tc>
        <w:tc>
          <w:tcPr>
            <w:tcW w:type="dxa" w:w="3154"/>
            <w:vAlign w:val="center"/>
            <w:shd w:fill="F6F8F9"/>
          </w:tcPr>
          <w:p>
            <w:pPr>
              <w:spacing w:after="40" w:before="40"/>
            </w:pPr>
            <w:r>
              <w:rPr>
                <w:sz w:val="16"/>
              </w:rPr>
              <w:t>Documento listado y descargable</w:t>
            </w:r>
          </w:p>
        </w:tc>
      </w:tr>
      <w:tr>
        <w:tc>
          <w:tcPr>
            <w:tcW w:type="dxa" w:w="3154"/>
            <w:vAlign w:val="center"/>
          </w:tcPr>
          <w:p>
            <w:pPr>
              <w:spacing w:after="40" w:before="40"/>
            </w:pPr>
            <w:r>
              <w:rPr>
                <w:sz w:val="16"/>
              </w:rPr>
              <w:t>Conceder lectura de carpeta</w:t>
            </w:r>
          </w:p>
        </w:tc>
        <w:tc>
          <w:tcPr>
            <w:tcW w:type="dxa" w:w="3154"/>
            <w:vAlign w:val="center"/>
          </w:tcPr>
          <w:p>
            <w:pPr>
              <w:spacing w:after="40" w:before="40"/>
            </w:pPr>
            <w:r>
              <w:rPr>
                <w:sz w:val="16"/>
              </w:rPr>
              <w:t>SA/AD</w:t>
            </w:r>
          </w:p>
        </w:tc>
        <w:tc>
          <w:tcPr>
            <w:tcW w:type="dxa" w:w="3154"/>
            <w:vAlign w:val="center"/>
          </w:tcPr>
          <w:p>
            <w:pPr>
              <w:spacing w:after="40" w:before="40"/>
            </w:pPr>
            <w:r>
              <w:rPr>
                <w:sz w:val="16"/>
              </w:rPr>
              <w:t>Lector autorizado sin botones de escritura</w:t>
            </w:r>
          </w:p>
        </w:tc>
      </w:tr>
      <w:tr>
        <w:tc>
          <w:tcPr>
            <w:tcW w:type="dxa" w:w="3154"/>
            <w:vAlign w:val="center"/>
            <w:shd w:fill="F6F8F9"/>
          </w:tcPr>
          <w:p>
            <w:pPr>
              <w:spacing w:after="40" w:before="40"/>
            </w:pPr>
            <w:r>
              <w:rPr>
                <w:sz w:val="16"/>
              </w:rPr>
              <w:t>Registrar ingreso y revertirlo</w:t>
            </w:r>
          </w:p>
        </w:tc>
        <w:tc>
          <w:tcPr>
            <w:tcW w:type="dxa" w:w="3154"/>
            <w:vAlign w:val="center"/>
            <w:shd w:fill="F6F8F9"/>
          </w:tcPr>
          <w:p>
            <w:pPr>
              <w:spacing w:after="40" w:before="40"/>
            </w:pPr>
            <w:r>
              <w:rPr>
                <w:sz w:val="16"/>
              </w:rPr>
              <w:t>SA/AD/TE</w:t>
            </w:r>
          </w:p>
        </w:tc>
        <w:tc>
          <w:tcPr>
            <w:tcW w:type="dxa" w:w="3154"/>
            <w:vAlign w:val="center"/>
            <w:shd w:fill="F6F8F9"/>
          </w:tcPr>
          <w:p>
            <w:pPr>
              <w:spacing w:after="40" w:before="40"/>
            </w:pPr>
            <w:r>
              <w:rPr>
                <w:sz w:val="16"/>
              </w:rPr>
              <w:t>Dos asientos auditables y saldo conciliado</w:t>
            </w:r>
          </w:p>
        </w:tc>
      </w:tr>
      <w:tr>
        <w:tc>
          <w:tcPr>
            <w:tcW w:type="dxa" w:w="3154"/>
            <w:vAlign w:val="center"/>
          </w:tcPr>
          <w:p>
            <w:pPr>
              <w:spacing w:after="40" w:before="40"/>
            </w:pPr>
            <w:r>
              <w:rPr>
                <w:sz w:val="16"/>
              </w:rPr>
              <w:t>Registrar movimiento de bien</w:t>
            </w:r>
          </w:p>
        </w:tc>
        <w:tc>
          <w:tcPr>
            <w:tcW w:type="dxa" w:w="3154"/>
            <w:vAlign w:val="center"/>
          </w:tcPr>
          <w:p>
            <w:pPr>
              <w:spacing w:after="40" w:before="40"/>
            </w:pPr>
            <w:r>
              <w:rPr>
                <w:sz w:val="16"/>
              </w:rPr>
              <w:t>SA/AD/TE</w:t>
            </w:r>
          </w:p>
        </w:tc>
        <w:tc>
          <w:tcPr>
            <w:tcW w:type="dxa" w:w="3154"/>
            <w:vAlign w:val="center"/>
          </w:tcPr>
          <w:p>
            <w:pPr>
              <w:spacing w:after="40" w:before="40"/>
            </w:pPr>
            <w:r>
              <w:rPr>
                <w:sz w:val="16"/>
              </w:rPr>
              <w:t>Historial conserva modificación</w:t>
            </w:r>
          </w:p>
        </w:tc>
      </w:tr>
      <w:tr>
        <w:tc>
          <w:tcPr>
            <w:tcW w:type="dxa" w:w="3154"/>
            <w:vAlign w:val="center"/>
            <w:shd w:fill="F6F8F9"/>
          </w:tcPr>
          <w:p>
            <w:pPr>
              <w:spacing w:after="40" w:before="40"/>
            </w:pPr>
            <w:r>
              <w:rPr>
                <w:sz w:val="16"/>
              </w:rPr>
              <w:t>Enviar mensaje</w:t>
            </w:r>
          </w:p>
        </w:tc>
        <w:tc>
          <w:tcPr>
            <w:tcW w:type="dxa" w:w="3154"/>
            <w:vAlign w:val="center"/>
            <w:shd w:fill="F6F8F9"/>
          </w:tcPr>
          <w:p>
            <w:pPr>
              <w:spacing w:after="40" w:before="40"/>
            </w:pPr>
            <w:r>
              <w:rPr>
                <w:sz w:val="16"/>
              </w:rPr>
              <w:t>Integrantes activos</w:t>
            </w:r>
          </w:p>
        </w:tc>
        <w:tc>
          <w:tcPr>
            <w:tcW w:type="dxa" w:w="3154"/>
            <w:vAlign w:val="center"/>
            <w:shd w:fill="F6F8F9"/>
          </w:tcPr>
          <w:p>
            <w:pPr>
              <w:spacing w:after="40" w:before="40"/>
            </w:pPr>
            <w:r>
              <w:rPr>
                <w:sz w:val="16"/>
              </w:rPr>
              <w:t>Mensaje y estados en Chat</w:t>
            </w:r>
          </w:p>
        </w:tc>
      </w:tr>
    </w:tbl>
    <w:p>
      <w:pPr>
        <w:spacing w:after="40"/>
      </w:pPr>
    </w:p>
    <w:p>
      <w:r>
        <w:t>Estos ejercicios describen un plan de capacitación. Su presencia en el manual no implica que hayan sido ejecutados con usuarios finales; la aceptación de ese piloto debe registrarse por separado.</w:t>
      </w:r>
    </w:p>
    <w:p>
      <w:pPr>
        <w:pStyle w:val="Heading1"/>
      </w:pPr>
      <w:r>
        <w:t>21. Referencia rápida de campos y filtros</w:t>
      </w:r>
    </w:p>
    <w:p>
      <w:r>
        <w:t>Las etiquetas pueden cambiar parcialmente según la preferencia de idioma y la configuración vigente de cada junta. Este apartado explica el sentido de los datos principales para reducir errores de digitación.</w:t>
      </w:r>
    </w:p>
    <w:tbl>
      <w:tblPr>
        <w:tblStyle w:val="TableGrid"/>
        <w:tblW w:type="auto" w:w="0"/>
        <w:jc w:val="center"/>
        <w:tblLook w:firstColumn="1" w:firstRow="1" w:lastColumn="0" w:lastRow="0" w:noHBand="0" w:noVBand="1" w:val="04A0"/>
      </w:tblPr>
      <w:tblGrid>
        <w:gridCol w:w="3154"/>
        <w:gridCol w:w="3154"/>
        <w:gridCol w:w="3154"/>
      </w:tblGrid>
      <w:tr>
        <w:trPr>
          <w:tblHeader w:val="true"/>
        </w:trPr>
        <w:tc>
          <w:tcPr>
            <w:tcW w:type="dxa" w:w="3154"/>
            <w:shd w:fill="E9EEF2"/>
          </w:tcPr>
          <w:p>
            <w:r>
              <w:rPr>
                <w:b/>
                <w:sz w:val="17"/>
              </w:rPr>
              <w:t>Área</w:t>
            </w:r>
          </w:p>
        </w:tc>
        <w:tc>
          <w:tcPr>
            <w:tcW w:type="dxa" w:w="3154"/>
            <w:shd w:fill="E9EEF2"/>
          </w:tcPr>
          <w:p>
            <w:r>
              <w:rPr>
                <w:b/>
                <w:sz w:val="17"/>
              </w:rPr>
              <w:t>Campo / opción</w:t>
            </w:r>
          </w:p>
        </w:tc>
        <w:tc>
          <w:tcPr>
            <w:tcW w:type="dxa" w:w="3154"/>
            <w:shd w:fill="E9EEF2"/>
          </w:tcPr>
          <w:p>
            <w:r>
              <w:rPr>
                <w:b/>
                <w:sz w:val="17"/>
              </w:rPr>
              <w:t>Recomendación práctica</w:t>
            </w:r>
          </w:p>
        </w:tc>
      </w:tr>
      <w:tr>
        <w:tc>
          <w:tcPr>
            <w:tcW w:type="dxa" w:w="3154"/>
            <w:vAlign w:val="center"/>
          </w:tcPr>
          <w:p>
            <w:pPr>
              <w:spacing w:after="40" w:before="40"/>
            </w:pPr>
            <w:r>
              <w:rPr>
                <w:sz w:val="16"/>
              </w:rPr>
              <w:t>Personas</w:t>
            </w:r>
          </w:p>
        </w:tc>
        <w:tc>
          <w:tcPr>
            <w:tcW w:type="dxa" w:w="3154"/>
            <w:vAlign w:val="center"/>
          </w:tcPr>
          <w:p>
            <w:pPr>
              <w:spacing w:after="40" w:before="40"/>
            </w:pPr>
            <w:r>
              <w:rPr>
                <w:sz w:val="16"/>
              </w:rPr>
              <w:t>Tipo y número de documento</w:t>
            </w:r>
          </w:p>
        </w:tc>
        <w:tc>
          <w:tcPr>
            <w:tcW w:type="dxa" w:w="3154"/>
            <w:vAlign w:val="center"/>
          </w:tcPr>
          <w:p>
            <w:pPr>
              <w:spacing w:after="40" w:before="40"/>
            </w:pPr>
            <w:r>
              <w:rPr>
                <w:sz w:val="16"/>
              </w:rPr>
              <w:t>Usar el dato correcto; no duplicar ficha por estado Pendiente</w:t>
            </w:r>
          </w:p>
        </w:tc>
      </w:tr>
      <w:tr>
        <w:tc>
          <w:tcPr>
            <w:tcW w:type="dxa" w:w="3154"/>
            <w:vAlign w:val="center"/>
            <w:shd w:fill="F6F8F9"/>
          </w:tcPr>
          <w:p>
            <w:pPr>
              <w:spacing w:after="40" w:before="40"/>
            </w:pPr>
            <w:r>
              <w:rPr>
                <w:sz w:val="16"/>
              </w:rPr>
              <w:t>Personas</w:t>
            </w:r>
          </w:p>
        </w:tc>
        <w:tc>
          <w:tcPr>
            <w:tcW w:type="dxa" w:w="3154"/>
            <w:vAlign w:val="center"/>
            <w:shd w:fill="F6F8F9"/>
          </w:tcPr>
          <w:p>
            <w:pPr>
              <w:spacing w:after="40" w:before="40"/>
            </w:pPr>
            <w:r>
              <w:rPr>
                <w:sz w:val="16"/>
              </w:rPr>
              <w:t>Estado pendiente/completado</w:t>
            </w:r>
          </w:p>
        </w:tc>
        <w:tc>
          <w:tcPr>
            <w:tcW w:type="dxa" w:w="3154"/>
            <w:vAlign w:val="center"/>
            <w:shd w:fill="F6F8F9"/>
          </w:tcPr>
          <w:p>
            <w:pPr>
              <w:spacing w:after="40" w:before="40"/>
            </w:pPr>
            <w:r>
              <w:rPr>
                <w:sz w:val="16"/>
              </w:rPr>
              <w:t>Completar solo cuando se satisfagan los campos requeridos</w:t>
            </w:r>
          </w:p>
        </w:tc>
      </w:tr>
      <w:tr>
        <w:tc>
          <w:tcPr>
            <w:tcW w:type="dxa" w:w="3154"/>
            <w:vAlign w:val="center"/>
          </w:tcPr>
          <w:p>
            <w:pPr>
              <w:spacing w:after="40" w:before="40"/>
            </w:pPr>
            <w:r>
              <w:rPr>
                <w:sz w:val="16"/>
              </w:rPr>
              <w:t>Personas</w:t>
            </w:r>
          </w:p>
        </w:tc>
        <w:tc>
          <w:tcPr>
            <w:tcW w:type="dxa" w:w="3154"/>
            <w:vAlign w:val="center"/>
          </w:tcPr>
          <w:p>
            <w:pPr>
              <w:spacing w:after="40" w:before="40"/>
            </w:pPr>
            <w:r>
              <w:rPr>
                <w:sz w:val="16"/>
              </w:rPr>
              <w:t>Zona y afiliación</w:t>
            </w:r>
          </w:p>
        </w:tc>
        <w:tc>
          <w:tcPr>
            <w:tcW w:type="dxa" w:w="3154"/>
            <w:vAlign w:val="center"/>
          </w:tcPr>
          <w:p>
            <w:pPr>
              <w:spacing w:after="40" w:before="40"/>
            </w:pPr>
            <w:r>
              <w:rPr>
                <w:sz w:val="16"/>
              </w:rPr>
              <w:t>Verificar categorías configuradas por la junta</w:t>
            </w:r>
          </w:p>
        </w:tc>
      </w:tr>
      <w:tr>
        <w:tc>
          <w:tcPr>
            <w:tcW w:type="dxa" w:w="3154"/>
            <w:vAlign w:val="center"/>
            <w:shd w:fill="F6F8F9"/>
          </w:tcPr>
          <w:p>
            <w:pPr>
              <w:spacing w:after="40" w:before="40"/>
            </w:pPr>
            <w:r>
              <w:rPr>
                <w:sz w:val="16"/>
              </w:rPr>
              <w:t>Personas</w:t>
            </w:r>
          </w:p>
        </w:tc>
        <w:tc>
          <w:tcPr>
            <w:tcW w:type="dxa" w:w="3154"/>
            <w:vAlign w:val="center"/>
            <w:shd w:fill="F6F8F9"/>
          </w:tcPr>
          <w:p>
            <w:pPr>
              <w:spacing w:after="40" w:before="40"/>
            </w:pPr>
            <w:r>
              <w:rPr>
                <w:sz w:val="16"/>
              </w:rPr>
              <w:t>Fecha de registro</w:t>
            </w:r>
          </w:p>
        </w:tc>
        <w:tc>
          <w:tcPr>
            <w:tcW w:type="dxa" w:w="3154"/>
            <w:vAlign w:val="center"/>
            <w:shd w:fill="F6F8F9"/>
          </w:tcPr>
          <w:p>
            <w:pPr>
              <w:spacing w:after="40" w:before="40"/>
            </w:pPr>
            <w:r>
              <w:rPr>
                <w:sz w:val="16"/>
              </w:rPr>
              <w:t>Respetar orden día/mes/año y filtro inclusivo</w:t>
            </w:r>
          </w:p>
        </w:tc>
      </w:tr>
      <w:tr>
        <w:tc>
          <w:tcPr>
            <w:tcW w:type="dxa" w:w="3154"/>
            <w:vAlign w:val="center"/>
          </w:tcPr>
          <w:p>
            <w:pPr>
              <w:spacing w:after="40" w:before="40"/>
            </w:pPr>
            <w:r>
              <w:rPr>
                <w:sz w:val="16"/>
              </w:rPr>
              <w:t>Personas</w:t>
            </w:r>
          </w:p>
        </w:tc>
        <w:tc>
          <w:tcPr>
            <w:tcW w:type="dxa" w:w="3154"/>
            <w:vAlign w:val="center"/>
          </w:tcPr>
          <w:p>
            <w:pPr>
              <w:spacing w:after="40" w:before="40"/>
            </w:pPr>
            <w:r>
              <w:rPr>
                <w:sz w:val="16"/>
              </w:rPr>
              <w:t>Campo adicional</w:t>
            </w:r>
          </w:p>
        </w:tc>
        <w:tc>
          <w:tcPr>
            <w:tcW w:type="dxa" w:w="3154"/>
            <w:vAlign w:val="center"/>
          </w:tcPr>
          <w:p>
            <w:pPr>
              <w:spacing w:after="40" w:before="40"/>
            </w:pPr>
            <w:r>
              <w:rPr>
                <w:sz w:val="16"/>
              </w:rPr>
              <w:t>Consultar su definición antes de capturar datos</w:t>
            </w:r>
          </w:p>
        </w:tc>
      </w:tr>
      <w:tr>
        <w:tc>
          <w:tcPr>
            <w:tcW w:type="dxa" w:w="3154"/>
            <w:vAlign w:val="center"/>
            <w:shd w:fill="F6F8F9"/>
          </w:tcPr>
          <w:p>
            <w:pPr>
              <w:spacing w:after="40" w:before="40"/>
            </w:pPr>
            <w:r>
              <w:rPr>
                <w:sz w:val="16"/>
              </w:rPr>
              <w:t>Calendario</w:t>
            </w:r>
          </w:p>
        </w:tc>
        <w:tc>
          <w:tcPr>
            <w:tcW w:type="dxa" w:w="3154"/>
            <w:vAlign w:val="center"/>
            <w:shd w:fill="F6F8F9"/>
          </w:tcPr>
          <w:p>
            <w:pPr>
              <w:spacing w:after="40" w:before="40"/>
            </w:pPr>
            <w:r>
              <w:rPr>
                <w:sz w:val="16"/>
              </w:rPr>
              <w:t>Título ES / EN</w:t>
            </w:r>
          </w:p>
        </w:tc>
        <w:tc>
          <w:tcPr>
            <w:tcW w:type="dxa" w:w="3154"/>
            <w:vAlign w:val="center"/>
            <w:shd w:fill="F6F8F9"/>
          </w:tcPr>
          <w:p>
            <w:pPr>
              <w:spacing w:after="40" w:before="40"/>
            </w:pPr>
            <w:r>
              <w:rPr>
                <w:sz w:val="16"/>
              </w:rPr>
              <w:t>Escribir ambas versiones si el formulario las solicita</w:t>
            </w:r>
          </w:p>
        </w:tc>
      </w:tr>
      <w:tr>
        <w:tc>
          <w:tcPr>
            <w:tcW w:type="dxa" w:w="3154"/>
            <w:vAlign w:val="center"/>
          </w:tcPr>
          <w:p>
            <w:pPr>
              <w:spacing w:after="40" w:before="40"/>
            </w:pPr>
            <w:r>
              <w:rPr>
                <w:sz w:val="16"/>
              </w:rPr>
              <w:t>Calendario</w:t>
            </w:r>
          </w:p>
        </w:tc>
        <w:tc>
          <w:tcPr>
            <w:tcW w:type="dxa" w:w="3154"/>
            <w:vAlign w:val="center"/>
          </w:tcPr>
          <w:p>
            <w:pPr>
              <w:spacing w:after="40" w:before="40"/>
            </w:pPr>
            <w:r>
              <w:rPr>
                <w:sz w:val="16"/>
              </w:rPr>
              <w:t>Inicio y fin</w:t>
            </w:r>
          </w:p>
        </w:tc>
        <w:tc>
          <w:tcPr>
            <w:tcW w:type="dxa" w:w="3154"/>
            <w:vAlign w:val="center"/>
          </w:tcPr>
          <w:p>
            <w:pPr>
              <w:spacing w:after="40" w:before="40"/>
            </w:pPr>
            <w:r>
              <w:rPr>
                <w:sz w:val="16"/>
              </w:rPr>
              <w:t>Verificar fecha, hora y zona horaria de Colombia</w:t>
            </w:r>
          </w:p>
        </w:tc>
      </w:tr>
      <w:tr>
        <w:tc>
          <w:tcPr>
            <w:tcW w:type="dxa" w:w="3154"/>
            <w:vAlign w:val="center"/>
            <w:shd w:fill="F6F8F9"/>
          </w:tcPr>
          <w:p>
            <w:pPr>
              <w:spacing w:after="40" w:before="40"/>
            </w:pPr>
            <w:r>
              <w:rPr>
                <w:sz w:val="16"/>
              </w:rPr>
              <w:t>Calendario</w:t>
            </w:r>
          </w:p>
        </w:tc>
        <w:tc>
          <w:tcPr>
            <w:tcW w:type="dxa" w:w="3154"/>
            <w:vAlign w:val="center"/>
            <w:shd w:fill="F6F8F9"/>
          </w:tcPr>
          <w:p>
            <w:pPr>
              <w:spacing w:after="40" w:before="40"/>
            </w:pPr>
            <w:r>
              <w:rPr>
                <w:sz w:val="16"/>
              </w:rPr>
              <w:t>Recordatorio 24 h / 1 h</w:t>
            </w:r>
          </w:p>
        </w:tc>
        <w:tc>
          <w:tcPr>
            <w:tcW w:type="dxa" w:w="3154"/>
            <w:vAlign w:val="center"/>
            <w:shd w:fill="F6F8F9"/>
          </w:tcPr>
          <w:p>
            <w:pPr>
              <w:spacing w:after="40" w:before="40"/>
            </w:pPr>
            <w:r>
              <w:rPr>
                <w:sz w:val="16"/>
              </w:rPr>
              <w:t>Elegir según el caso; ninguna también es válida</w:t>
            </w:r>
          </w:p>
        </w:tc>
      </w:tr>
      <w:tr>
        <w:tc>
          <w:tcPr>
            <w:tcW w:type="dxa" w:w="3154"/>
            <w:vAlign w:val="center"/>
          </w:tcPr>
          <w:p>
            <w:pPr>
              <w:spacing w:after="40" w:before="40"/>
            </w:pPr>
            <w:r>
              <w:rPr>
                <w:sz w:val="16"/>
              </w:rPr>
              <w:t>Tesorería</w:t>
            </w:r>
          </w:p>
        </w:tc>
        <w:tc>
          <w:tcPr>
            <w:tcW w:type="dxa" w:w="3154"/>
            <w:vAlign w:val="center"/>
          </w:tcPr>
          <w:p>
            <w:pPr>
              <w:spacing w:after="40" w:before="40"/>
            </w:pPr>
            <w:r>
              <w:rPr>
                <w:sz w:val="16"/>
              </w:rPr>
              <w:t>Importe COP</w:t>
            </w:r>
          </w:p>
        </w:tc>
        <w:tc>
          <w:tcPr>
            <w:tcW w:type="dxa" w:w="3154"/>
            <w:vAlign w:val="center"/>
          </w:tcPr>
          <w:p>
            <w:pPr>
              <w:spacing w:after="40" w:before="40"/>
            </w:pPr>
            <w:r>
              <w:rPr>
                <w:sz w:val="16"/>
              </w:rPr>
              <w:t>Cantidad positiva, sin confundir ingreso y egreso</w:t>
            </w:r>
          </w:p>
        </w:tc>
      </w:tr>
      <w:tr>
        <w:tc>
          <w:tcPr>
            <w:tcW w:type="dxa" w:w="3154"/>
            <w:vAlign w:val="center"/>
            <w:shd w:fill="F6F8F9"/>
          </w:tcPr>
          <w:p>
            <w:pPr>
              <w:spacing w:after="40" w:before="40"/>
            </w:pPr>
            <w:r>
              <w:rPr>
                <w:sz w:val="16"/>
              </w:rPr>
              <w:t>Tesorería</w:t>
            </w:r>
          </w:p>
        </w:tc>
        <w:tc>
          <w:tcPr>
            <w:tcW w:type="dxa" w:w="3154"/>
            <w:vAlign w:val="center"/>
            <w:shd w:fill="F6F8F9"/>
          </w:tcPr>
          <w:p>
            <w:pPr>
              <w:spacing w:after="40" w:before="40"/>
            </w:pPr>
            <w:r>
              <w:rPr>
                <w:sz w:val="16"/>
              </w:rPr>
              <w:t>Fecha efectiva</w:t>
            </w:r>
          </w:p>
        </w:tc>
        <w:tc>
          <w:tcPr>
            <w:tcW w:type="dxa" w:w="3154"/>
            <w:vAlign w:val="center"/>
            <w:shd w:fill="F6F8F9"/>
          </w:tcPr>
          <w:p>
            <w:pPr>
              <w:spacing w:after="40" w:before="40"/>
            </w:pPr>
            <w:r>
              <w:rPr>
                <w:sz w:val="16"/>
              </w:rPr>
              <w:t>No reemplaza el orden de confirmación del comprobante</w:t>
            </w:r>
          </w:p>
        </w:tc>
      </w:tr>
      <w:tr>
        <w:tc>
          <w:tcPr>
            <w:tcW w:type="dxa" w:w="3154"/>
            <w:vAlign w:val="center"/>
          </w:tcPr>
          <w:p>
            <w:pPr>
              <w:spacing w:after="40" w:before="40"/>
            </w:pPr>
            <w:r>
              <w:rPr>
                <w:sz w:val="16"/>
              </w:rPr>
              <w:t>Tesorería</w:t>
            </w:r>
          </w:p>
        </w:tc>
        <w:tc>
          <w:tcPr>
            <w:tcW w:type="dxa" w:w="3154"/>
            <w:vAlign w:val="center"/>
          </w:tcPr>
          <w:p>
            <w:pPr>
              <w:spacing w:after="40" w:before="40"/>
            </w:pPr>
            <w:r>
              <w:rPr>
                <w:sz w:val="16"/>
              </w:rPr>
              <w:t>Referencia de soporte</w:t>
            </w:r>
          </w:p>
        </w:tc>
        <w:tc>
          <w:tcPr>
            <w:tcW w:type="dxa" w:w="3154"/>
            <w:vAlign w:val="center"/>
          </w:tcPr>
          <w:p>
            <w:pPr>
              <w:spacing w:after="40" w:before="40"/>
            </w:pPr>
            <w:r>
              <w:rPr>
                <w:sz w:val="16"/>
              </w:rPr>
              <w:t>Solo identificador pertinente; evitar datos confidenciales</w:t>
            </w:r>
          </w:p>
        </w:tc>
      </w:tr>
      <w:tr>
        <w:tc>
          <w:tcPr>
            <w:tcW w:type="dxa" w:w="3154"/>
            <w:vAlign w:val="center"/>
            <w:shd w:fill="F6F8F9"/>
          </w:tcPr>
          <w:p>
            <w:pPr>
              <w:spacing w:after="40" w:before="40"/>
            </w:pPr>
            <w:r>
              <w:rPr>
                <w:sz w:val="16"/>
              </w:rPr>
              <w:t>Inventario</w:t>
            </w:r>
          </w:p>
        </w:tc>
        <w:tc>
          <w:tcPr>
            <w:tcW w:type="dxa" w:w="3154"/>
            <w:vAlign w:val="center"/>
            <w:shd w:fill="F6F8F9"/>
          </w:tcPr>
          <w:p>
            <w:pPr>
              <w:spacing w:after="40" w:before="40"/>
            </w:pPr>
            <w:r>
              <w:rPr>
                <w:sz w:val="16"/>
              </w:rPr>
              <w:t>Código del bien</w:t>
            </w:r>
          </w:p>
        </w:tc>
        <w:tc>
          <w:tcPr>
            <w:tcW w:type="dxa" w:w="3154"/>
            <w:vAlign w:val="center"/>
            <w:shd w:fill="F6F8F9"/>
          </w:tcPr>
          <w:p>
            <w:pPr>
              <w:spacing w:after="40" w:before="40"/>
            </w:pPr>
            <w:r>
              <w:rPr>
                <w:sz w:val="16"/>
              </w:rPr>
              <w:t>Código propio de la junta; revisar duplicados</w:t>
            </w:r>
          </w:p>
        </w:tc>
      </w:tr>
      <w:tr>
        <w:tc>
          <w:tcPr>
            <w:tcW w:type="dxa" w:w="3154"/>
            <w:vAlign w:val="center"/>
          </w:tcPr>
          <w:p>
            <w:pPr>
              <w:spacing w:after="40" w:before="40"/>
            </w:pPr>
            <w:r>
              <w:rPr>
                <w:sz w:val="16"/>
              </w:rPr>
              <w:t>Inventario</w:t>
            </w:r>
          </w:p>
        </w:tc>
        <w:tc>
          <w:tcPr>
            <w:tcW w:type="dxa" w:w="3154"/>
            <w:vAlign w:val="center"/>
          </w:tcPr>
          <w:p>
            <w:pPr>
              <w:spacing w:after="40" w:before="40"/>
            </w:pPr>
            <w:r>
              <w:rPr>
                <w:sz w:val="16"/>
              </w:rPr>
              <w:t>Entrada/salida/ajuste</w:t>
            </w:r>
          </w:p>
        </w:tc>
        <w:tc>
          <w:tcPr>
            <w:tcW w:type="dxa" w:w="3154"/>
            <w:vAlign w:val="center"/>
          </w:tcPr>
          <w:p>
            <w:pPr>
              <w:spacing w:after="40" w:before="40"/>
            </w:pPr>
            <w:r>
              <w:rPr>
                <w:sz w:val="16"/>
              </w:rPr>
              <w:t>Escoger según la variación real de existencias</w:t>
            </w:r>
          </w:p>
        </w:tc>
      </w:tr>
      <w:tr>
        <w:tc>
          <w:tcPr>
            <w:tcW w:type="dxa" w:w="3154"/>
            <w:vAlign w:val="center"/>
            <w:shd w:fill="F6F8F9"/>
          </w:tcPr>
          <w:p>
            <w:pPr>
              <w:spacing w:after="40" w:before="40"/>
            </w:pPr>
            <w:r>
              <w:rPr>
                <w:sz w:val="16"/>
              </w:rPr>
              <w:t>Carpetas</w:t>
            </w:r>
          </w:p>
        </w:tc>
        <w:tc>
          <w:tcPr>
            <w:tcW w:type="dxa" w:w="3154"/>
            <w:vAlign w:val="center"/>
            <w:shd w:fill="F6F8F9"/>
          </w:tcPr>
          <w:p>
            <w:pPr>
              <w:spacing w:after="40" w:before="40"/>
            </w:pPr>
            <w:r>
              <w:rPr>
                <w:sz w:val="16"/>
              </w:rPr>
              <w:t>Nombre ES / EN</w:t>
            </w:r>
          </w:p>
        </w:tc>
        <w:tc>
          <w:tcPr>
            <w:tcW w:type="dxa" w:w="3154"/>
            <w:vAlign w:val="center"/>
            <w:shd w:fill="F6F8F9"/>
          </w:tcPr>
          <w:p>
            <w:pPr>
              <w:spacing w:after="40" w:before="40"/>
            </w:pPr>
            <w:r>
              <w:rPr>
                <w:sz w:val="16"/>
              </w:rPr>
              <w:t>Si se usa inglés, redactarlo; no existe traducción automática</w:t>
            </w:r>
          </w:p>
        </w:tc>
      </w:tr>
      <w:tr>
        <w:tc>
          <w:tcPr>
            <w:tcW w:type="dxa" w:w="3154"/>
            <w:vAlign w:val="center"/>
          </w:tcPr>
          <w:p>
            <w:pPr>
              <w:spacing w:after="40" w:before="40"/>
            </w:pPr>
            <w:r>
              <w:rPr>
                <w:sz w:val="16"/>
              </w:rPr>
              <w:t>Carpetas</w:t>
            </w:r>
          </w:p>
        </w:tc>
        <w:tc>
          <w:tcPr>
            <w:tcW w:type="dxa" w:w="3154"/>
            <w:vAlign w:val="center"/>
          </w:tcPr>
          <w:p>
            <w:pPr>
              <w:spacing w:after="40" w:before="40"/>
            </w:pPr>
            <w:r>
              <w:rPr>
                <w:sz w:val="16"/>
              </w:rPr>
              <w:t>Destino de movimiento</w:t>
            </w:r>
          </w:p>
        </w:tc>
        <w:tc>
          <w:tcPr>
            <w:tcW w:type="dxa" w:w="3154"/>
            <w:vAlign w:val="center"/>
          </w:tcPr>
          <w:p>
            <w:pPr>
              <w:spacing w:after="40" w:before="40"/>
            </w:pPr>
            <w:r>
              <w:rPr>
                <w:sz w:val="16"/>
              </w:rPr>
              <w:t>Comprobar la ruta y que no sea descendiente</w:t>
            </w:r>
          </w:p>
        </w:tc>
      </w:tr>
      <w:tr>
        <w:tc>
          <w:tcPr>
            <w:tcW w:type="dxa" w:w="3154"/>
            <w:vAlign w:val="center"/>
            <w:shd w:fill="F6F8F9"/>
          </w:tcPr>
          <w:p>
            <w:pPr>
              <w:spacing w:after="40" w:before="40"/>
            </w:pPr>
            <w:r>
              <w:rPr>
                <w:sz w:val="16"/>
              </w:rPr>
              <w:t>Notificaciones</w:t>
            </w:r>
          </w:p>
        </w:tc>
        <w:tc>
          <w:tcPr>
            <w:tcW w:type="dxa" w:w="3154"/>
            <w:vAlign w:val="center"/>
            <w:shd w:fill="F6F8F9"/>
          </w:tcPr>
          <w:p>
            <w:pPr>
              <w:spacing w:after="40" w:before="40"/>
            </w:pPr>
            <w:r>
              <w:rPr>
                <w:sz w:val="16"/>
              </w:rPr>
              <w:t>Horario de silencio</w:t>
            </w:r>
          </w:p>
        </w:tc>
        <w:tc>
          <w:tcPr>
            <w:tcW w:type="dxa" w:w="3154"/>
            <w:vAlign w:val="center"/>
            <w:shd w:fill="F6F8F9"/>
          </w:tcPr>
          <w:p>
            <w:pPr>
              <w:spacing w:after="40" w:before="40"/>
            </w:pPr>
            <w:r>
              <w:rPr>
                <w:sz w:val="16"/>
              </w:rPr>
              <w:t>Cambia visibilidad de avisos, no registros históricos</w:t>
            </w:r>
          </w:p>
        </w:tc>
      </w:tr>
    </w:tbl>
    <w:p>
      <w:pPr>
        <w:spacing w:after="40"/>
      </w:pPr>
    </w:p>
    <w:p>
      <w:pPr>
        <w:pStyle w:val="Heading1"/>
      </w:pPr>
      <w:r>
        <w:t>22. Consultas frecuentes de los usuarios</w:t>
      </w:r>
    </w:p>
    <w:p>
      <w:pPr>
        <w:pStyle w:val="Heading2"/>
      </w:pPr>
      <w:r>
        <w:t>¿Puedo ver registros de otra junta?</w:t>
      </w:r>
    </w:p>
    <w:p>
      <w:r>
        <w:t>Solo si tu cuenta tiene una membresía y sesión válida para esa otra junta. Cambiar el texto de una URL no habilita una consulta de datos ajenos.</w:t>
      </w:r>
    </w:p>
    <w:p>
      <w:pPr>
        <w:pStyle w:val="Heading2"/>
      </w:pPr>
      <w:r>
        <w:t>¿Por qué a mí no me aparece una opción que ve un compañero?</w:t>
      </w:r>
    </w:p>
    <w:p>
      <w:r>
        <w:t>Los menús y acciones dependen del rol y de delegaciones propias de la junta. Además, algunas funciones todavía no están implementadas en este incremento.</w:t>
      </w:r>
    </w:p>
    <w:p>
      <w:pPr>
        <w:pStyle w:val="Heading2"/>
      </w:pPr>
      <w:r>
        <w:t>¿Cómo corrijo una persona guardada con datos incompletos?</w:t>
      </w:r>
    </w:p>
    <w:p>
      <w:r>
        <w:t>Localiza la ficha existente y edítala con un rol autorizado. Evita crear un registro nuevo solo para pasarla a Completado.</w:t>
      </w:r>
    </w:p>
    <w:p>
      <w:pPr>
        <w:pStyle w:val="Heading2"/>
      </w:pPr>
      <w:r>
        <w:t>¿Puedo borrar un ingreso de Tesorería y volverlo a registrar?</w:t>
      </w:r>
    </w:p>
    <w:p>
      <w:r>
        <w:t>Un movimiento confirmado permanece en la historia. Se corrige mediante un reverso motivado, sujeto a las reglas de saldo.</w:t>
      </w:r>
    </w:p>
    <w:p>
      <w:pPr>
        <w:pStyle w:val="Heading2"/>
      </w:pPr>
      <w:r>
        <w:t>¿Por qué el historial filtrado no coincide con el saldo actual?</w:t>
      </w:r>
    </w:p>
    <w:p>
      <w:r>
        <w:t>El filtro muestra solo algunos asientos, mientras el saldo refleja todos los confirmados. El saldo tras asiento es histórico y no se recalcula por fechas.</w:t>
      </w:r>
    </w:p>
    <w:p>
      <w:pPr>
        <w:pStyle w:val="Heading2"/>
      </w:pPr>
      <w:r>
        <w:t>¿Una invitación enviada ya significa que la persona es integrante?</w:t>
      </w:r>
    </w:p>
    <w:p>
      <w:r>
        <w:t>No. La persona debe aceptar el enlace vigente y completar su proceso de acceso. La invitación se crea por separado de la vinculación efectiva.</w:t>
      </w:r>
    </w:p>
    <w:p>
      <w:pPr>
        <w:pStyle w:val="Heading2"/>
      </w:pPr>
      <w:r>
        <w:t>¿Puedo delegar a un consultor la edición de una carpeta?</w:t>
      </w:r>
    </w:p>
    <w:p>
      <w:r>
        <w:t>No con el alcance actual. La delegación de carpeta permite lectura, vista previa y descarga, pero las escrituras corresponden a administradores.</w:t>
      </w:r>
    </w:p>
    <w:p>
      <w:pPr>
        <w:pStyle w:val="Heading2"/>
      </w:pPr>
      <w:r>
        <w:t>¿Qué significa conflicto de versión?</w:t>
      </w:r>
    </w:p>
    <w:p>
      <w:r>
        <w:t>Que otra operación actualizó el recurso antes de guardar tus cambios. Actualiza y revisa el estado más reciente antes de intentar otra vez.</w:t>
      </w:r>
    </w:p>
    <w:p>
      <w:pPr>
        <w:pStyle w:val="Heading2"/>
      </w:pPr>
      <w:r>
        <w:t>¿Por qué un archivo DOCX válido puede ser rechazado?</w:t>
      </w:r>
    </w:p>
    <w:p>
      <w:r>
        <w:t>Además del formato se revisan tamaño, autorización, cuota y antivirus. Es necesario leer el mensaje preciso antes de reportar un fallo.</w:t>
      </w:r>
    </w:p>
    <w:p>
      <w:pPr>
        <w:pStyle w:val="Heading2"/>
      </w:pPr>
      <w:r>
        <w:t>¿No molestar evita que se guarden notificaciones?</w:t>
      </w:r>
    </w:p>
    <w:p>
      <w:r>
        <w:t>No. Puede ocultar el distintivo; las reglas de entrega y preferencias determinan qué se muestra en bandeja, sin cambiar los permisos de acceso.</w:t>
      </w:r>
    </w:p>
    <w:p>
      <w:pPr>
        <w:pStyle w:val="Heading2"/>
      </w:pPr>
      <w:r>
        <w:t>¿La aplicación Windows funciona sin conexión?</w:t>
      </w:r>
    </w:p>
    <w:p>
      <w:r>
        <w:t>No en el diseño actual. Electron abre la interfaz del servidor; si el servicio no está disponible, no se dispone de una base local independiente.</w:t>
      </w:r>
    </w:p>
    <w:p>
      <w:pPr>
        <w:pStyle w:val="Heading2"/>
      </w:pPr>
      <w:r>
        <w:t>¿La aplicación Android está completamente terminada?</w:t>
      </w:r>
    </w:p>
    <w:p>
      <w:r>
        <w:t>No. La versión nativa continúa parcial; la exposición utiliza Expo Go para los recorridos verificados de autenticación, Inicio, Personas, Agenda, Avisos y Perfil.</w:t>
      </w:r>
    </w:p>
    <w:p>
      <w:pPr>
        <w:pStyle w:val="Heading2"/>
      </w:pPr>
      <w:r>
        <w:t>¿Puedo obtener reportes generales de todos los módulos?</w:t>
      </w:r>
    </w:p>
    <w:p>
      <w:r>
        <w:t>Existen exportaciones específicas de Personas, Tesorería, Inventario y Auditoría. El microservicio de reportes especializado continúa pendiente.</w:t>
      </w:r>
    </w:p>
    <w:p>
      <w:pPr>
        <w:pStyle w:val="Heading2"/>
      </w:pPr>
      <w:r>
        <w:t>¿Quién puede ver Auditoría?</w:t>
      </w:r>
    </w:p>
    <w:p>
      <w:r>
        <w:t>Los roles autorizados de administración y auditoría según los permisos de la junta; no todos los integrantes pueden consultar o exportar esa información.</w:t>
      </w:r>
    </w:p>
    <w:p>
      <w:pPr>
        <w:pStyle w:val="Heading1"/>
      </w:pPr>
      <w:r>
        <w:t>23. Secuencias de capacitación sugeridas</w:t>
      </w:r>
    </w:p>
    <w:p>
      <w:pPr>
        <w:pStyle w:val="Heading2"/>
      </w:pPr>
      <w:r>
        <w:t>23.1 Primer recorrido: registrador</w:t>
      </w:r>
    </w:p>
    <w:p>
      <w:r>
        <w:t>El objetivo es que una persona con rol RE identifique su junta activa, consulte el listado, utilice los filtros configurados y cree una ficha Pendiente. A continuación abre la ficha existente, completa un campo autorizado y verifica el resultado. El ejercicio termina al demostrar que no aparece una acción reservada a Tesorería o a administración de carpetas.</w:t>
      </w:r>
    </w:p>
    <w:p>
      <w:pPr>
        <w:pStyle w:val="Heading2"/>
      </w:pPr>
      <w:r>
        <w:t>23.2 Segundo recorrido: tesorero</w:t>
      </w:r>
    </w:p>
    <w:p>
      <w:r>
        <w:t>El objetivo es registrar un ingreso informativo de prueba y consultar el comprobante. El usuario registra una cantidad simbólica en una junta ficticia, consulta el saldo, descarga el documento permitido y, si necesita corregir, ejecuta el reverso con un motivo claro. El ejercicio termina con ambos asientos visibles en el historial.</w:t>
      </w:r>
    </w:p>
    <w:p>
      <w:pPr>
        <w:pStyle w:val="Heading2"/>
      </w:pPr>
      <w:r>
        <w:t>23.3 Tercer recorrido: administrador</w:t>
      </w:r>
    </w:p>
    <w:p>
      <w:r>
        <w:t>El administrador revisa roles y datos de una junta ficticia, prepara una carpeta con nombre bilingüe, carga un documento permitido y concede lectura a un consultor. Debe comprobar en una sesión separada que la persona invitada puede leer pero no modificar y que la revocación deja de autorizar nuevas descargas.</w:t>
      </w:r>
    </w:p>
    <w:p>
      <w:pPr>
        <w:pStyle w:val="Heading2"/>
      </w:pPr>
      <w:r>
        <w:t>23.4 Cuarto recorrido: auditor</w:t>
      </w:r>
    </w:p>
    <w:p>
      <w:r>
        <w:t>Una persona con rol de auditor consulta eventos de la junta, aplica un filtro y descarga únicamente los datos que está autorizada a conservar. No intenta alterar asientos ni permisos; comunica anomalías de forma verificable al administrador.</w:t>
      </w:r>
    </w:p>
    <w:p>
      <w:pPr>
        <w:pStyle w:val="Heading1"/>
      </w:pPr>
      <w:r>
        <w:t>24. Referencias internas para ampliar procedimientos</w:t>
      </w:r>
    </w:p>
    <w:tbl>
      <w:tblPr>
        <w:tblStyle w:val="TableGrid"/>
        <w:tblW w:type="auto" w:w="0"/>
        <w:jc w:val="center"/>
        <w:tblLook w:firstColumn="1" w:firstRow="1" w:lastColumn="0" w:lastRow="0" w:noHBand="0" w:noVBand="1" w:val="04A0"/>
      </w:tblPr>
      <w:tblGrid>
        <w:gridCol w:w="4730"/>
        <w:gridCol w:w="4730"/>
      </w:tblGrid>
      <w:tr>
        <w:trPr>
          <w:tblHeader w:val="true"/>
        </w:trPr>
        <w:tc>
          <w:tcPr>
            <w:tcW w:type="dxa" w:w="4730"/>
            <w:shd w:fill="E9EEF2"/>
          </w:tcPr>
          <w:p>
            <w:r>
              <w:rPr>
                <w:b/>
                <w:sz w:val="17"/>
              </w:rPr>
              <w:t>Tema</w:t>
            </w:r>
          </w:p>
        </w:tc>
        <w:tc>
          <w:tcPr>
            <w:tcW w:type="dxa" w:w="4730"/>
            <w:shd w:fill="E9EEF2"/>
          </w:tcPr>
          <w:p>
            <w:r>
              <w:rPr>
                <w:b/>
                <w:sz w:val="17"/>
              </w:rPr>
              <w:t>Documento del proyecto</w:t>
            </w:r>
          </w:p>
        </w:tc>
      </w:tr>
      <w:tr>
        <w:tc>
          <w:tcPr>
            <w:tcW w:type="dxa" w:w="4730"/>
            <w:vAlign w:val="center"/>
          </w:tcPr>
          <w:p>
            <w:pPr>
              <w:spacing w:after="40" w:before="40"/>
            </w:pPr>
            <w:r>
              <w:rPr>
                <w:sz w:val="16"/>
              </w:rPr>
              <w:t>Acceso, usuarios y permisos</w:t>
            </w:r>
          </w:p>
        </w:tc>
        <w:tc>
          <w:tcPr>
            <w:tcW w:type="dxa" w:w="4730"/>
            <w:vAlign w:val="center"/>
          </w:tcPr>
          <w:p>
            <w:pPr>
              <w:spacing w:after="40" w:before="40"/>
            </w:pPr>
            <w:r>
              <w:rPr>
                <w:sz w:val="16"/>
              </w:rPr>
              <w:t>docs/PERMISOS.md y docs/ADMINISTRACION-JUNTAS.md</w:t>
            </w:r>
          </w:p>
        </w:tc>
      </w:tr>
      <w:tr>
        <w:tc>
          <w:tcPr>
            <w:tcW w:type="dxa" w:w="4730"/>
            <w:vAlign w:val="center"/>
            <w:shd w:fill="F6F8F9"/>
          </w:tcPr>
          <w:p>
            <w:pPr>
              <w:spacing w:after="40" w:before="40"/>
            </w:pPr>
            <w:r>
              <w:rPr>
                <w:sz w:val="16"/>
              </w:rPr>
              <w:t>Fichas y búsqueda</w:t>
            </w:r>
          </w:p>
        </w:tc>
        <w:tc>
          <w:tcPr>
            <w:tcW w:type="dxa" w:w="4730"/>
            <w:vAlign w:val="center"/>
            <w:shd w:fill="F6F8F9"/>
          </w:tcPr>
          <w:p>
            <w:pPr>
              <w:spacing w:after="40" w:before="40"/>
            </w:pPr>
            <w:r>
              <w:rPr>
                <w:sz w:val="16"/>
              </w:rPr>
              <w:t>docs/CAMPOS-ADICIONALES.md y docs/BUSQUEDA.md</w:t>
            </w:r>
          </w:p>
        </w:tc>
      </w:tr>
      <w:tr>
        <w:tc>
          <w:tcPr>
            <w:tcW w:type="dxa" w:w="4730"/>
            <w:vAlign w:val="center"/>
          </w:tcPr>
          <w:p>
            <w:pPr>
              <w:spacing w:after="40" w:before="40"/>
            </w:pPr>
            <w:r>
              <w:rPr>
                <w:sz w:val="16"/>
              </w:rPr>
              <w:t>Calendario</w:t>
            </w:r>
          </w:p>
        </w:tc>
        <w:tc>
          <w:tcPr>
            <w:tcW w:type="dxa" w:w="4730"/>
            <w:vAlign w:val="center"/>
          </w:tcPr>
          <w:p>
            <w:pPr>
              <w:spacing w:after="40" w:before="40"/>
            </w:pPr>
            <w:r>
              <w:rPr>
                <w:sz w:val="16"/>
              </w:rPr>
              <w:t>docs/CALENDARIO.md</w:t>
            </w:r>
          </w:p>
        </w:tc>
      </w:tr>
      <w:tr>
        <w:tc>
          <w:tcPr>
            <w:tcW w:type="dxa" w:w="4730"/>
            <w:vAlign w:val="center"/>
            <w:shd w:fill="F6F8F9"/>
          </w:tcPr>
          <w:p>
            <w:pPr>
              <w:spacing w:after="40" w:before="40"/>
            </w:pPr>
            <w:r>
              <w:rPr>
                <w:sz w:val="16"/>
              </w:rPr>
              <w:t>Carpetas y carga</w:t>
            </w:r>
          </w:p>
        </w:tc>
        <w:tc>
          <w:tcPr>
            <w:tcW w:type="dxa" w:w="4730"/>
            <w:vAlign w:val="center"/>
            <w:shd w:fill="F6F8F9"/>
          </w:tcPr>
          <w:p>
            <w:pPr>
              <w:spacing w:after="40" w:before="40"/>
            </w:pPr>
            <w:r>
              <w:rPr>
                <w:sz w:val="16"/>
              </w:rPr>
              <w:t>docs/CARPETAS.md y docs/DOCUMENTOS-PRIVADOS.md</w:t>
            </w:r>
          </w:p>
        </w:tc>
      </w:tr>
      <w:tr>
        <w:tc>
          <w:tcPr>
            <w:tcW w:type="dxa" w:w="4730"/>
            <w:vAlign w:val="center"/>
          </w:tcPr>
          <w:p>
            <w:pPr>
              <w:spacing w:after="40" w:before="40"/>
            </w:pPr>
            <w:r>
              <w:rPr>
                <w:sz w:val="16"/>
              </w:rPr>
              <w:t>Tesorería</w:t>
            </w:r>
          </w:p>
        </w:tc>
        <w:tc>
          <w:tcPr>
            <w:tcW w:type="dxa" w:w="4730"/>
            <w:vAlign w:val="center"/>
          </w:tcPr>
          <w:p>
            <w:pPr>
              <w:spacing w:after="40" w:before="40"/>
            </w:pPr>
            <w:r>
              <w:rPr>
                <w:sz w:val="16"/>
              </w:rPr>
              <w:t>docs/TESORERIA.md</w:t>
            </w:r>
          </w:p>
        </w:tc>
      </w:tr>
      <w:tr>
        <w:tc>
          <w:tcPr>
            <w:tcW w:type="dxa" w:w="4730"/>
            <w:vAlign w:val="center"/>
            <w:shd w:fill="F6F8F9"/>
          </w:tcPr>
          <w:p>
            <w:pPr>
              <w:spacing w:after="40" w:before="40"/>
            </w:pPr>
            <w:r>
              <w:rPr>
                <w:sz w:val="16"/>
              </w:rPr>
              <w:t>Inventario</w:t>
            </w:r>
          </w:p>
        </w:tc>
        <w:tc>
          <w:tcPr>
            <w:tcW w:type="dxa" w:w="4730"/>
            <w:vAlign w:val="center"/>
            <w:shd w:fill="F6F8F9"/>
          </w:tcPr>
          <w:p>
            <w:pPr>
              <w:spacing w:after="40" w:before="40"/>
            </w:pPr>
            <w:r>
              <w:rPr>
                <w:sz w:val="16"/>
              </w:rPr>
              <w:t>docs/INVENTARIO.md</w:t>
            </w:r>
          </w:p>
        </w:tc>
      </w:tr>
      <w:tr>
        <w:tc>
          <w:tcPr>
            <w:tcW w:type="dxa" w:w="4730"/>
            <w:vAlign w:val="center"/>
          </w:tcPr>
          <w:p>
            <w:pPr>
              <w:spacing w:after="40" w:before="40"/>
            </w:pPr>
            <w:r>
              <w:rPr>
                <w:sz w:val="16"/>
              </w:rPr>
              <w:t>Chat</w:t>
            </w:r>
          </w:p>
        </w:tc>
        <w:tc>
          <w:tcPr>
            <w:tcW w:type="dxa" w:w="4730"/>
            <w:vAlign w:val="center"/>
          </w:tcPr>
          <w:p>
            <w:pPr>
              <w:spacing w:after="40" w:before="40"/>
            </w:pPr>
            <w:r>
              <w:rPr>
                <w:sz w:val="16"/>
              </w:rPr>
              <w:t>docs/CHAT.md</w:t>
            </w:r>
          </w:p>
        </w:tc>
      </w:tr>
      <w:tr>
        <w:tc>
          <w:tcPr>
            <w:tcW w:type="dxa" w:w="4730"/>
            <w:vAlign w:val="center"/>
            <w:shd w:fill="F6F8F9"/>
          </w:tcPr>
          <w:p>
            <w:pPr>
              <w:spacing w:after="40" w:before="40"/>
            </w:pPr>
            <w:r>
              <w:rPr>
                <w:sz w:val="16"/>
              </w:rPr>
              <w:t>Avisos</w:t>
            </w:r>
          </w:p>
        </w:tc>
        <w:tc>
          <w:tcPr>
            <w:tcW w:type="dxa" w:w="4730"/>
            <w:vAlign w:val="center"/>
            <w:shd w:fill="F6F8F9"/>
          </w:tcPr>
          <w:p>
            <w:pPr>
              <w:spacing w:after="40" w:before="40"/>
            </w:pPr>
            <w:r>
              <w:rPr>
                <w:sz w:val="16"/>
              </w:rPr>
              <w:t>docs/NOTIFICACIONES.md</w:t>
            </w:r>
          </w:p>
        </w:tc>
      </w:tr>
      <w:tr>
        <w:tc>
          <w:tcPr>
            <w:tcW w:type="dxa" w:w="4730"/>
            <w:vAlign w:val="center"/>
          </w:tcPr>
          <w:p>
            <w:pPr>
              <w:spacing w:after="40" w:before="40"/>
            </w:pPr>
            <w:r>
              <w:rPr>
                <w:sz w:val="16"/>
              </w:rPr>
              <w:t>Estado</w:t>
            </w:r>
          </w:p>
        </w:tc>
        <w:tc>
          <w:tcPr>
            <w:tcW w:type="dxa" w:w="4730"/>
            <w:vAlign w:val="center"/>
          </w:tcPr>
          <w:p>
            <w:pPr>
              <w:spacing w:after="40" w:before="40"/>
            </w:pPr>
            <w:r>
              <w:rPr>
                <w:sz w:val="16"/>
              </w:rPr>
              <w:t>docs/SUPERVISION.md</w:t>
            </w:r>
          </w:p>
        </w:tc>
      </w:tr>
      <w:tr>
        <w:tc>
          <w:tcPr>
            <w:tcW w:type="dxa" w:w="4730"/>
            <w:vAlign w:val="center"/>
            <w:shd w:fill="F6F8F9"/>
          </w:tcPr>
          <w:p>
            <w:pPr>
              <w:spacing w:after="40" w:before="40"/>
            </w:pPr>
            <w:r>
              <w:rPr>
                <w:sz w:val="16"/>
              </w:rPr>
              <w:t>Cliente móvil y escritorio</w:t>
            </w:r>
          </w:p>
        </w:tc>
        <w:tc>
          <w:tcPr>
            <w:tcW w:type="dxa" w:w="4730"/>
            <w:vAlign w:val="center"/>
            <w:shd w:fill="F6F8F9"/>
          </w:tcPr>
          <w:p>
            <w:pPr>
              <w:spacing w:after="40" w:before="40"/>
            </w:pPr>
            <w:r>
              <w:rPr>
                <w:sz w:val="16"/>
              </w:rPr>
              <w:t>docs/MOVIL.md y docs/ESCRITORIO.md</w:t>
            </w:r>
          </w:p>
        </w:tc>
      </w:tr>
    </w:tbl>
    <w:p>
      <w:pPr>
        <w:spacing w:after="40"/>
      </w:pPr>
    </w:p>
    <w:p>
      <w:r>
        <w:t>La referencia corresponde al estado documentado en el código de SRD con corte del 19 de octubre de 2026. Los módulos y rutas visibles pueden variar con los permisos de la junta y las actualizaciones posteriores.</w:t>
      </w:r>
    </w:p>
    <w:sectPr w:rsidR="00FC693F" w:rsidRPr="0006063C" w:rsidSect="00034616">
      <w:headerReference w:type="default" r:id="rId9"/>
      <w:footerReference w:type="default" r:id="rId10"/>
      <w:pgSz w:w="11909" w:h="16834"/>
      <w:pgMar w:top="1224"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MU-06  ·  SRD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SRD  /  MU-06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1D2B3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205472"/>
      <w:sz w:val="28"/>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Aptos Display" w:hAnsi="Aptos Display"/>
      <w:b/>
      <w:bCs/>
      <w:color w:val="1D2B3A"/>
      <w:sz w:val="22"/>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w:hAnsi="Aptos"/>
      <w:b/>
      <w:bCs/>
      <w:color w:val="205472"/>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20" w:line="240" w:lineRule="auto" w:before="0"/>
      <w:contextualSpacing/>
    </w:pPr>
    <w:rPr>
      <w:rFonts w:asciiTheme="majorHAnsi" w:eastAsiaTheme="majorEastAsia" w:hAnsiTheme="majorHAnsi" w:cstheme="majorBidi" w:ascii="Aptos Display" w:hAnsi="Aptos Display"/>
      <w:b/>
      <w:color w:val="1D2B3A"/>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