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rPr>
          <w:b/>
        </w:rPr>
        <w:t>SRD  /  SISTEMA DE REGISTRO DIGITAL</w:t>
      </w:r>
    </w:p>
    <w:p>
      <w:pPr>
        <w:pStyle w:val="Title"/>
      </w:pPr>
      <w:r>
        <w:t>Documentación de pruebas</w:t>
      </w:r>
    </w:p>
    <w:p>
      <w:r>
        <w:rPr>
          <w:i/>
        </w:rPr>
        <w:t>Plan, trazabilidad, evidencias y pendientes de verificación</w:t>
      </w:r>
    </w:p>
    <w:p>
      <w:pPr>
        <w:spacing w:after="40"/>
      </w:pPr>
      <w:r>
        <w:t>Juan Sebastián González Horta</w:t>
      </w:r>
    </w:p>
    <w:p>
      <w:pPr>
        <w:spacing w:after="40"/>
      </w:pPr>
      <w:r>
        <w:t>Servicio Nacional de Aprendizaje (SENA)</w:t>
      </w:r>
    </w:p>
    <w:p>
      <w:pPr>
        <w:spacing w:after="40"/>
      </w:pPr>
      <w:r>
        <w:t>Centro de la Industria, la Empresa y los Servicios (CIES)</w:t>
      </w:r>
    </w:p>
    <w:p>
      <w:pPr>
        <w:spacing w:after="40"/>
      </w:pPr>
      <w:r>
        <w:t>Programa: Análisis y Desarrollo de Software</w:t>
      </w:r>
    </w:p>
    <w:p>
      <w:pPr>
        <w:spacing w:after="40"/>
      </w:pPr>
      <w:r>
        <w:t>Versión 1.0  ·  9 de octubre de 2026</w:t>
      </w:r>
    </w:p>
    <w:p>
      <w:pPr>
        <w:pStyle w:val="Heading2"/>
      </w:pPr>
      <w:r>
        <w:t>Propósito</w:t>
      </w:r>
    </w:p>
    <w:p>
      <w:r>
        <w:t>Registrar qué se probó en el incremento 0.1 de SRD, con qué herramientas, qué evidencia existe y cuáles son los criterios todavía abiertos. No se confunden pruebas unitarias, integración, recorridos de navegador y operación manual.</w:t>
      </w:r>
    </w:p>
    <w:p>
      <w:pPr>
        <w:pStyle w:val="Heading2"/>
      </w:pPr>
      <w:r>
        <w:t>Alcance documental</w:t>
      </w:r>
    </w:p>
    <w:p>
      <w:r>
        <w:t>Documento elaborado para el incremento de desarrollo y demostración local de SRD. Las funciones no implementadas o todavía sin aceptación se distinguen expresamente de las verificadas; no constituye una certificación de producción.</w:t>
      </w:r>
    </w:p>
    <w:p>
      <w:pPr>
        <w:pStyle w:val="Heading2"/>
      </w:pPr>
      <w:r>
        <w:t>CONTENIDO</w:t>
      </w:r>
    </w:p>
    <w:p>
      <w:pPr>
        <w:spacing w:after="20" w:line="240" w:lineRule="auto"/>
      </w:pPr>
      <w:r>
        <w:rPr>
          <w:color w:val="5C6875"/>
          <w:sz w:val="17"/>
        </w:rPr>
        <w:t>01  1. Identificación y criterio de evaluación</w:t>
      </w:r>
    </w:p>
    <w:p>
      <w:pPr>
        <w:spacing w:after="20" w:line="240" w:lineRule="auto"/>
      </w:pPr>
      <w:r>
        <w:rPr>
          <w:color w:val="5C6875"/>
          <w:sz w:val="17"/>
        </w:rPr>
        <w:t>02  2. Entorno y alcance</w:t>
      </w:r>
    </w:p>
    <w:p>
      <w:pPr>
        <w:spacing w:after="20" w:line="240" w:lineRule="auto"/>
      </w:pPr>
      <w:r>
        <w:rPr>
          <w:color w:val="5C6875"/>
          <w:sz w:val="17"/>
        </w:rPr>
        <w:t>03  3. Inventario de evidencias verificables</w:t>
      </w:r>
    </w:p>
    <w:p>
      <w:pPr>
        <w:spacing w:after="20" w:line="240" w:lineRule="auto"/>
      </w:pPr>
      <w:r>
        <w:rPr>
          <w:color w:val="5C6875"/>
          <w:sz w:val="17"/>
        </w:rPr>
        <w:t>04  4. Casos funcionales y criterios de aceptación</w:t>
      </w:r>
    </w:p>
    <w:p>
      <w:pPr>
        <w:spacing w:after="20" w:line="240" w:lineRule="auto"/>
      </w:pPr>
      <w:r>
        <w:rPr>
          <w:color w:val="5C6875"/>
          <w:sz w:val="17"/>
        </w:rPr>
        <w:t>05  5. Registro puntual de corrección y repetición</w:t>
      </w:r>
    </w:p>
    <w:p>
      <w:pPr>
        <w:spacing w:after="20" w:line="240" w:lineRule="auto"/>
      </w:pPr>
      <w:r>
        <w:rPr>
          <w:color w:val="5C6875"/>
          <w:sz w:val="17"/>
        </w:rPr>
        <w:t>06  6. Ejecución reproducible</w:t>
      </w:r>
    </w:p>
    <w:p>
      <w:pPr>
        <w:spacing w:after="20" w:line="240" w:lineRule="auto"/>
      </w:pPr>
      <w:r>
        <w:rPr>
          <w:color w:val="5C6875"/>
          <w:sz w:val="17"/>
        </w:rPr>
        <w:t>07  7. Incidencias, límites y criterio de cierre</w:t>
      </w:r>
    </w:p>
    <w:p>
      <w:pPr>
        <w:spacing w:after="20" w:line="240" w:lineRule="auto"/>
      </w:pPr>
      <w:r>
        <w:rPr>
          <w:color w:val="5C6875"/>
          <w:sz w:val="17"/>
        </w:rPr>
        <w:t>08  8. Fuentes internas</w:t>
      </w:r>
    </w:p>
    <w:p>
      <w:r>
        <w:br w:type="page"/>
      </w:r>
    </w:p>
    <w:p>
      <w:pPr>
        <w:pStyle w:val="Heading1"/>
      </w:pPr>
      <w:r>
        <w:t>1. Identificación y criterio de evaluación</w:t>
      </w:r>
    </w:p>
    <w:p>
      <w:r>
        <w:t>El sistema está orientado a Juntas de Acción Comunal y usa aislamiento lógico por junta. La referencia de requisitos es la especificación SRD (56 requisitos funcionales, 18 no funcionales y 20 casos de uso). La trazabilidad del código indica 52 RF en estado parcial y cuatro pendientes; esta clasificación no equivale a un porcentaje de aceptación.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rPr>
          <w:tblHeader w:val="true"/>
        </w:trPr>
        <w:tc>
          <w:tcPr>
            <w:tcW w:type="dxa" w:w="3154"/>
            <w:shd w:fill="E9EEF2"/>
          </w:tcPr>
          <w:p>
            <w:r>
              <w:rPr>
                <w:b/>
                <w:sz w:val="17"/>
              </w:rPr>
              <w:t>Nivel</w:t>
            </w:r>
          </w:p>
        </w:tc>
        <w:tc>
          <w:tcPr>
            <w:tcW w:type="dxa" w:w="3154"/>
            <w:shd w:fill="E9EEF2"/>
          </w:tcPr>
          <w:p>
            <w:r>
              <w:rPr>
                <w:b/>
                <w:sz w:val="17"/>
              </w:rPr>
              <w:t>Qué comprueba</w:t>
            </w:r>
          </w:p>
        </w:tc>
        <w:tc>
          <w:tcPr>
            <w:tcW w:type="dxa" w:w="3154"/>
            <w:shd w:fill="E9EEF2"/>
          </w:tcPr>
          <w:p>
            <w:r>
              <w:rPr>
                <w:b/>
                <w:sz w:val="17"/>
              </w:rPr>
              <w:t>Evidencia primaria</w:t>
            </w:r>
          </w:p>
        </w:tc>
      </w:tr>
      <w:tr>
        <w:tc>
          <w:tcPr>
            <w:tcW w:type="dxa" w:w="315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Unitario</w:t>
            </w:r>
          </w:p>
        </w:tc>
        <w:tc>
          <w:tcPr>
            <w:tcW w:type="dxa" w:w="315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Reglas de negocio, validaciones, permisos y condiciones de error</w:t>
            </w:r>
          </w:p>
        </w:tc>
        <w:tc>
          <w:tcPr>
            <w:tcW w:type="dxa" w:w="315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PHPUnit y Jest; reportes de VALIDACION.md</w:t>
            </w:r>
          </w:p>
        </w:tc>
      </w:tr>
      <w:tr>
        <w:tc>
          <w:tcPr>
            <w:tcW w:type="dxa" w:w="3154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Integración</w:t>
            </w:r>
          </w:p>
        </w:tc>
        <w:tc>
          <w:tcPr>
            <w:tcW w:type="dxa" w:w="3154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Conexiones entre servicios, persistencia, correo local y bases por dominio</w:t>
            </w:r>
          </w:p>
        </w:tc>
        <w:tc>
          <w:tcPr>
            <w:tcW w:type="dxa" w:w="3154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Scripts de verificación y Docker Compose</w:t>
            </w:r>
          </w:p>
        </w:tc>
      </w:tr>
      <w:tr>
        <w:tc>
          <w:tcPr>
            <w:tcW w:type="dxa" w:w="315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End-to-end</w:t>
            </w:r>
          </w:p>
        </w:tc>
        <w:tc>
          <w:tcPr>
            <w:tcW w:type="dxa" w:w="315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Flujos de interfaz mediante navegador real</w:t>
            </w:r>
          </w:p>
        </w:tc>
        <w:tc>
          <w:tcPr>
            <w:tcW w:type="dxa" w:w="315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Playwright/Chromium, .local/browser-runs</w:t>
            </w:r>
          </w:p>
        </w:tc>
      </w:tr>
      <w:tr>
        <w:tc>
          <w:tcPr>
            <w:tcW w:type="dxa" w:w="3154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Operativo</w:t>
            </w:r>
          </w:p>
        </w:tc>
        <w:tc>
          <w:tcPr>
            <w:tcW w:type="dxa" w:w="3154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Migraciones, salud de contenedores, outbox y ClamAV</w:t>
            </w:r>
          </w:p>
        </w:tc>
        <w:tc>
          <w:tcPr>
            <w:tcW w:type="dxa" w:w="3154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Consola Docker y registros del 09/10/2026</w:t>
            </w:r>
          </w:p>
        </w:tc>
      </w:tr>
      <w:tr>
        <w:tc>
          <w:tcPr>
            <w:tcW w:type="dxa" w:w="315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Aceptación</w:t>
            </w:r>
          </w:p>
        </w:tc>
        <w:tc>
          <w:tcPr>
            <w:tcW w:type="dxa" w:w="315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Pruebas integrales con usuarios reales y requisitos completos</w:t>
            </w:r>
          </w:p>
        </w:tc>
        <w:tc>
          <w:tcPr>
            <w:tcW w:type="dxa" w:w="315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Pendiente de cierre</w:t>
            </w:r>
          </w:p>
        </w:tc>
      </w:tr>
    </w:tbl>
    <w:p>
      <w:pPr>
        <w:spacing w:after="40"/>
      </w:pPr>
    </w:p>
    <w:p>
      <w:pPr>
        <w:pStyle w:val="Heading1"/>
      </w:pPr>
      <w:r>
        <w:t>2. Entorno y alcance</w:t>
      </w:r>
    </w:p>
    <w:p>
      <w:r>
        <w:t>Entorno de desarrollo local Windows/PowerShell, Docker Compose, MySQL 8.4, Laravel 12/PHP, React/TypeScript, Mailpit y ClamAV. Se emplearon juntas y cuentas sintéticas; el código publicado no incluye credenciales, bases reales ni mensajes privados. Los informes del repositorio se relacionan con rutas relativas para poder encontrarlos.</w:t>
      </w:r>
    </w:p>
    <w:p>
      <w:pPr>
        <w:pStyle w:val="Heading1"/>
      </w:pPr>
      <w:r>
        <w:t>3. Inventario de evidencias verificables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rPr>
          <w:tblHeader w:val="true"/>
        </w:trPr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Código</w:t>
            </w:r>
          </w:p>
        </w:tc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Componente / ejecución</w:t>
            </w:r>
          </w:p>
        </w:tc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Resultado documentado</w:t>
            </w:r>
          </w:p>
        </w:tc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Fuente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PT-01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Archivos: FolderApiTest + FolderDocumentTest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32/32; 778 aserciones; nombres ES/EN, versiones, accesos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docs/VALIDACION.md, 08/10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PT-02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Playwright: folder-language.spec.mjs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1 aprobado; 0 fallidos; persistencia de idioma, 360 px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docs/VALIDACION.md, 08/10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PT-03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Playwright: folders.spec.mjs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 aprobado; 0 fallidos; jerarquía, conflictos, auditoría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docs/VALIDACION.md, 08/10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PT-04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Android nativo: Jest + TypeScript + lint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37/37 Jest; compilación debug x86_64 satisfactoria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docs/VALIDACION.md, 05/10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PT-05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Chat: paginación de conversaciones en Chromium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 caso aprobado; 27 conversaciones, páginas 25 + 2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docs/VALIDACION.md, 03/10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PT-06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Gateway: consulta concurrente de servicios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25 pruebas; 407 aserciones; degradación parcial controlada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docs/VALIDACION.md, 03/10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PT-07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Outbox: reintento autorizado en Chromium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 caso aprobado; deduplicación y rol comprobados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docs/VALIDACION.md, 03/10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PT-08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Correo local: reintentos de entrega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Chromium 1 caso aprobado; recepción en Mailpit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docs/VALIDACION.md, 03/10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PT-09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Exposición Android físico por Expo Go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Acceso/MFA, Inicio, Personas, Agenda, Avisos, Perfil y reingreso con semilla anterior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docs/GUIA-EXPOSICION-2026-10-09.md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PT-10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Recuperación operativa, 09/10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33 eventos agotados recuperados y publicados; 9 schedulers healthy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Registros de consola de la recuperación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PT-11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Firma antivirus, 09/10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ClamAV healthy; FreshClam versión 28148; actualización verificada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Registros de consola de la recuperación</w:t>
            </w:r>
          </w:p>
        </w:tc>
      </w:tr>
    </w:tbl>
    <w:p>
      <w:pPr>
        <w:spacing w:after="40"/>
      </w:pPr>
    </w:p>
    <w:p>
      <w:pPr>
        <w:pStyle w:val="Heading1"/>
      </w:pPr>
      <w:r>
        <w:t>4. Casos funcionales y criterios de aceptación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65"/>
        <w:gridCol w:w="2365"/>
        <w:gridCol w:w="2365"/>
        <w:gridCol w:w="2365"/>
      </w:tblGrid>
      <w:tr>
        <w:trPr>
          <w:tblHeader w:val="true"/>
        </w:trPr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ID</w:t>
            </w:r>
          </w:p>
        </w:tc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Escenario y pasos mínimos</w:t>
            </w:r>
          </w:p>
        </w:tc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Criterio esperado</w:t>
            </w:r>
          </w:p>
        </w:tc>
        <w:tc>
          <w:tcPr>
            <w:tcW w:type="dxa" w:w="2365"/>
            <w:shd w:fill="E9EEF2"/>
          </w:tcPr>
          <w:p>
            <w:r>
              <w:rPr>
                <w:b/>
                <w:sz w:val="17"/>
              </w:rPr>
              <w:t>Estado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CP-01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Iniciar sesión con junta y MFA local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Solo accede la cuenta autorizada y la junta activa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Evidencia previa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CP-02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Intentar leer otra junta cambiando un identificador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El servidor rechaza recursos de otra junta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Cobertura parcial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CP-03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Crear persona pendiente con datos mínimos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Guarda sin forzar campos de completado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Cobertura parcial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CP-04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Filtrar y exportar personas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Respeta permisos, selección y nombre de archivo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Cobertura parcial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CP-05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Crear, mover y renombrar carpeta, probando conflicto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No permite ciclos ni edición obsoleta; registra auditoría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Evidencia previa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CP-06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Registrar ingreso y egreso informativo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Saldo y numeración conservan consistencia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Cobertura parcial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CP-07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Registrar bien y movimiento de existencias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Historial inmutable y cantidad coherente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Cobertura parcial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CP-08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Generar invitación y capturar correo en Mailpit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Entrega dentro del entorno local sin usar correo externo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Evidencia previa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CP-09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Recuperar outbox agotado con base audit disponible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published aumenta, exhausted llega a 0, sin duplicar ID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Comprobado 09/10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CP-10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Escanear archivo de prueba EICAR y archivo limpio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Acepta limpio y rechaza amenaza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Pendiente de ejecución</w:t>
            </w:r>
          </w:p>
        </w:tc>
      </w:tr>
      <w:tr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CP-11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Validar 50 usuarios simultáneos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Objetivo de capacidad sujeto a medición</w:t>
            </w:r>
          </w:p>
        </w:tc>
        <w:tc>
          <w:tcPr>
            <w:tcW w:type="dxa" w:w="2365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Pendiente</w:t>
            </w:r>
          </w:p>
        </w:tc>
      </w:tr>
      <w:tr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CP-12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Validar instalación y distribución de APK/EXE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Instalación, actualizaciones y firma probadas</w:t>
            </w:r>
          </w:p>
        </w:tc>
        <w:tc>
          <w:tcPr>
            <w:tcW w:type="dxa" w:w="2365"/>
            <w:vAlign w:val="center"/>
            <w:shd w:fill="F6F8F9"/>
          </w:tcPr>
          <w:p>
            <w:pPr>
              <w:spacing w:after="40" w:before="40"/>
            </w:pPr>
            <w:r>
              <w:rPr>
                <w:sz w:val="16"/>
              </w:rPr>
              <w:t>Pendiente</w:t>
            </w:r>
          </w:p>
        </w:tc>
      </w:tr>
    </w:tbl>
    <w:p>
      <w:pPr>
        <w:spacing w:after="40"/>
      </w:pPr>
    </w:p>
    <w:p>
      <w:pPr>
        <w:pStyle w:val="Heading1"/>
      </w:pPr>
      <w:r>
        <w:t>5. Registro puntual de corrección y repetición</w:t>
      </w:r>
    </w:p>
    <w:p>
      <w:r>
        <w:t>El 9 de octubre se detectaron eventos del outbox agotados porque Auditoría no disponía de la tabla audit_events. Se aplicó la migración de auditoría y, tras respaldar las bases afectadas, se reprogramaron los 15 eventos de Identidad, ocho de Registros, cuatro de Calendario, tres de Tesorería y tres de Inventario. Los comandos de estado confirmaron cero agotados en esos emisores. Los planificadores de Archivos y Chat pasaron a healthy tras inicializar sus bases y ejecutar su ciclo. Finalmente ClamAV arrancó; se corrigieron finales de línea CRLF del actualizador y FreshClam obtuvo las firmas versión 28148.</w:t>
      </w:r>
    </w:p>
    <w:p>
      <w:pPr>
        <w:pStyle w:val="Heading1"/>
      </w:pPr>
      <w:r>
        <w:t>6. Ejecución reproducible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./scripts/Test.ps1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./scripts/Test-OutboxConcurrency.ps1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./scripts/Test-FileSafety.ps1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./scripts/Test-Browser.ps1 -Compose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docker compose ps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docker compose exec identity php artisan srd:outbox-status</w:t>
      </w:r>
    </w:p>
    <w:p>
      <w:pPr>
        <w:pStyle w:val="NoSpacing"/>
        <w:spacing w:after="20"/>
      </w:pPr>
      <w:r>
        <w:rPr>
          <w:rFonts w:ascii="Consolas" w:hAnsi="Consolas"/>
          <w:color w:val="205472"/>
          <w:sz w:val="16"/>
        </w:rPr>
        <w:t>docker compose exec treasury php artisan srd:outbox-status</w:t>
      </w:r>
    </w:p>
    <w:p>
      <w:pPr>
        <w:spacing w:after="20"/>
      </w:pPr>
    </w:p>
    <w:p>
      <w:r>
        <w:t>Los comandos anteriores son procedimientos disponibles en el repositorio, no una afirmación de que todos se ejecutaron nuevamente el día de esta entrega. Algunos scripts crean datos sintéticos o contenedores de prueba; se deben revisar sus parámetros y disponer de memoria antes de correrlos.</w:t>
      </w:r>
    </w:p>
    <w:p>
      <w:pPr>
        <w:pStyle w:val="Heading1"/>
      </w:pPr>
      <w:r>
        <w:t>7. Incidencias, límites y criterio de cierre</w:t>
      </w:r>
    </w:p>
    <w:p>
      <w:pPr>
        <w:pStyle w:val="ListBullet"/>
      </w:pPr>
      <w:r>
        <w:t>Las pruebas documentadas cubren incrementos concretos; no existe cierre integral de los 56 RF.</w:t>
      </w:r>
    </w:p>
    <w:p>
      <w:pPr>
        <w:pStyle w:val="ListBullet"/>
      </w:pPr>
      <w:r>
        <w:t>El chat tiene flujo de texto, pero siguen pendientes adjuntos, notas de voz y llamadas.</w:t>
      </w:r>
    </w:p>
    <w:p>
      <w:pPr>
        <w:pStyle w:val="ListBullet"/>
      </w:pPr>
      <w:r>
        <w:t>La variante Expo Go es una demostración en teléfono físico, no un APK release distribuible.</w:t>
      </w:r>
    </w:p>
    <w:p>
      <w:pPr>
        <w:pStyle w:val="ListBullet"/>
      </w:pPr>
      <w:r>
        <w:t>No existe una medición integral que acredite 50 usuarios concurrentes.</w:t>
      </w:r>
    </w:p>
    <w:p>
      <w:pPr>
        <w:pStyle w:val="ListBullet"/>
      </w:pPr>
      <w:r>
        <w:t>El indicador healthy verifica un componente concreto; no reemplaza pruebas de seguridad y comportamiento.</w:t>
      </w:r>
    </w:p>
    <w:p>
      <w:pPr>
        <w:pStyle w:val="ListBullet"/>
      </w:pPr>
      <w:r>
        <w:t>Antes de aceptación: repetir regresión completa, pruebas EICAR, permisos cruzados, accesibilidad, restauración, carga y UAT con usuarios de JAC.</w:t>
      </w:r>
    </w:p>
    <w:p>
      <w:pPr>
        <w:pStyle w:val="Heading1"/>
      </w:pPr>
      <w:r>
        <w:t>8. Fuentes internas</w:t>
      </w:r>
    </w:p>
    <w:p>
      <w:r>
        <w:t>README.md; docs/VALIDACION.md; docs/TRAZABILIDAD.md; docs/WEB_ACEPTACION.md; docs/OUTBOX.md; docs/GUIA-EXPOSICION-2026-10-09.md; scripts/Test.ps1; scripts/Test-Browser.ps1. Código fuente SRD, corte del 09/10/2026.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224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PR-01  ·  SRD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SRD  /  PR-01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D2B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0547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2B3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20547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D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