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SRD  /  SISTEMA DE REGISTRO DIGITAL</w:t>
      </w:r>
    </w:p>
    <w:p>
      <w:pPr>
        <w:pStyle w:val="Title"/>
      </w:pPr>
      <w:r>
        <w:t>Procedimiento de implementación del software</w:t>
      </w:r>
    </w:p>
    <w:p>
      <w:r>
        <w:rPr>
          <w:i/>
        </w:rPr>
        <w:t>Despliegue local controlado, comprobación y recuperación</w:t>
      </w:r>
    </w:p>
    <w:p>
      <w:pPr>
        <w:spacing w:after="40"/>
      </w:pPr>
      <w:r>
        <w:t>Juan Sebastián González Horta</w:t>
      </w:r>
    </w:p>
    <w:p>
      <w:pPr>
        <w:spacing w:after="40"/>
      </w:pPr>
      <w:r>
        <w:t>Servicio Nacional de Aprendizaje (SENA)</w:t>
      </w:r>
    </w:p>
    <w:p>
      <w:pPr>
        <w:spacing w:after="40"/>
      </w:pPr>
      <w:r>
        <w:t>Centro de la Industria, la Empresa y los Servicios (CIES)</w:t>
      </w:r>
    </w:p>
    <w:p>
      <w:pPr>
        <w:spacing w:after="40"/>
      </w:pPr>
      <w:r>
        <w:t>Programa: Análisis y Desarrollo de Software</w:t>
      </w:r>
    </w:p>
    <w:p>
      <w:pPr>
        <w:spacing w:after="40"/>
      </w:pPr>
      <w:r>
        <w:t>Versión 1.0  ·  9 de octubre de 2026</w:t>
      </w:r>
    </w:p>
    <w:p>
      <w:pPr>
        <w:pStyle w:val="Heading2"/>
      </w:pPr>
      <w:r>
        <w:t>Propósito</w:t>
      </w:r>
    </w:p>
    <w:p>
      <w:r>
        <w:t>Definir una instalación reproducible del incremento de SRD con separación de ambientes y datos, controles previos, procedimientos de verificación y manejo de fallos sin destruir información.</w:t>
      </w:r>
    </w:p>
    <w:p>
      <w:pPr>
        <w:pStyle w:val="Heading2"/>
      </w:pPr>
      <w:r>
        <w:t>Alcance documental</w:t>
      </w:r>
    </w:p>
    <w:p>
      <w:r>
        <w:t>Documento elaborado para el incremento de desarrollo y demostración local de SRD. Las funciones no implementadas o todavía sin aceptación se distinguen expresamente de las verificadas; no constituye una certificación de producción.</w:t>
      </w:r>
    </w:p>
    <w:p>
      <w:pPr>
        <w:pStyle w:val="Heading2"/>
      </w:pPr>
      <w:r>
        <w:t>CONTENIDO</w:t>
      </w:r>
    </w:p>
    <w:p>
      <w:pPr>
        <w:spacing w:after="20" w:line="240" w:lineRule="auto"/>
      </w:pPr>
      <w:r>
        <w:rPr>
          <w:color w:val="5C6875"/>
          <w:sz w:val="17"/>
        </w:rPr>
        <w:t>01  1. Modalidad y arquitectura de despliegue</w:t>
      </w:r>
    </w:p>
    <w:p>
      <w:pPr>
        <w:spacing w:after="20" w:line="240" w:lineRule="auto"/>
      </w:pPr>
      <w:r>
        <w:rPr>
          <w:color w:val="5C6875"/>
          <w:sz w:val="17"/>
        </w:rPr>
        <w:t>02  2. Requisitos de instalación</w:t>
      </w:r>
    </w:p>
    <w:p>
      <w:pPr>
        <w:spacing w:after="20" w:line="240" w:lineRule="auto"/>
      </w:pPr>
      <w:r>
        <w:rPr>
          <w:color w:val="5C6875"/>
          <w:sz w:val="17"/>
        </w:rPr>
        <w:t>03  3. Preparación</w:t>
      </w:r>
    </w:p>
    <w:p>
      <w:pPr>
        <w:spacing w:after="20" w:line="240" w:lineRule="auto"/>
      </w:pPr>
      <w:r>
        <w:rPr>
          <w:color w:val="5C6875"/>
          <w:sz w:val="17"/>
        </w:rPr>
        <w:t>04  4. Instalación controlada</w:t>
      </w:r>
    </w:p>
    <w:p>
      <w:pPr>
        <w:spacing w:after="20" w:line="240" w:lineRule="auto"/>
      </w:pPr>
      <w:r>
        <w:rPr>
          <w:color w:val="5C6875"/>
          <w:sz w:val="17"/>
        </w:rPr>
        <w:t>05  5. Comprobación posterior</w:t>
      </w:r>
    </w:p>
    <w:p>
      <w:pPr>
        <w:spacing w:after="20" w:line="240" w:lineRule="auto"/>
      </w:pPr>
      <w:r>
        <w:rPr>
          <w:color w:val="5C6875"/>
          <w:sz w:val="17"/>
        </w:rPr>
        <w:t>06  6. Demostración reproducible</w:t>
      </w:r>
    </w:p>
    <w:p>
      <w:pPr>
        <w:spacing w:after="20" w:line="240" w:lineRule="auto"/>
      </w:pPr>
      <w:r>
        <w:rPr>
          <w:color w:val="5C6875"/>
          <w:sz w:val="17"/>
        </w:rPr>
        <w:t>07  7. Validación de los datos y servicios</w:t>
      </w:r>
    </w:p>
    <w:p>
      <w:pPr>
        <w:spacing w:after="20" w:line="240" w:lineRule="auto"/>
      </w:pPr>
      <w:r>
        <w:rPr>
          <w:color w:val="5C6875"/>
          <w:sz w:val="17"/>
        </w:rPr>
        <w:t>08  8. Actualizaciones, respaldo y recuperación</w:t>
      </w:r>
    </w:p>
    <w:p>
      <w:pPr>
        <w:spacing w:after="20" w:line="240" w:lineRule="auto"/>
      </w:pPr>
      <w:r>
        <w:rPr>
          <w:color w:val="5C6875"/>
          <w:sz w:val="17"/>
        </w:rPr>
        <w:t>09  9. Plan de reversión y registro de instalación</w:t>
      </w:r>
    </w:p>
    <w:p>
      <w:pPr>
        <w:spacing w:after="20" w:line="240" w:lineRule="auto"/>
      </w:pPr>
      <w:r>
        <w:rPr>
          <w:color w:val="5C6875"/>
          <w:sz w:val="17"/>
        </w:rPr>
        <w:t>10  10. Alcance fuera de este procedimiento</w:t>
      </w:r>
    </w:p>
    <w:p>
      <w:r>
        <w:br w:type="page"/>
      </w:r>
    </w:p>
    <w:p>
      <w:pPr>
        <w:pStyle w:val="Heading1"/>
      </w:pPr>
      <w:r>
        <w:t>1. Modalidad y arquitectura de despliegue</w:t>
      </w:r>
    </w:p>
    <w:p>
      <w:r>
        <w:t>El despliegue actualmente validado es local y basado en Docker Compose. Un navegador o cliente se comunica con la interfaz web y el Gateway Laravel; el Gateway transmite el contexto autorizado a los microservicios. Los datos MySQL se separan por dominio y las juntas se aíslan lógicamente dentro de los dominios.</w:t>
      </w:r>
    </w:p>
    <w:p>
      <w:r>
        <w:drawing>
          <wp:inline xmlns:a="http://schemas.openxmlformats.org/drawingml/2006/main" xmlns:pic="http://schemas.openxmlformats.org/drawingml/2006/picture">
            <wp:extent cx="5897880" cy="2244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Esquema del incremento desplegable. El dominio especializado de reportes no está implementado.</w:t>
      </w:r>
    </w:p>
    <w:p>
      <w:pPr>
        <w:pStyle w:val="Heading1"/>
      </w:pPr>
      <w:r>
        <w:t>2. Requisitos de instalación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4730"/>
            <w:shd w:fill="E9EEF2"/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4730"/>
            <w:shd w:fill="E9EEF2"/>
          </w:tcPr>
          <w:p>
            <w:r>
              <w:rPr>
                <w:b/>
                <w:sz w:val="17"/>
              </w:rPr>
              <w:t>Condición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Sistema anfitrión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Windows con PowerShell y Docker Desktop en modo contenedores Linux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Docker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Engine y Compose disponibles; Docker Desktop iniciado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Red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Acceso para descargar imágenes/dependencias en el primer arranque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Recursos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Memoria suficiente para MySQL, servicios Laravel y ClamAV (motor observado cerca de 946 MiB)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ZIP SRD del 09/10/2026 extraído completo, incluida la carpeta scripts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Para pruebas móviles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Node.js y Expo Go SDK 57; ADB/USB si se demuestra en teléfono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Para correo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Mailpit local, sin envío a destinatarios externos</w:t>
            </w:r>
          </w:p>
        </w:tc>
      </w:tr>
    </w:tbl>
    <w:p>
      <w:pPr>
        <w:spacing w:after="40"/>
      </w:pPr>
    </w:p>
    <w:p>
      <w:pPr>
        <w:pStyle w:val="Heading1"/>
      </w:pPr>
      <w:r>
        <w:t>3. Preparación</w:t>
      </w:r>
    </w:p>
    <w:p>
      <w:pPr>
        <w:ind w:left="346" w:hanging="259"/>
      </w:pPr>
      <w:r>
        <w:t>1. Extraer el archivo de código en una ruta sin privilegios adicionales; abrir PowerShell desde la carpeta SRD.</w:t>
      </w:r>
    </w:p>
    <w:p>
      <w:pPr>
        <w:ind w:left="346" w:hanging="259"/>
      </w:pPr>
      <w:r>
        <w:t>2. Comprobar que Docker responde y que los puertos locales 8080/8025 están libres.</w:t>
      </w:r>
    </w:p>
    <w:p>
      <w:pPr>
        <w:ind w:left="346" w:hanging="259"/>
      </w:pPr>
      <w:r>
        <w:t>3. Revisar el archivo .env.example. El inicializador crea secretos locales; no copiar contraseñas de otra instalación ni incluir .env en entregables.</w:t>
      </w:r>
    </w:p>
    <w:p>
      <w:pPr>
        <w:ind w:left="346" w:hanging="259"/>
      </w:pPr>
      <w:r>
        <w:t>4. Asegurar que no se ejecutará sobre bases de producción o juntas reales.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version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version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config -q</w:t>
      </w:r>
    </w:p>
    <w:p>
      <w:pPr>
        <w:spacing w:after="20"/>
      </w:pPr>
    </w:p>
    <w:p>
      <w:pPr>
        <w:pStyle w:val="Heading1"/>
      </w:pPr>
      <w:r>
        <w:t>4. Instalación controlada</w:t>
      </w:r>
    </w:p>
    <w:p>
      <w:r>
        <w:t>La ruta recomendada es el script de operación del proyecto. Este ejecuta la inicialización, inicia MySQL y Mailpit, aprovisiona las bases faltantes, construye los servicios, aplica migraciones con --force, ejecuta la preparación de recordatorios, inicia los planificadores, la web y el antivirus.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./scripts/Up.ps1</w:t>
      </w:r>
    </w:p>
    <w:p>
      <w:pPr>
        <w:spacing w:after="20"/>
      </w:pPr>
    </w:p>
    <w:p>
      <w:r>
        <w:t>No ejecutar docker compose down -v, migrate:fresh ni borrar volúmenes. Una actualización sobre un volumen existente debe conservar las credenciales previas y aplicar migraciones incrementales. Si falta un servicio específico, inspeccionar docker compose ps y logs antes de repetir todo el arranque.</w:t>
      </w:r>
    </w:p>
    <w:p>
      <w:pPr>
        <w:pStyle w:val="Heading1"/>
      </w:pPr>
      <w:r>
        <w:t>5. Comprobación posterior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ps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audit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files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chat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identity php artisan srd:outbox-status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antivirus clamdscan --version</w:t>
      </w:r>
    </w:p>
    <w:p>
      <w:pPr>
        <w:spacing w:after="20"/>
      </w:pPr>
    </w:p>
    <w:p>
      <w:r>
        <w:t>Verificar el inicio de sesión web en http://localhost:8080/j/srd-e2e-a/login solo cuando exista una junta sintética con ese código. Para MFA local, abrir http://localhost:8025 y consultar el mensaje generado por la prueba.</w:t>
      </w:r>
    </w:p>
    <w:p>
      <w:pPr>
        <w:pStyle w:val="Heading1"/>
      </w:pPr>
      <w:r>
        <w:t>6. Demostración reproducible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./scripts/Start-Exposition.ps1 -WebOnly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# Con teléfono Android y ADB configurado: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./scripts/Start-Exposition.ps1</w:t>
      </w:r>
    </w:p>
    <w:p>
      <w:pPr>
        <w:spacing w:after="20"/>
      </w:pPr>
    </w:p>
    <w:p>
      <w:r>
        <w:t>La semilla del 09/10 registra ocho personas pendientes, cuatro eventos, tres asientos y tres bienes ficticios. Credenciales locales: archivo .local/e2e-fixture.json generado en el equipo. Nunca compartirlo ni publicarlo. La modalidad Expo Go usa USB y ADB reverse; no representa una instalación de APK final.</w:t>
      </w:r>
    </w:p>
    <w:p>
      <w:pPr>
        <w:pStyle w:val="Heading1"/>
      </w:pPr>
      <w:r>
        <w:t>7. Validación de los datos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Condición esperada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Acción si falla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 y Gateway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Contenedores activos y acceso a inicio de sesión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Inspeccionar docker compose logs web gateway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Bases y migraciones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Migraciones Ran en dominios activos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Aplicar migrate --force solo en el servicio afectado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Sin agotados después del procesamiento normal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Consultar srd:outbox-status, tablas y servicio audit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Planificadores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Marcadores recientes y healthy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Revisar health logs y schedule:run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Antivirus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Clamd healthy, firmas recientes, marcador visible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Revisar antivirus-updater y sus logs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MFA local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Correo de código visible en Mailpit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Consultar logs identity notifications mailpit</w:t>
            </w:r>
          </w:p>
        </w:tc>
      </w:tr>
    </w:tbl>
    <w:p>
      <w:pPr>
        <w:spacing w:after="40"/>
      </w:pPr>
    </w:p>
    <w:p>
      <w:pPr>
        <w:pStyle w:val="Heading1"/>
      </w:pPr>
      <w:r>
        <w:t>8. Actualizaciones, respaldo y recuperación</w:t>
      </w:r>
    </w:p>
    <w:p>
      <w:r>
        <w:t>Antes de cambiar una imagen, migración o configuración persistente se recomienda crear un respaldo cifrado y comprobar que pueda autenticarse y restaurarse en contenedor aislado. El script Backup-Local.ps1 detiene temporalmente los servicios de aplicación mientras realiza una copia consistente; debe planearse esa ventana.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./scripts/Backup-Local.ps1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./scripts/Test-BackupRestore.ps1 -VerifyOnly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./scripts/Test-BackupRestore.ps1</w:t>
      </w:r>
    </w:p>
    <w:p>
      <w:pPr>
        <w:spacing w:after="20"/>
      </w:pPr>
    </w:p>
    <w:p>
      <w:r>
        <w:t>La clave de recuperación local se guarda en .local/backups/recovery-key.bin. Debe custodiarse por separado del backup. La restauración automatizada descrita por el proyecto se comprueba en un MySQL temporal aislado; no se debe utilizar directamente sobre el servicio activo.</w:t>
      </w:r>
    </w:p>
    <w:p>
      <w:pPr>
        <w:pStyle w:val="Heading1"/>
      </w:pPr>
      <w:r>
        <w:t>9. Plan de reversión y registro de instalación</w:t>
      </w:r>
    </w:p>
    <w:p>
      <w:pPr>
        <w:pStyle w:val="ListBullet"/>
      </w:pPr>
      <w:r>
        <w:t>Si un contenedor no inicia: guardar logs y configuración efectiva, detener el cambio de despliegue y conservar volúmenes.</w:t>
      </w:r>
    </w:p>
    <w:p>
      <w:pPr>
        <w:pStyle w:val="ListBullet"/>
      </w:pPr>
      <w:r>
        <w:t>Si una migración falla: detener escrituras del dominio, diagnosticar el esquema y valorar una reversión respaldada. No ejecutar rollback ciego.</w:t>
      </w:r>
    </w:p>
    <w:p>
      <w:pPr>
        <w:pStyle w:val="ListBullet"/>
      </w:pPr>
      <w:r>
        <w:t>Si falta acceso a correo/antivirus: impedir cargas sensibles y suspender la demostración de ese flujo hasta recuperar el componente.</w:t>
      </w:r>
    </w:p>
    <w:p>
      <w:pPr>
        <w:pStyle w:val="ListBullet"/>
      </w:pPr>
      <w:r>
        <w:t>Registrar fecha, versión del ZIP, salida de compose ps, bases migradas, evidencia de salud, responsable y observaciones.</w:t>
      </w:r>
    </w:p>
    <w:p>
      <w:pPr>
        <w:pStyle w:val="Heading1"/>
      </w:pPr>
      <w:r>
        <w:t>10. Alcance fuera de este procedimiento</w:t>
      </w:r>
    </w:p>
    <w:p>
      <w:r>
        <w:t>No se certifican HTTPS de producción, balanceo, copias externas, monitoreo continuo ni instalación de una aplicación móvil distribuida. La ruta de despliegue publicada corresponde al entorno de desarrollo y demostración, no a una guía de puesta en producción en Internet.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IM-02  ·  SRD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 /  IM-02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D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4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5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