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de instalación</w:t>
      </w:r>
    </w:p>
    <w:p>
      <w:r>
        <w:rPr>
          <w:i/>
        </w:rPr>
        <w:t>Windows, Docker Compose y entorno de demostración</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1.0  ·  9 de octubre de 2026</w:t>
      </w:r>
    </w:p>
    <w:p>
      <w:pPr>
        <w:pStyle w:val="Heading2"/>
      </w:pPr>
      <w:r>
        <w:t>Propósito</w:t>
      </w:r>
    </w:p>
    <w:p>
      <w:r>
        <w:t>Instrucciones de puesta en marcha para una instalación local nueva. Describe también comprobaciones posteriores, resolución de errores frecuentes y cuidados con datos persistentes.</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Qué se instala</w:t>
      </w:r>
    </w:p>
    <w:p>
      <w:pPr>
        <w:spacing w:after="20" w:line="240" w:lineRule="auto"/>
      </w:pPr>
      <w:r>
        <w:rPr>
          <w:color w:val="5C6875"/>
          <w:sz w:val="17"/>
        </w:rPr>
        <w:t>02  2. Antes de comenzar</w:t>
      </w:r>
    </w:p>
    <w:p>
      <w:pPr>
        <w:spacing w:after="20" w:line="240" w:lineRule="auto"/>
      </w:pPr>
      <w:r>
        <w:rPr>
          <w:color w:val="5C6875"/>
          <w:sz w:val="17"/>
        </w:rPr>
        <w:t>03  3. Extraer y revisar los archivos</w:t>
      </w:r>
    </w:p>
    <w:p>
      <w:pPr>
        <w:spacing w:after="20" w:line="240" w:lineRule="auto"/>
      </w:pPr>
      <w:r>
        <w:rPr>
          <w:color w:val="5C6875"/>
          <w:sz w:val="17"/>
        </w:rPr>
        <w:t>04  4. Primera instalación</w:t>
      </w:r>
    </w:p>
    <w:p>
      <w:pPr>
        <w:spacing w:after="20" w:line="240" w:lineRule="auto"/>
      </w:pPr>
      <w:r>
        <w:rPr>
          <w:color w:val="5C6875"/>
          <w:sz w:val="17"/>
        </w:rPr>
        <w:t>05  5. Comprobación en consola</w:t>
      </w:r>
    </w:p>
    <w:p>
      <w:pPr>
        <w:spacing w:after="20" w:line="240" w:lineRule="auto"/>
      </w:pPr>
      <w:r>
        <w:rPr>
          <w:color w:val="5C6875"/>
          <w:sz w:val="17"/>
        </w:rPr>
        <w:t>06  6. Abrir SRD y el correo de prueba</w:t>
      </w:r>
    </w:p>
    <w:p>
      <w:pPr>
        <w:spacing w:after="20" w:line="240" w:lineRule="auto"/>
      </w:pPr>
      <w:r>
        <w:rPr>
          <w:color w:val="5C6875"/>
          <w:sz w:val="17"/>
        </w:rPr>
        <w:t>07  7. Cargar datos sintéticos para la exposición</w:t>
      </w:r>
    </w:p>
    <w:p>
      <w:pPr>
        <w:spacing w:after="20" w:line="240" w:lineRule="auto"/>
      </w:pPr>
      <w:r>
        <w:rPr>
          <w:color w:val="5C6875"/>
          <w:sz w:val="17"/>
        </w:rPr>
        <w:t>08  8. Demostrar el cliente Android con Expo Go</w:t>
      </w:r>
    </w:p>
    <w:p>
      <w:pPr>
        <w:spacing w:after="20" w:line="240" w:lineRule="auto"/>
      </w:pPr>
      <w:r>
        <w:rPr>
          <w:color w:val="5C6875"/>
          <w:sz w:val="17"/>
        </w:rPr>
        <w:t>09  9. Comprobar el antivirus</w:t>
      </w:r>
    </w:p>
    <w:p>
      <w:pPr>
        <w:spacing w:after="20" w:line="240" w:lineRule="auto"/>
      </w:pPr>
      <w:r>
        <w:rPr>
          <w:color w:val="5C6875"/>
          <w:sz w:val="17"/>
        </w:rPr>
        <w:t>10  10. Respaldar antes de cambios</w:t>
      </w:r>
    </w:p>
    <w:p>
      <w:pPr>
        <w:spacing w:after="20" w:line="240" w:lineRule="auto"/>
      </w:pPr>
      <w:r>
        <w:rPr>
          <w:color w:val="5C6875"/>
          <w:sz w:val="17"/>
        </w:rPr>
        <w:t>11  11. Tabla de incidencias comunes</w:t>
      </w:r>
    </w:p>
    <w:p>
      <w:pPr>
        <w:spacing w:after="20" w:line="240" w:lineRule="auto"/>
      </w:pPr>
      <w:r>
        <w:rPr>
          <w:color w:val="5C6875"/>
          <w:sz w:val="17"/>
        </w:rPr>
        <w:t>12  12. Retirada segura del entorno</w:t>
      </w:r>
    </w:p>
    <w:p>
      <w:pPr>
        <w:spacing w:after="20" w:line="240" w:lineRule="auto"/>
      </w:pPr>
      <w:r>
        <w:rPr>
          <w:color w:val="5C6875"/>
          <w:sz w:val="17"/>
        </w:rPr>
        <w:t>13  Referencia</w:t>
      </w:r>
    </w:p>
    <w:p>
      <w:pPr>
        <w:spacing w:after="20" w:line="240" w:lineRule="auto"/>
      </w:pPr>
      <w:r>
        <w:rPr>
          <w:color w:val="5C6875"/>
          <w:sz w:val="17"/>
        </w:rPr>
        <w:t>14  11. Lista previa de comprobación</w:t>
      </w:r>
    </w:p>
    <w:p>
      <w:pPr>
        <w:spacing w:after="20" w:line="240" w:lineRule="auto"/>
      </w:pPr>
      <w:r>
        <w:rPr>
          <w:color w:val="5C6875"/>
          <w:sz w:val="17"/>
        </w:rPr>
        <w:t>15  12. Instalación nueva de principio a fin</w:t>
      </w:r>
    </w:p>
    <w:p>
      <w:pPr>
        <w:spacing w:after="20" w:line="240" w:lineRule="auto"/>
      </w:pPr>
      <w:r>
        <w:rPr>
          <w:color w:val="5C6875"/>
          <w:sz w:val="17"/>
        </w:rPr>
        <w:t>16  13. Preparar una junta de demostración</w:t>
      </w:r>
    </w:p>
    <w:p>
      <w:pPr>
        <w:spacing w:after="20" w:line="240" w:lineRule="auto"/>
      </w:pPr>
      <w:r>
        <w:rPr>
          <w:color w:val="5C6875"/>
          <w:sz w:val="17"/>
        </w:rPr>
        <w:t>17  14. Secuencia de diagnóstico por síntomas</w:t>
      </w:r>
    </w:p>
    <w:p>
      <w:pPr>
        <w:spacing w:after="20" w:line="240" w:lineRule="auto"/>
      </w:pPr>
      <w:r>
        <w:rPr>
          <w:color w:val="5C6875"/>
          <w:sz w:val="17"/>
        </w:rPr>
        <w:t>18  15. Detalle de migraciones por microservicio</w:t>
      </w:r>
    </w:p>
    <w:p>
      <w:pPr>
        <w:spacing w:after="20" w:line="240" w:lineRule="auto"/>
      </w:pPr>
      <w:r>
        <w:rPr>
          <w:color w:val="5C6875"/>
          <w:sz w:val="17"/>
        </w:rPr>
        <w:t>19  16. Respaldo y continuidad de datos</w:t>
      </w:r>
    </w:p>
    <w:p>
      <w:pPr>
        <w:spacing w:after="20" w:line="240" w:lineRule="auto"/>
      </w:pPr>
      <w:r>
        <w:rPr>
          <w:color w:val="5C6875"/>
          <w:sz w:val="17"/>
        </w:rPr>
        <w:t>20  17. Instalar y comprobar componentes opcionales</w:t>
      </w:r>
    </w:p>
    <w:p>
      <w:pPr>
        <w:spacing w:after="20" w:line="240" w:lineRule="auto"/>
      </w:pPr>
      <w:r>
        <w:rPr>
          <w:color w:val="5C6875"/>
          <w:sz w:val="17"/>
        </w:rPr>
        <w:t>21  18. Actualizar el sistema sin perder datos</w:t>
      </w:r>
    </w:p>
    <w:p>
      <w:pPr>
        <w:spacing w:after="20" w:line="240" w:lineRule="auto"/>
      </w:pPr>
      <w:r>
        <w:rPr>
          <w:color w:val="5C6875"/>
          <w:sz w:val="17"/>
        </w:rPr>
        <w:t>22  19. Acta de instalación y aceptación técnica</w:t>
      </w:r>
    </w:p>
    <w:p>
      <w:pPr>
        <w:spacing w:after="20" w:line="240" w:lineRule="auto"/>
      </w:pPr>
      <w:r>
        <w:rPr>
          <w:color w:val="5C6875"/>
          <w:sz w:val="17"/>
        </w:rPr>
        <w:t>23  20. Instalación por componentes cuando un módulo falla</w:t>
      </w:r>
    </w:p>
    <w:p>
      <w:pPr>
        <w:spacing w:after="20" w:line="240" w:lineRule="auto"/>
      </w:pPr>
      <w:r>
        <w:rPr>
          <w:color w:val="5C6875"/>
          <w:sz w:val="17"/>
        </w:rPr>
        <w:t>24  21. Comprobación de las comunicaciones internas</w:t>
      </w:r>
    </w:p>
    <w:p>
      <w:pPr>
        <w:spacing w:after="20" w:line="240" w:lineRule="auto"/>
      </w:pPr>
      <w:r>
        <w:rPr>
          <w:color w:val="5C6875"/>
          <w:sz w:val="17"/>
        </w:rPr>
        <w:t>25  22. Validación antes de entregar el sistema a otra persona</w:t>
      </w:r>
    </w:p>
    <w:p>
      <w:pPr>
        <w:spacing w:after="20" w:line="240" w:lineRule="auto"/>
      </w:pPr>
      <w:r>
        <w:rPr>
          <w:color w:val="5C6875"/>
          <w:sz w:val="17"/>
        </w:rPr>
        <w:t>26  23. Guía de solución de problemas de Windows y Docker</w:t>
      </w:r>
    </w:p>
    <w:p>
      <w:r>
        <w:br w:type="page"/>
      </w:r>
    </w:p>
    <w:p>
      <w:pPr>
        <w:pStyle w:val="Heading1"/>
      </w:pPr>
      <w:r>
        <w:t>1. Qué se instala</w:t>
      </w:r>
    </w:p>
    <w:p>
      <w:r>
        <w:t>El paquete SRD contiene código fuente y scripts para preparar la web, el Gateway y diez dominios Laravel con MySQL, Mailpit, procesos planificadores y ClamAV. No incorpora bases de datos, credenciales, imágenes Docker, node_modules, APK final ni instalador de escritorio firmado. La instalación se realiza en el PC que va a alojar el entorno.</w:t>
      </w:r>
    </w:p>
    <w:p>
      <w:pPr>
        <w:pStyle w:val="Heading1"/>
      </w:pPr>
      <w:r>
        <w:t>2. Antes de comenzar</w:t>
      </w:r>
    </w:p>
    <w:p>
      <w:pPr>
        <w:pStyle w:val="ListBullet"/>
      </w:pPr>
      <w:r>
        <w:t>Windows 10/11 con PowerShell y Docker Desktop en modo Linux, actualizado y abierto.</w:t>
      </w:r>
    </w:p>
    <w:p>
      <w:pPr>
        <w:pStyle w:val="ListBullet"/>
      </w:pPr>
      <w:r>
        <w:t>Conexión a Internet para descargar imágenes y dependencias; en la primera instalación puede tardar.</w:t>
      </w:r>
    </w:p>
    <w:p>
      <w:pPr>
        <w:pStyle w:val="ListBullet"/>
      </w:pPr>
      <w:r>
        <w:t>Espacio libre para imágenes/volúmenes MySQL y al menos memoria suficiente para Docker y antivirus.</w:t>
      </w:r>
    </w:p>
    <w:p>
      <w:pPr>
        <w:pStyle w:val="ListBullet"/>
      </w:pPr>
      <w:r>
        <w:t>El puerto 8080 estará reservado para la web; 8025 para Mailpit local.</w:t>
      </w:r>
    </w:p>
    <w:p>
      <w:pPr>
        <w:pStyle w:val="ListBullet"/>
      </w:pPr>
      <w:r>
        <w:t>No colocar el código ni los respaldos en directorios compartidos públicamente.</w:t>
      </w:r>
    </w:p>
    <w:p>
      <w:pPr>
        <w:pStyle w:val="Heading1"/>
      </w:pPr>
      <w:r>
        <w:t>3. Extraer y revisar los archivos</w:t>
      </w:r>
    </w:p>
    <w:p>
      <w:pPr>
        <w:ind w:left="346" w:hanging="259"/>
      </w:pPr>
      <w:r>
        <w:t>1. Extraer SRD-exposicion-2026-10-09.zip: quedará la carpeta SRD.</w:t>
      </w:r>
    </w:p>
    <w:p>
      <w:pPr>
        <w:ind w:left="346" w:hanging="259"/>
      </w:pPr>
      <w:r>
        <w:t>2. Abrir PowerShell dentro de SRD. No ejecutar comandos desde la carpeta que contiene al ZIP.</w:t>
      </w:r>
    </w:p>
    <w:p>
      <w:pPr>
        <w:ind w:left="346" w:hanging="259"/>
      </w:pPr>
      <w:r>
        <w:t>3. Confirmar que están compose.yaml, README.md, .env.example y scripts/Up.ps1.</w:t>
      </w:r>
    </w:p>
    <w:p>
      <w:pPr>
        <w:ind w:left="346" w:hanging="259"/>
      </w:pPr>
      <w:r>
        <w:t>4. Comprobar que Docker Desktop ha terminado de iniciar.</w:t>
      </w:r>
    </w:p>
    <w:p>
      <w:pPr>
        <w:pStyle w:val="NoSpacing"/>
        <w:spacing w:after="20"/>
      </w:pPr>
      <w:r>
        <w:rPr>
          <w:rFonts w:ascii="Consolas" w:hAnsi="Consolas"/>
          <w:color w:val="205472"/>
          <w:sz w:val="16"/>
        </w:rPr>
        <w:t>Get-Location</w:t>
      </w:r>
    </w:p>
    <w:p>
      <w:pPr>
        <w:pStyle w:val="NoSpacing"/>
        <w:spacing w:after="20"/>
      </w:pPr>
      <w:r>
        <w:rPr>
          <w:rFonts w:ascii="Consolas" w:hAnsi="Consolas"/>
          <w:color w:val="205472"/>
          <w:sz w:val="16"/>
        </w:rPr>
        <w:t>Test-Path .\compose.yaml</w:t>
      </w:r>
    </w:p>
    <w:p>
      <w:pPr>
        <w:pStyle w:val="NoSpacing"/>
        <w:spacing w:after="20"/>
      </w:pPr>
      <w:r>
        <w:rPr>
          <w:rFonts w:ascii="Consolas" w:hAnsi="Consolas"/>
          <w:color w:val="205472"/>
          <w:sz w:val="16"/>
        </w:rPr>
        <w:t>Test-Path .\scripts\Up.ps1</w:t>
      </w:r>
    </w:p>
    <w:p>
      <w:pPr>
        <w:pStyle w:val="NoSpacing"/>
        <w:spacing w:after="20"/>
      </w:pPr>
      <w:r>
        <w:rPr>
          <w:rFonts w:ascii="Consolas" w:hAnsi="Consolas"/>
          <w:color w:val="205472"/>
          <w:sz w:val="16"/>
        </w:rPr>
        <w:t>docker info</w:t>
      </w:r>
    </w:p>
    <w:p>
      <w:pPr>
        <w:pStyle w:val="NoSpacing"/>
        <w:spacing w:after="20"/>
      </w:pPr>
      <w:r>
        <w:rPr>
          <w:rFonts w:ascii="Consolas" w:hAnsi="Consolas"/>
          <w:color w:val="205472"/>
          <w:sz w:val="16"/>
        </w:rPr>
        <w:t>docker compose config -q</w:t>
      </w:r>
    </w:p>
    <w:p>
      <w:pPr>
        <w:spacing w:after="20"/>
      </w:pPr>
    </w:p>
    <w:p>
      <w:pPr>
        <w:pStyle w:val="Heading1"/>
      </w:pPr>
      <w:r>
        <w:t>4. Primera instalación</w:t>
      </w:r>
    </w:p>
    <w:p>
      <w:r>
        <w:t>El script Up.ps1 ejecuta la inicialización de variables locales, aprovisiona las bases por dominio, aplica migraciones existentes y levanta los contenedores esenciales. Conserva credenciales de una instalación anterior y no debe confundirse con una reinstalación desde cero.</w:t>
      </w:r>
    </w:p>
    <w:p>
      <w:pPr>
        <w:pStyle w:val="NoSpacing"/>
        <w:spacing w:after="20"/>
      </w:pPr>
      <w:r>
        <w:rPr>
          <w:rFonts w:ascii="Consolas" w:hAnsi="Consolas"/>
          <w:color w:val="205472"/>
          <w:sz w:val="16"/>
        </w:rPr>
        <w:t>./scripts/Up.ps1</w:t>
      </w:r>
    </w:p>
    <w:p>
      <w:pPr>
        <w:spacing w:after="20"/>
      </w:pPr>
    </w:p>
    <w:p>
      <w:r>
        <w:t>Esperar a que la construcción de imágenes y la inicialización de MySQL terminen. Si aparece una advertencia de memoria, cerrar aplicaciones pesadas y revisar qué contenedor falló; no restablecer el volumen de MySQL.</w:t>
      </w:r>
    </w:p>
    <w:p>
      <w:pPr>
        <w:pStyle w:val="Heading1"/>
      </w:pPr>
      <w:r>
        <w:t>5. Comprobación en consola</w:t>
      </w:r>
    </w:p>
    <w:p>
      <w:pPr>
        <w:pStyle w:val="NoSpacing"/>
        <w:spacing w:after="20"/>
      </w:pPr>
      <w:r>
        <w:rPr>
          <w:rFonts w:ascii="Consolas" w:hAnsi="Consolas"/>
          <w:color w:val="205472"/>
          <w:sz w:val="16"/>
        </w:rPr>
        <w:t>docker compose ps</w:t>
      </w:r>
    </w:p>
    <w:p>
      <w:pPr>
        <w:pStyle w:val="NoSpacing"/>
        <w:spacing w:after="20"/>
      </w:pPr>
      <w:r>
        <w:rPr>
          <w:rFonts w:ascii="Consolas" w:hAnsi="Consolas"/>
          <w:color w:val="205472"/>
          <w:sz w:val="16"/>
        </w:rPr>
        <w:t>docker compose exec identity php artisan migrate:status</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spacing w:after="20"/>
      </w:pPr>
    </w:p>
    <w:p>
      <w:r>
        <w:t>Los dominios y sus planificadores deben aparecer activos y, cuando exista sonda, saludables. Si un servicio muestra Migration table not found, confirmar primero que apunta a la base esperada y que está vacía; después aplicar exclusivamente sus migraciones con respaldo y migrate --force.</w:t>
      </w:r>
    </w:p>
    <w:p>
      <w:pPr>
        <w:pStyle w:val="Heading1"/>
      </w:pPr>
      <w:r>
        <w:t>6. Abrir SRD y el correo de prueba</w:t>
      </w:r>
    </w:p>
    <w:p>
      <w:r>
        <w:t>Acceder a http://localhost:8080. Cada junta dispone de su ruta /j/&lt;codigo&gt;/login. La demostración del 09/10 utiliza /j/srd-e2e-a/login y una cuenta ficticia creada por el script de exposición; este código no sustituye el procedimiento de creación de juntas reales.</w:t>
      </w:r>
    </w:p>
    <w:p>
      <w:r>
        <w:t>El mensaje de verificación por correo del entorno de pruebas se consulta en http://localhost:8025. Mailpit no entrega correos reales y no debe configurarse como correo de producción.</w:t>
      </w:r>
    </w:p>
    <w:p>
      <w:pPr>
        <w:pStyle w:val="Heading1"/>
      </w:pPr>
      <w:r>
        <w:t>7. Cargar datos sintéticos para la exposición</w:t>
      </w:r>
    </w:p>
    <w:p>
      <w:pPr>
        <w:pStyle w:val="NoSpacing"/>
        <w:spacing w:after="20"/>
      </w:pPr>
      <w:r>
        <w:rPr>
          <w:rFonts w:ascii="Consolas" w:hAnsi="Consolas"/>
          <w:color w:val="205472"/>
          <w:sz w:val="16"/>
        </w:rPr>
        <w:t>./scripts/Start-Exposition.ps1 -WebOnly</w:t>
      </w:r>
    </w:p>
    <w:p>
      <w:pPr>
        <w:spacing w:after="20"/>
      </w:pPr>
    </w:p>
    <w:p>
      <w:r>
        <w:t>El script prepara una junta sintética con ocho personas pendientes, cuatro eventos, tres asientos y tres bienes. El usuario de muestra es admin@srd-e2e.test y su contraseña se lee exclusivamente en .local/e2e-fixture.json del PC. No compartir ni anexar ese archivo a la documentación. Evitar reintentos continuos de login si el gateway responde 429.</w:t>
      </w:r>
    </w:p>
    <w:p>
      <w:pPr>
        <w:pStyle w:val="Heading1"/>
      </w:pPr>
      <w:r>
        <w:t>8. Demostrar el cliente Android con Expo Go</w:t>
      </w:r>
    </w:p>
    <w:p>
      <w:pPr>
        <w:ind w:left="346" w:hanging="259"/>
      </w:pPr>
      <w:r>
        <w:t>1. Instalar Node.js 24, Android Platform Tools y Expo Go compatible con SDK 57.</w:t>
      </w:r>
    </w:p>
    <w:p>
      <w:pPr>
        <w:ind w:left="346" w:hanging="259"/>
      </w:pPr>
      <w:r>
        <w:t>2. Conectar el Android por USB, autorizar depuración y confirmar adb devices.</w:t>
      </w:r>
    </w:p>
    <w:p>
      <w:pPr>
        <w:ind w:left="346" w:hanging="259"/>
      </w:pPr>
      <w:r>
        <w:t>3. En la raíz SRD iniciar ./scripts/Start-Exposition.ps1 con los servicios listos; el script prepara Metro y el reenvío de puertos 8080 y 8081.</w:t>
      </w:r>
    </w:p>
    <w:p>
      <w:pPr>
        <w:ind w:left="346" w:hanging="259"/>
      </w:pPr>
      <w:r>
        <w:t>4. En Expo Go utilizar http://localhost:8080, la junta srd-e2e-a y las credenciales locales; completar MFA.</w:t>
      </w:r>
    </w:p>
    <w:p>
      <w:pPr>
        <w:ind w:left="346" w:hanging="259"/>
      </w:pPr>
      <w:r>
        <w:t>5. Mantener conectado el USB y la terminal Metro durante la exposición.</w:t>
      </w:r>
    </w:p>
    <w:p>
      <w:pPr>
        <w:pStyle w:val="NoSpacing"/>
        <w:spacing w:after="20"/>
      </w:pPr>
      <w:r>
        <w:rPr>
          <w:rFonts w:ascii="Consolas" w:hAnsi="Consolas"/>
          <w:color w:val="205472"/>
          <w:sz w:val="16"/>
        </w:rPr>
        <w:t>adb devices</w:t>
      </w:r>
    </w:p>
    <w:p>
      <w:pPr>
        <w:pStyle w:val="NoSpacing"/>
        <w:spacing w:after="20"/>
      </w:pPr>
      <w:r>
        <w:rPr>
          <w:rFonts w:ascii="Consolas" w:hAnsi="Consolas"/>
          <w:color w:val="205472"/>
          <w:sz w:val="16"/>
        </w:rPr>
        <w:t>./scripts/Start-ExpoGo.ps1</w:t>
      </w:r>
    </w:p>
    <w:p>
      <w:pPr>
        <w:spacing w:after="20"/>
      </w:pPr>
    </w:p>
    <w:p>
      <w:r>
        <w:t>Expo Go ejecuta una variante del cliente móvil y no constituye un APK de publicación. Para el cliente Android nativo y Electron consultar docs/MOVIL.md y docs/ESCRITORIO.md.</w:t>
      </w:r>
    </w:p>
    <w:p>
      <w:pPr>
        <w:pStyle w:val="Heading1"/>
      </w:pPr>
      <w:r>
        <w:t>9. Comprobar el antivirus</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--tail=40 antivirus-updater</w:t>
      </w:r>
    </w:p>
    <w:p>
      <w:pPr>
        <w:pStyle w:val="NoSpacing"/>
        <w:spacing w:after="20"/>
      </w:pPr>
      <w:r>
        <w:rPr>
          <w:rFonts w:ascii="Consolas" w:hAnsi="Consolas"/>
          <w:color w:val="205472"/>
          <w:sz w:val="16"/>
        </w:rPr>
        <w:t>docker compose exec antivirus clamdscan --version</w:t>
      </w:r>
    </w:p>
    <w:p>
      <w:pPr>
        <w:pStyle w:val="NoSpacing"/>
        <w:spacing w:after="20"/>
      </w:pPr>
      <w:r>
        <w:rPr>
          <w:rFonts w:ascii="Consolas" w:hAnsi="Consolas"/>
          <w:color w:val="205472"/>
          <w:sz w:val="16"/>
        </w:rPr>
        <w:t>docker compose exec files sh -c "ls -l /var/lib/clamav/srd-update-ok"</w:t>
      </w:r>
    </w:p>
    <w:p>
      <w:pPr>
        <w:spacing w:after="20"/>
      </w:pPr>
    </w:p>
    <w:p>
      <w:r>
        <w:t>Si update-signatures.sh falla con illegal option -, revisar sus saltos de línea CRLF y convertirlos a LF antes de recrear el actualizador. El motor clamd puede estar healthy aunque las firmas estén viejas; se deben comprobar ambos procesos y el marcador.</w:t>
      </w:r>
    </w:p>
    <w:p>
      <w:pPr>
        <w:pStyle w:val="Heading1"/>
      </w:pPr>
      <w:r>
        <w:t>10. Respaldar antes de cambios</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spacing w:after="20"/>
      </w:pPr>
    </w:p>
    <w:p>
      <w:r>
        <w:t>El respaldo detiene brevemente servicios de aplicación mientras copia y cifra datos. No borrar .local/backups/recovery-key.bin, necesario para restaurar el material cifrado. La restauración de prueba se realiza en contenedor aislado.</w:t>
      </w:r>
    </w:p>
    <w:p>
      <w:pPr>
        <w:pStyle w:val="Heading1"/>
      </w:pPr>
      <w:r>
        <w:t>11. Tabla de incidencias comunes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Problema</w:t>
            </w:r>
          </w:p>
        </w:tc>
        <w:tc>
          <w:tcPr>
            <w:tcW w:type="dxa" w:w="3154"/>
            <w:shd w:fill="E9EEF2"/>
          </w:tcPr>
          <w:p>
            <w:r>
              <w:rPr>
                <w:b/>
                <w:sz w:val="17"/>
              </w:rPr>
              <w:t>Qué revisar</w:t>
            </w:r>
          </w:p>
        </w:tc>
        <w:tc>
          <w:tcPr>
            <w:tcW w:type="dxa" w:w="3154"/>
            <w:shd w:fill="E9EEF2"/>
          </w:tcPr>
          <w:p>
            <w:r>
              <w:rPr>
                <w:b/>
                <w:sz w:val="17"/>
              </w:rPr>
              <w:t>Acción prudente</w:t>
            </w:r>
          </w:p>
        </w:tc>
      </w:tr>
      <w:tr>
        <w:tc>
          <w:tcPr>
            <w:tcW w:type="dxa" w:w="3154"/>
            <w:vAlign w:val="center"/>
          </w:tcPr>
          <w:p>
            <w:pPr>
              <w:spacing w:after="40" w:before="40"/>
            </w:pPr>
            <w:r>
              <w:rPr>
                <w:sz w:val="16"/>
              </w:rPr>
              <w:t>Docker no responde</w:t>
            </w:r>
          </w:p>
        </w:tc>
        <w:tc>
          <w:tcPr>
            <w:tcW w:type="dxa" w:w="3154"/>
            <w:vAlign w:val="center"/>
          </w:tcPr>
          <w:p>
            <w:pPr>
              <w:spacing w:after="40" w:before="40"/>
            </w:pPr>
            <w:r>
              <w:rPr>
                <w:sz w:val="16"/>
              </w:rPr>
              <w:t>Docker Desktop y contenedores Linux</w:t>
            </w:r>
          </w:p>
        </w:tc>
        <w:tc>
          <w:tcPr>
            <w:tcW w:type="dxa" w:w="3154"/>
            <w:vAlign w:val="center"/>
          </w:tcPr>
          <w:p>
            <w:pPr>
              <w:spacing w:after="40" w:before="40"/>
            </w:pPr>
            <w:r>
              <w:rPr>
                <w:sz w:val="16"/>
              </w:rPr>
              <w:t>Iniciar motor y repetir verificación</w:t>
            </w:r>
          </w:p>
        </w:tc>
      </w:tr>
      <w:tr>
        <w:tc>
          <w:tcPr>
            <w:tcW w:type="dxa" w:w="3154"/>
            <w:vAlign w:val="center"/>
            <w:shd w:fill="F6F8F9"/>
          </w:tcPr>
          <w:p>
            <w:pPr>
              <w:spacing w:after="40" w:before="40"/>
            </w:pPr>
            <w:r>
              <w:rPr>
                <w:sz w:val="16"/>
              </w:rPr>
              <w:t>No existe la tabla migrations</w:t>
            </w:r>
          </w:p>
        </w:tc>
        <w:tc>
          <w:tcPr>
            <w:tcW w:type="dxa" w:w="3154"/>
            <w:vAlign w:val="center"/>
            <w:shd w:fill="F6F8F9"/>
          </w:tcPr>
          <w:p>
            <w:pPr>
              <w:spacing w:after="40" w:before="40"/>
            </w:pPr>
            <w:r>
              <w:rPr>
                <w:sz w:val="16"/>
              </w:rPr>
              <w:t>Base específica del servicio</w:t>
            </w:r>
          </w:p>
        </w:tc>
        <w:tc>
          <w:tcPr>
            <w:tcW w:type="dxa" w:w="3154"/>
            <w:vAlign w:val="center"/>
            <w:shd w:fill="F6F8F9"/>
          </w:tcPr>
          <w:p>
            <w:pPr>
              <w:spacing w:after="40" w:before="40"/>
            </w:pPr>
            <w:r>
              <w:rPr>
                <w:sz w:val="16"/>
              </w:rPr>
              <w:t>Consultar db:show; luego migrate --force si corresponde</w:t>
            </w:r>
          </w:p>
        </w:tc>
      </w:tr>
      <w:tr>
        <w:tc>
          <w:tcPr>
            <w:tcW w:type="dxa" w:w="3154"/>
            <w:vAlign w:val="center"/>
          </w:tcPr>
          <w:p>
            <w:pPr>
              <w:spacing w:after="40" w:before="40"/>
            </w:pPr>
            <w:r>
              <w:rPr>
                <w:sz w:val="16"/>
              </w:rPr>
              <w:t>Servicio unhealthy</w:t>
            </w:r>
          </w:p>
        </w:tc>
        <w:tc>
          <w:tcPr>
            <w:tcW w:type="dxa" w:w="3154"/>
            <w:vAlign w:val="center"/>
          </w:tcPr>
          <w:p>
            <w:pPr>
              <w:spacing w:after="40" w:before="40"/>
            </w:pPr>
            <w:r>
              <w:rPr>
                <w:sz w:val="16"/>
              </w:rPr>
              <w:t>docker inspect health y docker compose logs</w:t>
            </w:r>
          </w:p>
        </w:tc>
        <w:tc>
          <w:tcPr>
            <w:tcW w:type="dxa" w:w="3154"/>
            <w:vAlign w:val="center"/>
          </w:tcPr>
          <w:p>
            <w:pPr>
              <w:spacing w:after="40" w:before="40"/>
            </w:pPr>
            <w:r>
              <w:rPr>
                <w:sz w:val="16"/>
              </w:rPr>
              <w:t>Identificar dependencia/heartbeat antes de reiniciar</w:t>
            </w:r>
          </w:p>
        </w:tc>
      </w:tr>
      <w:tr>
        <w:tc>
          <w:tcPr>
            <w:tcW w:type="dxa" w:w="3154"/>
            <w:vAlign w:val="center"/>
            <w:shd w:fill="F6F8F9"/>
          </w:tcPr>
          <w:p>
            <w:pPr>
              <w:spacing w:after="40" w:before="40"/>
            </w:pPr>
            <w:r>
              <w:rPr>
                <w:sz w:val="16"/>
              </w:rPr>
              <w:t>No aparece el código MFA</w:t>
            </w:r>
          </w:p>
        </w:tc>
        <w:tc>
          <w:tcPr>
            <w:tcW w:type="dxa" w:w="3154"/>
            <w:vAlign w:val="center"/>
            <w:shd w:fill="F6F8F9"/>
          </w:tcPr>
          <w:p>
            <w:pPr>
              <w:spacing w:after="40" w:before="40"/>
            </w:pPr>
            <w:r>
              <w:rPr>
                <w:sz w:val="16"/>
              </w:rPr>
              <w:t>Mailpit local y limits del Gateway</w:t>
            </w:r>
          </w:p>
        </w:tc>
        <w:tc>
          <w:tcPr>
            <w:tcW w:type="dxa" w:w="3154"/>
            <w:vAlign w:val="center"/>
            <w:shd w:fill="F6F8F9"/>
          </w:tcPr>
          <w:p>
            <w:pPr>
              <w:spacing w:after="40" w:before="40"/>
            </w:pPr>
            <w:r>
              <w:rPr>
                <w:sz w:val="16"/>
              </w:rPr>
              <w:t>Esperar HTTP 429 si aplica; revisar logs</w:t>
            </w:r>
          </w:p>
        </w:tc>
      </w:tr>
      <w:tr>
        <w:tc>
          <w:tcPr>
            <w:tcW w:type="dxa" w:w="3154"/>
            <w:vAlign w:val="center"/>
          </w:tcPr>
          <w:p>
            <w:pPr>
              <w:spacing w:after="40" w:before="40"/>
            </w:pPr>
            <w:r>
              <w:rPr>
                <w:sz w:val="16"/>
              </w:rPr>
              <w:t>Archivos bloquea subida</w:t>
            </w:r>
          </w:p>
        </w:tc>
        <w:tc>
          <w:tcPr>
            <w:tcW w:type="dxa" w:w="3154"/>
            <w:vAlign w:val="center"/>
          </w:tcPr>
          <w:p>
            <w:pPr>
              <w:spacing w:after="40" w:before="40"/>
            </w:pPr>
            <w:r>
              <w:rPr>
                <w:sz w:val="16"/>
              </w:rPr>
              <w:t>ClamAV, firmas, cuota y permisos</w:t>
            </w:r>
          </w:p>
        </w:tc>
        <w:tc>
          <w:tcPr>
            <w:tcW w:type="dxa" w:w="3154"/>
            <w:vAlign w:val="center"/>
          </w:tcPr>
          <w:p>
            <w:pPr>
              <w:spacing w:after="40" w:before="40"/>
            </w:pPr>
            <w:r>
              <w:rPr>
                <w:sz w:val="16"/>
              </w:rPr>
              <w:t>Recuperar escáner sin desactivar validación</w:t>
            </w:r>
          </w:p>
        </w:tc>
      </w:tr>
      <w:tr>
        <w:tc>
          <w:tcPr>
            <w:tcW w:type="dxa" w:w="3154"/>
            <w:vAlign w:val="center"/>
            <w:shd w:fill="F6F8F9"/>
          </w:tcPr>
          <w:p>
            <w:pPr>
              <w:spacing w:after="40" w:before="40"/>
            </w:pPr>
            <w:r>
              <w:rPr>
                <w:sz w:val="16"/>
              </w:rPr>
              <w:t>Pantalla móvil no conecta</w:t>
            </w:r>
          </w:p>
        </w:tc>
        <w:tc>
          <w:tcPr>
            <w:tcW w:type="dxa" w:w="3154"/>
            <w:vAlign w:val="center"/>
            <w:shd w:fill="F6F8F9"/>
          </w:tcPr>
          <w:p>
            <w:pPr>
              <w:spacing w:after="40" w:before="40"/>
            </w:pPr>
            <w:r>
              <w:rPr>
                <w:sz w:val="16"/>
              </w:rPr>
              <w:t>USB, adb reverse y Expo Go SDK 57</w:t>
            </w:r>
          </w:p>
        </w:tc>
        <w:tc>
          <w:tcPr>
            <w:tcW w:type="dxa" w:w="3154"/>
            <w:vAlign w:val="center"/>
            <w:shd w:fill="F6F8F9"/>
          </w:tcPr>
          <w:p>
            <w:pPr>
              <w:spacing w:after="40" w:before="40"/>
            </w:pPr>
            <w:r>
              <w:rPr>
                <w:sz w:val="16"/>
              </w:rPr>
              <w:t>Relanzar Start-ExpoGo.ps1, conservar Metro</w:t>
            </w:r>
          </w:p>
        </w:tc>
      </w:tr>
      <w:tr>
        <w:tc>
          <w:tcPr>
            <w:tcW w:type="dxa" w:w="3154"/>
            <w:vAlign w:val="center"/>
          </w:tcPr>
          <w:p>
            <w:pPr>
              <w:spacing w:after="40" w:before="40"/>
            </w:pPr>
            <w:r>
              <w:rPr>
                <w:sz w:val="16"/>
              </w:rPr>
              <w:t>No caben los servicios en memoria</w:t>
            </w:r>
          </w:p>
        </w:tc>
        <w:tc>
          <w:tcPr>
            <w:tcW w:type="dxa" w:w="3154"/>
            <w:vAlign w:val="center"/>
          </w:tcPr>
          <w:p>
            <w:pPr>
              <w:spacing w:after="40" w:before="40"/>
            </w:pPr>
            <w:r>
              <w:rPr>
                <w:sz w:val="16"/>
              </w:rPr>
              <w:t>docker stats --no-stream</w:t>
            </w:r>
          </w:p>
        </w:tc>
        <w:tc>
          <w:tcPr>
            <w:tcW w:type="dxa" w:w="3154"/>
            <w:vAlign w:val="center"/>
          </w:tcPr>
          <w:p>
            <w:pPr>
              <w:spacing w:after="40" w:before="40"/>
            </w:pPr>
            <w:r>
              <w:rPr>
                <w:sz w:val="16"/>
              </w:rPr>
              <w:t>Cerrar emulador o procesos innecesarios</w:t>
            </w:r>
          </w:p>
        </w:tc>
      </w:tr>
    </w:tbl>
    <w:p>
      <w:pPr>
        <w:spacing w:after="40"/>
      </w:pPr>
    </w:p>
    <w:p>
      <w:pPr>
        <w:pStyle w:val="Heading1"/>
      </w:pPr>
      <w:r>
        <w:t>12. Retirada segura del entorno</w:t>
      </w:r>
    </w:p>
    <w:p>
      <w:r>
        <w:t>Para detener servicios usar el procedimiento operativo del repositorio y comprobar su alcance antes de ejecutarlo. No usar la opción -v de docker compose down: elimina volúmenes de datos. Si se entrega el sistema a otro computador, compartir solo el ZIP de fuentes y regenerar credenciales y fixtures en destino.</w:t>
      </w:r>
    </w:p>
    <w:p>
      <w:pPr>
        <w:pStyle w:val="Heading1"/>
      </w:pPr>
      <w:r>
        <w:t>Referencia</w:t>
      </w:r>
    </w:p>
    <w:p>
      <w:r>
        <w:t>README.md; scripts/Up.ps1, Start-Exposition.ps1, Start-ExpoGo.ps1, Backup-Local.ps1; docs/GUIA-EXPOSICION-2026-10-09.md y docs/RESPALDOS.md. Verificado contra la estructura del paquete SRD del 09/10/2026.</w:t>
      </w:r>
    </w:p>
    <w:p>
      <w:pPr>
        <w:pStyle w:val="Heading1"/>
      </w:pPr>
      <w:r>
        <w:t>11. Lista previa de comprobación</w:t>
      </w:r>
    </w:p>
    <w:p>
      <w:r>
        <w:t>Antes de copiar o ejecutar SRD en otra máquina, el objetivo es determinar si existe suficiente memoria y si los datos que haya en Docker pertenecen a una instalación que se debe conservar.</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Elemento</w:t>
            </w:r>
          </w:p>
        </w:tc>
        <w:tc>
          <w:tcPr>
            <w:tcW w:type="dxa" w:w="3154"/>
            <w:shd w:fill="E9EEF2"/>
          </w:tcPr>
          <w:p>
            <w:r>
              <w:rPr>
                <w:b/>
                <w:sz w:val="17"/>
              </w:rPr>
              <w:t>Comprobación</w:t>
            </w:r>
          </w:p>
        </w:tc>
        <w:tc>
          <w:tcPr>
            <w:tcW w:type="dxa" w:w="3154"/>
            <w:shd w:fill="E9EEF2"/>
          </w:tcPr>
          <w:p>
            <w:r>
              <w:rPr>
                <w:b/>
                <w:sz w:val="17"/>
              </w:rPr>
              <w:t>Observación</w:t>
            </w:r>
          </w:p>
        </w:tc>
      </w:tr>
      <w:tr>
        <w:tc>
          <w:tcPr>
            <w:tcW w:type="dxa" w:w="3154"/>
            <w:vAlign w:val="center"/>
          </w:tcPr>
          <w:p>
            <w:pPr>
              <w:spacing w:after="40" w:before="40"/>
            </w:pPr>
            <w:r>
              <w:rPr>
                <w:sz w:val="16"/>
              </w:rPr>
              <w:t>Docker Desktop</w:t>
            </w:r>
          </w:p>
        </w:tc>
        <w:tc>
          <w:tcPr>
            <w:tcW w:type="dxa" w:w="3154"/>
            <w:vAlign w:val="center"/>
          </w:tcPr>
          <w:p>
            <w:pPr>
              <w:spacing w:after="40" w:before="40"/>
            </w:pPr>
            <w:r>
              <w:rPr>
                <w:sz w:val="16"/>
              </w:rPr>
              <w:t>Motor Linux activo mediante docker info</w:t>
            </w:r>
          </w:p>
        </w:tc>
        <w:tc>
          <w:tcPr>
            <w:tcW w:type="dxa" w:w="3154"/>
            <w:vAlign w:val="center"/>
          </w:tcPr>
          <w:p>
            <w:pPr>
              <w:spacing w:after="40" w:before="40"/>
            </w:pPr>
            <w:r>
              <w:rPr>
                <w:sz w:val="16"/>
              </w:rPr>
              <w:t>No confundir cliente instalado con motor encendido</w:t>
            </w:r>
          </w:p>
        </w:tc>
      </w:tr>
      <w:tr>
        <w:tc>
          <w:tcPr>
            <w:tcW w:type="dxa" w:w="3154"/>
            <w:vAlign w:val="center"/>
            <w:shd w:fill="F6F8F9"/>
          </w:tcPr>
          <w:p>
            <w:pPr>
              <w:spacing w:after="40" w:before="40"/>
            </w:pPr>
            <w:r>
              <w:rPr>
                <w:sz w:val="16"/>
              </w:rPr>
              <w:t>Compose</w:t>
            </w:r>
          </w:p>
        </w:tc>
        <w:tc>
          <w:tcPr>
            <w:tcW w:type="dxa" w:w="3154"/>
            <w:vAlign w:val="center"/>
            <w:shd w:fill="F6F8F9"/>
          </w:tcPr>
          <w:p>
            <w:pPr>
              <w:spacing w:after="40" w:before="40"/>
            </w:pPr>
            <w:r>
              <w:rPr>
                <w:sz w:val="16"/>
              </w:rPr>
              <w:t>docker compose version y docker compose config -q</w:t>
            </w:r>
          </w:p>
        </w:tc>
        <w:tc>
          <w:tcPr>
            <w:tcW w:type="dxa" w:w="3154"/>
            <w:vAlign w:val="center"/>
            <w:shd w:fill="F6F8F9"/>
          </w:tcPr>
          <w:p>
            <w:pPr>
              <w:spacing w:after="40" w:before="40"/>
            </w:pPr>
            <w:r>
              <w:rPr>
                <w:sz w:val="16"/>
              </w:rPr>
              <w:t>Detectar configuraciones inválidas antes del arranque</w:t>
            </w:r>
          </w:p>
        </w:tc>
      </w:tr>
      <w:tr>
        <w:tc>
          <w:tcPr>
            <w:tcW w:type="dxa" w:w="3154"/>
            <w:vAlign w:val="center"/>
          </w:tcPr>
          <w:p>
            <w:pPr>
              <w:spacing w:after="40" w:before="40"/>
            </w:pPr>
            <w:r>
              <w:rPr>
                <w:sz w:val="16"/>
              </w:rPr>
              <w:t>Archivos fuente</w:t>
            </w:r>
          </w:p>
        </w:tc>
        <w:tc>
          <w:tcPr>
            <w:tcW w:type="dxa" w:w="3154"/>
            <w:vAlign w:val="center"/>
          </w:tcPr>
          <w:p>
            <w:pPr>
              <w:spacing w:after="40" w:before="40"/>
            </w:pPr>
            <w:r>
              <w:rPr>
                <w:sz w:val="16"/>
              </w:rPr>
              <w:t>README.md, compose.yaml, docker/ y scripts/ presentes</w:t>
            </w:r>
          </w:p>
        </w:tc>
        <w:tc>
          <w:tcPr>
            <w:tcW w:type="dxa" w:w="3154"/>
            <w:vAlign w:val="center"/>
          </w:tcPr>
          <w:p>
            <w:pPr>
              <w:spacing w:after="40" w:before="40"/>
            </w:pPr>
            <w:r>
              <w:rPr>
                <w:sz w:val="16"/>
              </w:rPr>
              <w:t>Los scripts deben conservar saltos LF si son shell</w:t>
            </w:r>
          </w:p>
        </w:tc>
      </w:tr>
      <w:tr>
        <w:tc>
          <w:tcPr>
            <w:tcW w:type="dxa" w:w="3154"/>
            <w:vAlign w:val="center"/>
            <w:shd w:fill="F6F8F9"/>
          </w:tcPr>
          <w:p>
            <w:pPr>
              <w:spacing w:after="40" w:before="40"/>
            </w:pPr>
            <w:r>
              <w:rPr>
                <w:sz w:val="16"/>
              </w:rPr>
              <w:t>Puertos</w:t>
            </w:r>
          </w:p>
        </w:tc>
        <w:tc>
          <w:tcPr>
            <w:tcW w:type="dxa" w:w="3154"/>
            <w:vAlign w:val="center"/>
            <w:shd w:fill="F6F8F9"/>
          </w:tcPr>
          <w:p>
            <w:pPr>
              <w:spacing w:after="40" w:before="40"/>
            </w:pPr>
            <w:r>
              <w:rPr>
                <w:sz w:val="16"/>
              </w:rPr>
              <w:t>8080 y 8025 disponibles en 127.0.0.1</w:t>
            </w:r>
          </w:p>
        </w:tc>
        <w:tc>
          <w:tcPr>
            <w:tcW w:type="dxa" w:w="3154"/>
            <w:vAlign w:val="center"/>
            <w:shd w:fill="F6F8F9"/>
          </w:tcPr>
          <w:p>
            <w:pPr>
              <w:spacing w:after="40" w:before="40"/>
            </w:pPr>
            <w:r>
              <w:rPr>
                <w:sz w:val="16"/>
              </w:rPr>
              <w:t>El despliegue normal no expone dominios</w:t>
            </w:r>
          </w:p>
        </w:tc>
      </w:tr>
      <w:tr>
        <w:tc>
          <w:tcPr>
            <w:tcW w:type="dxa" w:w="3154"/>
            <w:vAlign w:val="center"/>
          </w:tcPr>
          <w:p>
            <w:pPr>
              <w:spacing w:after="40" w:before="40"/>
            </w:pPr>
            <w:r>
              <w:rPr>
                <w:sz w:val="16"/>
              </w:rPr>
              <w:t>Datos anteriores</w:t>
            </w:r>
          </w:p>
        </w:tc>
        <w:tc>
          <w:tcPr>
            <w:tcW w:type="dxa" w:w="3154"/>
            <w:vAlign w:val="center"/>
          </w:tcPr>
          <w:p>
            <w:pPr>
              <w:spacing w:after="40" w:before="40"/>
            </w:pPr>
            <w:r>
              <w:rPr>
                <w:sz w:val="16"/>
              </w:rPr>
              <w:t>Revisar .env y volúmenes SRD existentes</w:t>
            </w:r>
          </w:p>
        </w:tc>
        <w:tc>
          <w:tcPr>
            <w:tcW w:type="dxa" w:w="3154"/>
            <w:vAlign w:val="center"/>
          </w:tcPr>
          <w:p>
            <w:pPr>
              <w:spacing w:after="40" w:before="40"/>
            </w:pPr>
            <w:r>
              <w:rPr>
                <w:sz w:val="16"/>
              </w:rPr>
              <w:t>No generar credenciales nuevas sobre datos persistentes</w:t>
            </w:r>
          </w:p>
        </w:tc>
      </w:tr>
      <w:tr>
        <w:tc>
          <w:tcPr>
            <w:tcW w:type="dxa" w:w="3154"/>
            <w:vAlign w:val="center"/>
            <w:shd w:fill="F6F8F9"/>
          </w:tcPr>
          <w:p>
            <w:pPr>
              <w:spacing w:after="40" w:before="40"/>
            </w:pPr>
            <w:r>
              <w:rPr>
                <w:sz w:val="16"/>
              </w:rPr>
              <w:t>Conectividad</w:t>
            </w:r>
          </w:p>
        </w:tc>
        <w:tc>
          <w:tcPr>
            <w:tcW w:type="dxa" w:w="3154"/>
            <w:vAlign w:val="center"/>
            <w:shd w:fill="F6F8F9"/>
          </w:tcPr>
          <w:p>
            <w:pPr>
              <w:spacing w:after="40" w:before="40"/>
            </w:pPr>
            <w:r>
              <w:rPr>
                <w:sz w:val="16"/>
              </w:rPr>
              <w:t>Internet para primera descarga de imágenes y firmas</w:t>
            </w:r>
          </w:p>
        </w:tc>
        <w:tc>
          <w:tcPr>
            <w:tcW w:type="dxa" w:w="3154"/>
            <w:vAlign w:val="center"/>
            <w:shd w:fill="F6F8F9"/>
          </w:tcPr>
          <w:p>
            <w:pPr>
              <w:spacing w:after="40" w:before="40"/>
            </w:pPr>
            <w:r>
              <w:rPr>
                <w:sz w:val="16"/>
              </w:rPr>
              <w:t>Primer arranque tarda más y usa memoria adicional</w:t>
            </w:r>
          </w:p>
        </w:tc>
      </w:tr>
    </w:tbl>
    <w:p>
      <w:pPr>
        <w:spacing w:after="40"/>
      </w:pPr>
    </w:p>
    <w:p>
      <w:pPr>
        <w:pStyle w:val="Heading1"/>
      </w:pPr>
      <w:r>
        <w:t>12. Instalación nueva de principio a fin</w:t>
      </w:r>
    </w:p>
    <w:p>
      <w:pPr>
        <w:pStyle w:val="Heading2"/>
      </w:pPr>
      <w:r>
        <w:t>12.1 Preparar el directorio</w:t>
      </w:r>
    </w:p>
    <w:p>
      <w:pPr>
        <w:ind w:left="346" w:hanging="259"/>
      </w:pPr>
      <w:r>
        <w:t>1. Crear una carpeta de trabajo en una ruta local con espacio suficiente.</w:t>
      </w:r>
    </w:p>
    <w:p>
      <w:pPr>
        <w:ind w:left="346" w:hanging="259"/>
      </w:pPr>
      <w:r>
        <w:t>2. Descomprimir el paquete SRD sin eliminar las carpetas internas.</w:t>
      </w:r>
    </w:p>
    <w:p>
      <w:pPr>
        <w:ind w:left="346" w:hanging="259"/>
      </w:pPr>
      <w:r>
        <w:t>3. Abrir PowerShell en la carpeta que contiene compose.yaml.</w:t>
      </w:r>
    </w:p>
    <w:p>
      <w:pPr>
        <w:ind w:left="346" w:hanging="259"/>
      </w:pPr>
      <w:r>
        <w:t>4. Abrir Docker Desktop y esperar a que indique que el motor está iniciado.</w:t>
      </w:r>
    </w:p>
    <w:p>
      <w:pPr>
        <w:ind w:left="346" w:hanging="259"/>
      </w:pPr>
      <w:r>
        <w:t>5. Comprobar que la carpeta .local, si existe, no pertenece a una instalación que se desea reemplazar.</w:t>
      </w:r>
    </w:p>
    <w:p>
      <w:pPr>
        <w:pStyle w:val="NoSpacing"/>
        <w:spacing w:after="20"/>
      </w:pPr>
      <w:r>
        <w:rPr>
          <w:rFonts w:ascii="Consolas" w:hAnsi="Consolas"/>
          <w:color w:val="205472"/>
          <w:sz w:val="16"/>
        </w:rPr>
        <w:t>Get-Location</w:t>
      </w:r>
    </w:p>
    <w:p>
      <w:pPr>
        <w:pStyle w:val="NoSpacing"/>
        <w:spacing w:after="20"/>
      </w:pPr>
      <w:r>
        <w:rPr>
          <w:rFonts w:ascii="Consolas" w:hAnsi="Consolas"/>
          <w:color w:val="205472"/>
          <w:sz w:val="16"/>
        </w:rPr>
        <w:t>Test-Path .\compose.yaml</w:t>
      </w:r>
    </w:p>
    <w:p>
      <w:pPr>
        <w:pStyle w:val="NoSpacing"/>
        <w:spacing w:after="20"/>
      </w:pPr>
      <w:r>
        <w:rPr>
          <w:rFonts w:ascii="Consolas" w:hAnsi="Consolas"/>
          <w:color w:val="205472"/>
          <w:sz w:val="16"/>
        </w:rPr>
        <w:t>docker info</w:t>
      </w:r>
    </w:p>
    <w:p>
      <w:pPr>
        <w:pStyle w:val="NoSpacing"/>
        <w:spacing w:after="20"/>
      </w:pPr>
      <w:r>
        <w:rPr>
          <w:rFonts w:ascii="Consolas" w:hAnsi="Consolas"/>
          <w:color w:val="205472"/>
          <w:sz w:val="16"/>
        </w:rPr>
        <w:t>docker compose config -q</w:t>
      </w:r>
    </w:p>
    <w:p>
      <w:pPr>
        <w:spacing w:after="20"/>
      </w:pPr>
    </w:p>
    <w:p>
      <w:pPr>
        <w:pStyle w:val="Heading2"/>
      </w:pPr>
      <w:r>
        <w:t>12.2 Configurar variables y secretos</w:t>
      </w:r>
    </w:p>
    <w:p>
      <w:pPr>
        <w:ind w:left="346" w:hanging="259"/>
      </w:pPr>
      <w:r>
        <w:t>1. Abrir el archivo .env.example solamente como guía; no publicar sus valores sensibles.</w:t>
      </w:r>
    </w:p>
    <w:p>
      <w:pPr>
        <w:ind w:left="346" w:hanging="259"/>
      </w:pPr>
      <w:r>
        <w:t>2. Si no existe .env, permitir que Initialize.ps1 / Up.ps1 genere los secretos correspondientes.</w:t>
      </w:r>
    </w:p>
    <w:p>
      <w:pPr>
        <w:ind w:left="346" w:hanging="259"/>
      </w:pPr>
      <w:r>
        <w:t>3. Si .env ya existe, conservarlo: la instancia puede depender de esas claves y contraseñas.</w:t>
      </w:r>
    </w:p>
    <w:p>
      <w:pPr>
        <w:ind w:left="346" w:hanging="259"/>
      </w:pPr>
      <w:r>
        <w:t>4. No introducir credenciales de personas reales en las semillas de exposición.</w:t>
      </w:r>
    </w:p>
    <w:p>
      <w:pPr>
        <w:ind w:left="346" w:hanging="259"/>
      </w:pPr>
      <w:r>
        <w:t>5. Guardar el documento de aceptación de términos de la junta solo en un archivo local apropiado.</w:t>
      </w:r>
    </w:p>
    <w:p>
      <w:pPr>
        <w:pStyle w:val="Heading2"/>
      </w:pPr>
      <w:r>
        <w:t>12.3 Ejecutar el aprovisionamiento</w:t>
      </w:r>
    </w:p>
    <w:p>
      <w:r>
        <w:t>El arranque principal utiliza ./scripts/Up.ps1 desde PowerShell. Up.ps1 valida Docker, inicializa variables, inicia MySQL y Mailpit, aprovisiona esquemas existentes y faltantes, construye Gateway y los diez dominios, ejecuta migraciones, inicia los nueve planificadores, la web, el socket privado y el antivirus.</w:t>
      </w:r>
    </w:p>
    <w:p>
      <w:r>
        <w:t>Si ya se construyeron las imágenes se puede considerar -SkipBuild, siempre que no haya cambios de código. La primera ejecución suele tardar por Composer, npm, imágenes y firmas.</w:t>
      </w:r>
    </w:p>
    <w:p>
      <w:pPr>
        <w:pStyle w:val="NoSpacing"/>
        <w:spacing w:after="20"/>
      </w:pPr>
      <w:r>
        <w:rPr>
          <w:rFonts w:ascii="Consolas" w:hAnsi="Consolas"/>
          <w:color w:val="205472"/>
          <w:sz w:val="16"/>
        </w:rPr>
        <w:t>./scripts/Up.ps1</w:t>
      </w:r>
    </w:p>
    <w:p>
      <w:pPr>
        <w:pStyle w:val="NoSpacing"/>
        <w:spacing w:after="20"/>
      </w:pPr>
      <w:r>
        <w:rPr>
          <w:rFonts w:ascii="Consolas" w:hAnsi="Consolas"/>
          <w:color w:val="205472"/>
          <w:sz w:val="16"/>
        </w:rPr>
        <w:t># Para reinicio posterior sin reconstruir:</w:t>
      </w:r>
    </w:p>
    <w:p>
      <w:pPr>
        <w:pStyle w:val="NoSpacing"/>
        <w:spacing w:after="20"/>
      </w:pPr>
      <w:r>
        <w:rPr>
          <w:rFonts w:ascii="Consolas" w:hAnsi="Consolas"/>
          <w:color w:val="205472"/>
          <w:sz w:val="16"/>
        </w:rPr>
        <w:t>./scripts/Up.ps1 -SkipBuild</w:t>
      </w:r>
    </w:p>
    <w:p>
      <w:pPr>
        <w:spacing w:after="20"/>
      </w:pPr>
    </w:p>
    <w:p>
      <w:pPr>
        <w:pStyle w:val="Heading2"/>
      </w:pPr>
      <w:r>
        <w:t>12.4 Verificar la instalación</w:t>
      </w:r>
    </w:p>
    <w:p>
      <w:pPr>
        <w:ind w:left="346" w:hanging="259"/>
      </w:pPr>
      <w:r>
        <w:t>1. Confirmar docker compose ps sin errores entre gateway, dominios, mysql, mailpit, schedulers, web y antivirus.</w:t>
      </w:r>
    </w:p>
    <w:p>
      <w:pPr>
        <w:ind w:left="346" w:hanging="259"/>
      </w:pPr>
      <w:r>
        <w:t>2. Abrir http://localhost:8080 y comprobar respuesta de la página.</w:t>
      </w:r>
    </w:p>
    <w:p>
      <w:pPr>
        <w:ind w:left="346" w:hanging="259"/>
      </w:pPr>
      <w:r>
        <w:t>3. Consultar http://localhost:8025 únicamente para mensajes locales de desarrollo.</w:t>
      </w:r>
    </w:p>
    <w:p>
      <w:pPr>
        <w:ind w:left="346" w:hanging="259"/>
      </w:pPr>
      <w:r>
        <w:t>4. Verificar migrate:status de los dominios donde exista un error de base de datos.</w:t>
      </w:r>
    </w:p>
    <w:p>
      <w:pPr>
        <w:ind w:left="346" w:hanging="259"/>
      </w:pPr>
      <w:r>
        <w:t>5. Desde una cuenta autorizada abrir Configuración → Estado de servicios y revisar planificadores, outbox y ClamAV.</w:t>
      </w:r>
    </w:p>
    <w:p>
      <w:pPr>
        <w:pStyle w:val="NoSpacing"/>
        <w:spacing w:after="20"/>
      </w:pPr>
      <w:r>
        <w:rPr>
          <w:rFonts w:ascii="Consolas" w:hAnsi="Consolas"/>
          <w:color w:val="205472"/>
          <w:sz w:val="16"/>
        </w:rPr>
        <w:t>docker compose ps</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spacing w:after="20"/>
      </w:pPr>
    </w:p>
    <w:p>
      <w:pPr>
        <w:pStyle w:val="Heading1"/>
      </w:pPr>
      <w:r>
        <w:t>13. Preparar una junta de demostración</w:t>
      </w:r>
    </w:p>
    <w:p>
      <w:pPr>
        <w:pStyle w:val="Heading2"/>
      </w:pPr>
      <w:r>
        <w:t>13.1 Semilla de pruebas</w:t>
      </w:r>
    </w:p>
    <w:p>
      <w:r>
        <w:t>La instalación nueva no equivale a una junta creada. Seed-ComposeTests.ps1 crea datos sintéticos y permite abrir /j/srd-e2e-a/login. La contraseña de la cuenta local se registra en un fichero generado en .local/e2e-fixture.json; no debe imprimirse en una captura pública ni enviarse junto con el código.</w:t>
      </w:r>
    </w:p>
    <w:p>
      <w:pPr>
        <w:pStyle w:val="NoSpacing"/>
        <w:spacing w:after="20"/>
      </w:pPr>
      <w:r>
        <w:rPr>
          <w:rFonts w:ascii="Consolas" w:hAnsi="Consolas"/>
          <w:color w:val="205472"/>
          <w:sz w:val="16"/>
        </w:rPr>
        <w:t>./scripts/Seed-ComposeTests.ps1</w:t>
      </w:r>
    </w:p>
    <w:p>
      <w:pPr>
        <w:spacing w:after="20"/>
      </w:pPr>
    </w:p>
    <w:p>
      <w:pPr>
        <w:pStyle w:val="Heading2"/>
      </w:pPr>
      <w:r>
        <w:t>13.2 Exposición web y teléfono</w:t>
      </w:r>
    </w:p>
    <w:p>
      <w:r>
        <w:t>El script Start-Exposition.ps1 prepara el entorno de exposición, aplica una semilla ficticia y puede abrir Expo Go en teléfono Android por USB. La opción -WebOnly evita exigir conexión con un teléfono. Para la presentación es mejor ejecutar primero la web y después habilitar el dispositivo, de modo que el fallo de ADB no detenga el recorrido principal.</w:t>
      </w:r>
    </w:p>
    <w:p>
      <w:pPr>
        <w:pStyle w:val="NoSpacing"/>
        <w:spacing w:after="20"/>
      </w:pPr>
      <w:r>
        <w:rPr>
          <w:rFonts w:ascii="Consolas" w:hAnsi="Consolas"/>
          <w:color w:val="205472"/>
          <w:sz w:val="16"/>
        </w:rPr>
        <w:t>./scripts/Start-Exposition.ps1 -WebOnly</w:t>
      </w:r>
    </w:p>
    <w:p>
      <w:pPr>
        <w:pStyle w:val="NoSpacing"/>
        <w:spacing w:after="20"/>
      </w:pPr>
      <w:r>
        <w:rPr>
          <w:rFonts w:ascii="Consolas" w:hAnsi="Consolas"/>
          <w:color w:val="205472"/>
          <w:sz w:val="16"/>
        </w:rPr>
        <w:t># Solo si hay teléfono autorizado por USB:</w:t>
      </w:r>
    </w:p>
    <w:p>
      <w:pPr>
        <w:pStyle w:val="NoSpacing"/>
        <w:spacing w:after="20"/>
      </w:pPr>
      <w:r>
        <w:rPr>
          <w:rFonts w:ascii="Consolas" w:hAnsi="Consolas"/>
          <w:color w:val="205472"/>
          <w:sz w:val="16"/>
        </w:rPr>
        <w:t>./scripts/Start-Exposition.ps1</w:t>
      </w:r>
    </w:p>
    <w:p>
      <w:pPr>
        <w:spacing w:after="20"/>
      </w:pPr>
    </w:p>
    <w:p>
      <w:pPr>
        <w:pStyle w:val="Heading2"/>
      </w:pPr>
      <w:r>
        <w:t>13.3 Validación del acceso</w:t>
      </w:r>
    </w:p>
    <w:p>
      <w:pPr>
        <w:ind w:left="346" w:hanging="259"/>
      </w:pPr>
      <w:r>
        <w:t>1. Abrir la URL de la junta de prueba.</w:t>
      </w:r>
    </w:p>
    <w:p>
      <w:pPr>
        <w:ind w:left="346" w:hanging="259"/>
      </w:pPr>
      <w:r>
        <w:t>2. Introducir la cuenta ficticia; consultar su contraseña solo en el equipo local.</w:t>
      </w:r>
    </w:p>
    <w:p>
      <w:pPr>
        <w:ind w:left="346" w:hanging="259"/>
      </w:pPr>
      <w:r>
        <w:t>3. Leer y aceptar los términos ficticios cuando se solicite.</w:t>
      </w:r>
    </w:p>
    <w:p>
      <w:pPr>
        <w:ind w:left="346" w:hanging="259"/>
      </w:pPr>
      <w:r>
        <w:t>4. Abrir Mailpit y recuperar el código adicional enviado por la instalación.</w:t>
      </w:r>
    </w:p>
    <w:p>
      <w:pPr>
        <w:ind w:left="346" w:hanging="259"/>
      </w:pPr>
      <w:r>
        <w:t>5. Comprobar que aparece el panel de la junta y que los módulos respetan el rol.</w:t>
      </w:r>
    </w:p>
    <w:p>
      <w:pPr>
        <w:pStyle w:val="Heading1"/>
      </w:pPr>
      <w:r>
        <w:t>14. Secuencia de diagnóstico por síntomas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Síntoma</w:t>
            </w:r>
          </w:p>
        </w:tc>
        <w:tc>
          <w:tcPr>
            <w:tcW w:type="dxa" w:w="3154"/>
            <w:shd w:fill="E9EEF2"/>
          </w:tcPr>
          <w:p>
            <w:r>
              <w:rPr>
                <w:b/>
                <w:sz w:val="17"/>
              </w:rPr>
              <w:t>Comprobación</w:t>
            </w:r>
          </w:p>
        </w:tc>
        <w:tc>
          <w:tcPr>
            <w:tcW w:type="dxa" w:w="3154"/>
            <w:shd w:fill="E9EEF2"/>
          </w:tcPr>
          <w:p>
            <w:r>
              <w:rPr>
                <w:b/>
                <w:sz w:val="17"/>
              </w:rPr>
              <w:t>Corrección limitada</w:t>
            </w:r>
          </w:p>
        </w:tc>
      </w:tr>
      <w:tr>
        <w:tc>
          <w:tcPr>
            <w:tcW w:type="dxa" w:w="3154"/>
            <w:vAlign w:val="center"/>
          </w:tcPr>
          <w:p>
            <w:pPr>
              <w:spacing w:after="40" w:before="40"/>
            </w:pPr>
            <w:r>
              <w:rPr>
                <w:sz w:val="16"/>
              </w:rPr>
              <w:t>El navegador no abre 8080</w:t>
            </w:r>
          </w:p>
        </w:tc>
        <w:tc>
          <w:tcPr>
            <w:tcW w:type="dxa" w:w="3154"/>
            <w:vAlign w:val="center"/>
          </w:tcPr>
          <w:p>
            <w:pPr>
              <w:spacing w:after="40" w:before="40"/>
            </w:pPr>
            <w:r>
              <w:rPr>
                <w:sz w:val="16"/>
              </w:rPr>
              <w:t>docker compose ps web gateway</w:t>
            </w:r>
          </w:p>
        </w:tc>
        <w:tc>
          <w:tcPr>
            <w:tcW w:type="dxa" w:w="3154"/>
            <w:vAlign w:val="center"/>
          </w:tcPr>
          <w:p>
            <w:pPr>
              <w:spacing w:after="40" w:before="40"/>
            </w:pPr>
            <w:r>
              <w:rPr>
                <w:sz w:val="16"/>
              </w:rPr>
              <w:t>Revisar logs de ambos servicios</w:t>
            </w:r>
          </w:p>
        </w:tc>
      </w:tr>
      <w:tr>
        <w:tc>
          <w:tcPr>
            <w:tcW w:type="dxa" w:w="3154"/>
            <w:vAlign w:val="center"/>
            <w:shd w:fill="F6F8F9"/>
          </w:tcPr>
          <w:p>
            <w:pPr>
              <w:spacing w:after="40" w:before="40"/>
            </w:pPr>
            <w:r>
              <w:rPr>
                <w:sz w:val="16"/>
              </w:rPr>
              <w:t>Migration table not found</w:t>
            </w:r>
          </w:p>
        </w:tc>
        <w:tc>
          <w:tcPr>
            <w:tcW w:type="dxa" w:w="3154"/>
            <w:vAlign w:val="center"/>
            <w:shd w:fill="F6F8F9"/>
          </w:tcPr>
          <w:p>
            <w:pPr>
              <w:spacing w:after="40" w:before="40"/>
            </w:pPr>
            <w:r>
              <w:rPr>
                <w:sz w:val="16"/>
              </w:rPr>
              <w:t>php artisan migrate:status y db:show del dominio</w:t>
            </w:r>
          </w:p>
        </w:tc>
        <w:tc>
          <w:tcPr>
            <w:tcW w:type="dxa" w:w="3154"/>
            <w:vAlign w:val="center"/>
            <w:shd w:fill="F6F8F9"/>
          </w:tcPr>
          <w:p>
            <w:pPr>
              <w:spacing w:after="40" w:before="40"/>
            </w:pPr>
            <w:r>
              <w:rPr>
                <w:sz w:val="16"/>
              </w:rPr>
              <w:t>Con backup si hay datos; aplicar migraciones al dominio afectado</w:t>
            </w:r>
          </w:p>
        </w:tc>
      </w:tr>
      <w:tr>
        <w:tc>
          <w:tcPr>
            <w:tcW w:type="dxa" w:w="3154"/>
            <w:vAlign w:val="center"/>
          </w:tcPr>
          <w:p>
            <w:pPr>
              <w:spacing w:after="40" w:before="40"/>
            </w:pPr>
            <w:r>
              <w:rPr>
                <w:sz w:val="16"/>
              </w:rPr>
              <w:t>Error missing audit_events</w:t>
            </w:r>
          </w:p>
        </w:tc>
        <w:tc>
          <w:tcPr>
            <w:tcW w:type="dxa" w:w="3154"/>
            <w:vAlign w:val="center"/>
          </w:tcPr>
          <w:p>
            <w:pPr>
              <w:spacing w:after="40" w:before="40"/>
            </w:pPr>
            <w:r>
              <w:rPr>
                <w:sz w:val="16"/>
              </w:rPr>
              <w:t>migrate:status de audit</w:t>
            </w:r>
          </w:p>
        </w:tc>
        <w:tc>
          <w:tcPr>
            <w:tcW w:type="dxa" w:w="3154"/>
            <w:vAlign w:val="center"/>
          </w:tcPr>
          <w:p>
            <w:pPr>
              <w:spacing w:after="40" w:before="40"/>
            </w:pPr>
            <w:r>
              <w:rPr>
                <w:sz w:val="16"/>
              </w:rPr>
              <w:t>Aplicar migrate --force en audit; revisar outbox</w:t>
            </w:r>
          </w:p>
        </w:tc>
      </w:tr>
      <w:tr>
        <w:tc>
          <w:tcPr>
            <w:tcW w:type="dxa" w:w="3154"/>
            <w:vAlign w:val="center"/>
            <w:shd w:fill="F6F8F9"/>
          </w:tcPr>
          <w:p>
            <w:pPr>
              <w:spacing w:after="40" w:before="40"/>
            </w:pPr>
            <w:r>
              <w:rPr>
                <w:sz w:val="16"/>
              </w:rPr>
              <w:t>Evento exhausted</w:t>
            </w:r>
          </w:p>
        </w:tc>
        <w:tc>
          <w:tcPr>
            <w:tcW w:type="dxa" w:w="3154"/>
            <w:vAlign w:val="center"/>
            <w:shd w:fill="F6F8F9"/>
          </w:tcPr>
          <w:p>
            <w:pPr>
              <w:spacing w:after="40" w:before="40"/>
            </w:pPr>
            <w:r>
              <w:rPr>
                <w:sz w:val="16"/>
              </w:rPr>
              <w:t>srd:outbox-status en emisor</w:t>
            </w:r>
          </w:p>
        </w:tc>
        <w:tc>
          <w:tcPr>
            <w:tcW w:type="dxa" w:w="3154"/>
            <w:vAlign w:val="center"/>
            <w:shd w:fill="F6F8F9"/>
          </w:tcPr>
          <w:p>
            <w:pPr>
              <w:spacing w:after="40" w:before="40"/>
            </w:pPr>
            <w:r>
              <w:rPr>
                <w:sz w:val="16"/>
              </w:rPr>
              <w:t>Diagnosticar servicio receptor y respaldar antes de reintentar</w:t>
            </w:r>
          </w:p>
        </w:tc>
      </w:tr>
      <w:tr>
        <w:tc>
          <w:tcPr>
            <w:tcW w:type="dxa" w:w="3154"/>
            <w:vAlign w:val="center"/>
          </w:tcPr>
          <w:p>
            <w:pPr>
              <w:spacing w:after="40" w:before="40"/>
            </w:pPr>
            <w:r>
              <w:rPr>
                <w:sz w:val="16"/>
              </w:rPr>
              <w:t>Scheduler unhealthy</w:t>
            </w:r>
          </w:p>
        </w:tc>
        <w:tc>
          <w:tcPr>
            <w:tcW w:type="dxa" w:w="3154"/>
            <w:vAlign w:val="center"/>
          </w:tcPr>
          <w:p>
            <w:pPr>
              <w:spacing w:after="40" w:before="40"/>
            </w:pPr>
            <w:r>
              <w:rPr>
                <w:sz w:val="16"/>
              </w:rPr>
              <w:t>docker inspect de State.Health; logs</w:t>
            </w:r>
          </w:p>
        </w:tc>
        <w:tc>
          <w:tcPr>
            <w:tcW w:type="dxa" w:w="3154"/>
            <w:vAlign w:val="center"/>
          </w:tcPr>
          <w:p>
            <w:pPr>
              <w:spacing w:after="40" w:before="40"/>
            </w:pPr>
            <w:r>
              <w:rPr>
                <w:sz w:val="16"/>
              </w:rPr>
              <w:t>Revisar marcadores y schedule:run, no borrar volumen</w:t>
            </w:r>
          </w:p>
        </w:tc>
      </w:tr>
      <w:tr>
        <w:tc>
          <w:tcPr>
            <w:tcW w:type="dxa" w:w="3154"/>
            <w:vAlign w:val="center"/>
            <w:shd w:fill="F6F8F9"/>
          </w:tcPr>
          <w:p>
            <w:pPr>
              <w:spacing w:after="40" w:before="40"/>
            </w:pPr>
            <w:r>
              <w:rPr>
                <w:sz w:val="16"/>
              </w:rPr>
              <w:t>Código MFA ausente</w:t>
            </w:r>
          </w:p>
        </w:tc>
        <w:tc>
          <w:tcPr>
            <w:tcW w:type="dxa" w:w="3154"/>
            <w:vAlign w:val="center"/>
            <w:shd w:fill="F6F8F9"/>
          </w:tcPr>
          <w:p>
            <w:pPr>
              <w:spacing w:after="40" w:before="40"/>
            </w:pPr>
            <w:r>
              <w:rPr>
                <w:sz w:val="16"/>
              </w:rPr>
              <w:t>Mailpit y logs identity/notifications</w:t>
            </w:r>
          </w:p>
        </w:tc>
        <w:tc>
          <w:tcPr>
            <w:tcW w:type="dxa" w:w="3154"/>
            <w:vAlign w:val="center"/>
            <w:shd w:fill="F6F8F9"/>
          </w:tcPr>
          <w:p>
            <w:pPr>
              <w:spacing w:after="40" w:before="40"/>
            </w:pPr>
            <w:r>
              <w:rPr>
                <w:sz w:val="16"/>
              </w:rPr>
              <w:t>Verificar proceso de entrega sin reenviar masivamente</w:t>
            </w:r>
          </w:p>
        </w:tc>
      </w:tr>
      <w:tr>
        <w:tc>
          <w:tcPr>
            <w:tcW w:type="dxa" w:w="3154"/>
            <w:vAlign w:val="center"/>
          </w:tcPr>
          <w:p>
            <w:pPr>
              <w:spacing w:after="40" w:before="40"/>
            </w:pPr>
            <w:r>
              <w:rPr>
                <w:sz w:val="16"/>
              </w:rPr>
              <w:t>Clamd healthy, firmas viejas</w:t>
            </w:r>
          </w:p>
        </w:tc>
        <w:tc>
          <w:tcPr>
            <w:tcW w:type="dxa" w:w="3154"/>
            <w:vAlign w:val="center"/>
          </w:tcPr>
          <w:p>
            <w:pPr>
              <w:spacing w:after="40" w:before="40"/>
            </w:pPr>
            <w:r>
              <w:rPr>
                <w:sz w:val="16"/>
              </w:rPr>
              <w:t>logs antivirus-updater y clamdscan --version</w:t>
            </w:r>
          </w:p>
        </w:tc>
        <w:tc>
          <w:tcPr>
            <w:tcW w:type="dxa" w:w="3154"/>
            <w:vAlign w:val="center"/>
          </w:tcPr>
          <w:p>
            <w:pPr>
              <w:spacing w:after="40" w:before="40"/>
            </w:pPr>
            <w:r>
              <w:rPr>
                <w:sz w:val="16"/>
              </w:rPr>
              <w:t>Actualizar firmas y revisar marcador</w:t>
            </w:r>
          </w:p>
        </w:tc>
      </w:tr>
      <w:tr>
        <w:tc>
          <w:tcPr>
            <w:tcW w:type="dxa" w:w="3154"/>
            <w:vAlign w:val="center"/>
            <w:shd w:fill="F6F8F9"/>
          </w:tcPr>
          <w:p>
            <w:pPr>
              <w:spacing w:after="40" w:before="40"/>
            </w:pPr>
            <w:r>
              <w:rPr>
                <w:sz w:val="16"/>
              </w:rPr>
              <w:t>illegal option - en SH</w:t>
            </w:r>
          </w:p>
        </w:tc>
        <w:tc>
          <w:tcPr>
            <w:tcW w:type="dxa" w:w="3154"/>
            <w:vAlign w:val="center"/>
            <w:shd w:fill="F6F8F9"/>
          </w:tcPr>
          <w:p>
            <w:pPr>
              <w:spacing w:after="40" w:before="40"/>
            </w:pPr>
            <w:r>
              <w:rPr>
                <w:sz w:val="16"/>
              </w:rPr>
              <w:t>Inspeccionar saltos CRLF de docker/*.sh</w:t>
            </w:r>
          </w:p>
        </w:tc>
        <w:tc>
          <w:tcPr>
            <w:tcW w:type="dxa" w:w="3154"/>
            <w:vAlign w:val="center"/>
            <w:shd w:fill="F6F8F9"/>
          </w:tcPr>
          <w:p>
            <w:pPr>
              <w:spacing w:after="40" w:before="40"/>
            </w:pPr>
            <w:r>
              <w:rPr>
                <w:sz w:val="16"/>
              </w:rPr>
              <w:t>Convertir a LF guardando copia y recrear solo updater</w:t>
            </w:r>
          </w:p>
        </w:tc>
      </w:tr>
      <w:tr>
        <w:tc>
          <w:tcPr>
            <w:tcW w:type="dxa" w:w="3154"/>
            <w:vAlign w:val="center"/>
          </w:tcPr>
          <w:p>
            <w:pPr>
              <w:spacing w:after="40" w:before="40"/>
            </w:pPr>
            <w:r>
              <w:rPr>
                <w:sz w:val="16"/>
              </w:rPr>
              <w:t>Memoria insuficiente</w:t>
            </w:r>
          </w:p>
        </w:tc>
        <w:tc>
          <w:tcPr>
            <w:tcW w:type="dxa" w:w="3154"/>
            <w:vAlign w:val="center"/>
          </w:tcPr>
          <w:p>
            <w:pPr>
              <w:spacing w:after="40" w:before="40"/>
            </w:pPr>
            <w:r>
              <w:rPr>
                <w:sz w:val="16"/>
              </w:rPr>
              <w:t>docker stats --no-stream</w:t>
            </w:r>
          </w:p>
        </w:tc>
        <w:tc>
          <w:tcPr>
            <w:tcW w:type="dxa" w:w="3154"/>
            <w:vAlign w:val="center"/>
          </w:tcPr>
          <w:p>
            <w:pPr>
              <w:spacing w:after="40" w:before="40"/>
            </w:pPr>
            <w:r>
              <w:rPr>
                <w:sz w:val="16"/>
              </w:rPr>
              <w:t>Planear recursos; antivirus puede consumir ~1 GiB</w:t>
            </w:r>
          </w:p>
        </w:tc>
      </w:tr>
    </w:tbl>
    <w:p>
      <w:pPr>
        <w:spacing w:after="40"/>
      </w:pPr>
    </w:p>
    <w:p>
      <w:pPr>
        <w:pStyle w:val="Heading1"/>
      </w:pPr>
      <w:r>
        <w:t>15. Detalle de migraciones por microservicio</w:t>
      </w:r>
    </w:p>
    <w:p>
      <w:r>
        <w:t>Cada servicio utiliza credenciales MySQL propias. El archivo compose define una topología de procesos independientes; el orden de migraciones se toma de su carpeta database/migrations. La tabla de estado indica qué migraciones aplicaron en esa base y fecha del despliegue.</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Servicio</w:t>
            </w:r>
          </w:p>
        </w:tc>
        <w:tc>
          <w:tcPr>
            <w:tcW w:type="dxa" w:w="3154"/>
            <w:shd w:fill="E9EEF2"/>
          </w:tcPr>
          <w:p>
            <w:r>
              <w:rPr>
                <w:b/>
                <w:sz w:val="17"/>
              </w:rPr>
              <w:t>Migraciones PHP</w:t>
            </w:r>
          </w:p>
        </w:tc>
        <w:tc>
          <w:tcPr>
            <w:tcW w:type="dxa" w:w="3154"/>
            <w:shd w:fill="E9EEF2"/>
          </w:tcPr>
          <w:p>
            <w:r>
              <w:rPr>
                <w:b/>
                <w:sz w:val="17"/>
              </w:rPr>
              <w:t>Última migración del ZIP</w:t>
            </w:r>
          </w:p>
        </w:tc>
      </w:tr>
      <w:tr>
        <w:tc>
          <w:tcPr>
            <w:tcW w:type="dxa" w:w="3154"/>
            <w:vAlign w:val="center"/>
          </w:tcPr>
          <w:p>
            <w:pPr>
              <w:spacing w:after="40" w:before="40"/>
            </w:pPr>
            <w:r>
              <w:rPr>
                <w:sz w:val="16"/>
              </w:rPr>
              <w:t>gateway</w:t>
            </w:r>
          </w:p>
        </w:tc>
        <w:tc>
          <w:tcPr>
            <w:tcW w:type="dxa" w:w="3154"/>
            <w:vAlign w:val="center"/>
          </w:tcPr>
          <w:p>
            <w:pPr>
              <w:spacing w:after="40" w:before="40"/>
            </w:pPr>
            <w:r>
              <w:rPr>
                <w:sz w:val="16"/>
              </w:rPr>
              <w:t>0</w:t>
            </w:r>
          </w:p>
        </w:tc>
        <w:tc>
          <w:tcPr>
            <w:tcW w:type="dxa" w:w="3154"/>
            <w:vAlign w:val="center"/>
          </w:tcPr>
          <w:p>
            <w:pPr>
              <w:spacing w:after="40" w:before="40"/>
            </w:pPr>
            <w:r>
              <w:rPr>
                <w:sz w:val="16"/>
              </w:rPr>
              <w:t>Sin archivos registrados</w:t>
            </w:r>
          </w:p>
        </w:tc>
      </w:tr>
      <w:tr>
        <w:tc>
          <w:tcPr>
            <w:tcW w:type="dxa" w:w="3154"/>
            <w:vAlign w:val="center"/>
            <w:shd w:fill="F6F8F9"/>
          </w:tcPr>
          <w:p>
            <w:pPr>
              <w:spacing w:after="40" w:before="40"/>
            </w:pPr>
            <w:r>
              <w:rPr>
                <w:sz w:val="16"/>
              </w:rPr>
              <w:t>identity</w:t>
            </w:r>
          </w:p>
        </w:tc>
        <w:tc>
          <w:tcPr>
            <w:tcW w:type="dxa" w:w="3154"/>
            <w:vAlign w:val="center"/>
            <w:shd w:fill="F6F8F9"/>
          </w:tcPr>
          <w:p>
            <w:pPr>
              <w:spacing w:after="40" w:before="40"/>
            </w:pPr>
            <w:r>
              <w:rPr>
                <w:sz w:val="16"/>
              </w:rPr>
              <w:t>7</w:t>
            </w:r>
          </w:p>
        </w:tc>
        <w:tc>
          <w:tcPr>
            <w:tcW w:type="dxa" w:w="3154"/>
            <w:vAlign w:val="center"/>
            <w:shd w:fill="F6F8F9"/>
          </w:tcPr>
          <w:p>
            <w:pPr>
              <w:spacing w:after="40" w:before="40"/>
            </w:pPr>
            <w:r>
              <w:rPr>
                <w:sz w:val="16"/>
              </w:rPr>
              <w:t>2026_10_06_000001_user_language</w:t>
            </w:r>
          </w:p>
        </w:tc>
      </w:tr>
      <w:tr>
        <w:tc>
          <w:tcPr>
            <w:tcW w:type="dxa" w:w="3154"/>
            <w:vAlign w:val="center"/>
          </w:tcPr>
          <w:p>
            <w:pPr>
              <w:spacing w:after="40" w:before="40"/>
            </w:pPr>
            <w:r>
              <w:rPr>
                <w:sz w:val="16"/>
              </w:rPr>
              <w:t>configuration</w:t>
            </w:r>
          </w:p>
        </w:tc>
        <w:tc>
          <w:tcPr>
            <w:tcW w:type="dxa" w:w="3154"/>
            <w:vAlign w:val="center"/>
          </w:tcPr>
          <w:p>
            <w:pPr>
              <w:spacing w:after="40" w:before="40"/>
            </w:pPr>
            <w:r>
              <w:rPr>
                <w:sz w:val="16"/>
              </w:rPr>
              <w:t>4</w:t>
            </w:r>
          </w:p>
        </w:tc>
        <w:tc>
          <w:tcPr>
            <w:tcW w:type="dxa" w:w="3154"/>
            <w:vAlign w:val="center"/>
          </w:tcPr>
          <w:p>
            <w:pPr>
              <w:spacing w:after="40" w:before="40"/>
            </w:pPr>
            <w:r>
              <w:rPr>
                <w:sz w:val="16"/>
              </w:rPr>
              <w:t>2026_10_06_000001_terms_english</w:t>
            </w:r>
          </w:p>
        </w:tc>
      </w:tr>
      <w:tr>
        <w:tc>
          <w:tcPr>
            <w:tcW w:type="dxa" w:w="3154"/>
            <w:vAlign w:val="center"/>
            <w:shd w:fill="F6F8F9"/>
          </w:tcPr>
          <w:p>
            <w:pPr>
              <w:spacing w:after="40" w:before="40"/>
            </w:pPr>
            <w:r>
              <w:rPr>
                <w:sz w:val="16"/>
              </w:rPr>
              <w:t>records</w:t>
            </w:r>
          </w:p>
        </w:tc>
        <w:tc>
          <w:tcPr>
            <w:tcW w:type="dxa" w:w="3154"/>
            <w:vAlign w:val="center"/>
            <w:shd w:fill="F6F8F9"/>
          </w:tcPr>
          <w:p>
            <w:pPr>
              <w:spacing w:after="40" w:before="40"/>
            </w:pPr>
            <w:r>
              <w:rPr>
                <w:sz w:val="16"/>
              </w:rPr>
              <w:t>11</w:t>
            </w:r>
          </w:p>
        </w:tc>
        <w:tc>
          <w:tcPr>
            <w:tcW w:type="dxa" w:w="3154"/>
            <w:vAlign w:val="center"/>
            <w:shd w:fill="F6F8F9"/>
          </w:tcPr>
          <w:p>
            <w:pPr>
              <w:spacing w:after="40" w:before="40"/>
            </w:pPr>
            <w:r>
              <w:rPr>
                <w:sz w:val="16"/>
              </w:rPr>
              <w:t>2026_10_08_000001_planilla_logo</w:t>
            </w:r>
          </w:p>
        </w:tc>
      </w:tr>
      <w:tr>
        <w:tc>
          <w:tcPr>
            <w:tcW w:type="dxa" w:w="3154"/>
            <w:vAlign w:val="center"/>
          </w:tcPr>
          <w:p>
            <w:pPr>
              <w:spacing w:after="40" w:before="40"/>
            </w:pPr>
            <w:r>
              <w:rPr>
                <w:sz w:val="16"/>
              </w:rPr>
              <w:t>audit</w:t>
            </w:r>
          </w:p>
        </w:tc>
        <w:tc>
          <w:tcPr>
            <w:tcW w:type="dxa" w:w="3154"/>
            <w:vAlign w:val="center"/>
          </w:tcPr>
          <w:p>
            <w:pPr>
              <w:spacing w:after="40" w:before="40"/>
            </w:pPr>
            <w:r>
              <w:rPr>
                <w:sz w:val="16"/>
              </w:rPr>
              <w:t>1</w:t>
            </w:r>
          </w:p>
        </w:tc>
        <w:tc>
          <w:tcPr>
            <w:tcW w:type="dxa" w:w="3154"/>
            <w:vAlign w:val="center"/>
          </w:tcPr>
          <w:p>
            <w:pPr>
              <w:spacing w:after="40" w:before="40"/>
            </w:pPr>
            <w:r>
              <w:rPr>
                <w:sz w:val="16"/>
              </w:rPr>
              <w:t>2026_09_07_000001_audit</w:t>
            </w:r>
          </w:p>
        </w:tc>
      </w:tr>
      <w:tr>
        <w:tc>
          <w:tcPr>
            <w:tcW w:type="dxa" w:w="3154"/>
            <w:vAlign w:val="center"/>
            <w:shd w:fill="F6F8F9"/>
          </w:tcPr>
          <w:p>
            <w:pPr>
              <w:spacing w:after="40" w:before="40"/>
            </w:pPr>
            <w:r>
              <w:rPr>
                <w:sz w:val="16"/>
              </w:rPr>
              <w:t>files</w:t>
            </w:r>
          </w:p>
        </w:tc>
        <w:tc>
          <w:tcPr>
            <w:tcW w:type="dxa" w:w="3154"/>
            <w:vAlign w:val="center"/>
            <w:shd w:fill="F6F8F9"/>
          </w:tcPr>
          <w:p>
            <w:pPr>
              <w:spacing w:after="40" w:before="40"/>
            </w:pPr>
            <w:r>
              <w:rPr>
                <w:sz w:val="16"/>
              </w:rPr>
              <w:t>11</w:t>
            </w:r>
          </w:p>
        </w:tc>
        <w:tc>
          <w:tcPr>
            <w:tcW w:type="dxa" w:w="3154"/>
            <w:vAlign w:val="center"/>
            <w:shd w:fill="F6F8F9"/>
          </w:tcPr>
          <w:p>
            <w:pPr>
              <w:spacing w:after="40" w:before="40"/>
            </w:pPr>
            <w:r>
              <w:rPr>
                <w:sz w:val="16"/>
              </w:rPr>
              <w:t>2026_10_08_000002_user_photos</w:t>
            </w:r>
          </w:p>
        </w:tc>
      </w:tr>
      <w:tr>
        <w:tc>
          <w:tcPr>
            <w:tcW w:type="dxa" w:w="3154"/>
            <w:vAlign w:val="center"/>
          </w:tcPr>
          <w:p>
            <w:pPr>
              <w:spacing w:after="40" w:before="40"/>
            </w:pPr>
            <w:r>
              <w:rPr>
                <w:sz w:val="16"/>
              </w:rPr>
              <w:t>calendar</w:t>
            </w:r>
          </w:p>
        </w:tc>
        <w:tc>
          <w:tcPr>
            <w:tcW w:type="dxa" w:w="3154"/>
            <w:vAlign w:val="center"/>
          </w:tcPr>
          <w:p>
            <w:pPr>
              <w:spacing w:after="40" w:before="40"/>
            </w:pPr>
            <w:r>
              <w:rPr>
                <w:sz w:val="16"/>
              </w:rPr>
              <w:t>6</w:t>
            </w:r>
          </w:p>
        </w:tc>
        <w:tc>
          <w:tcPr>
            <w:tcW w:type="dxa" w:w="3154"/>
            <w:vAlign w:val="center"/>
          </w:tcPr>
          <w:p>
            <w:pPr>
              <w:spacing w:after="40" w:before="40"/>
            </w:pPr>
            <w:r>
              <w:rPr>
                <w:sz w:val="16"/>
              </w:rPr>
              <w:t>2026_10_07_000001_calendar_event_translations</w:t>
            </w:r>
          </w:p>
        </w:tc>
      </w:tr>
      <w:tr>
        <w:tc>
          <w:tcPr>
            <w:tcW w:type="dxa" w:w="3154"/>
            <w:vAlign w:val="center"/>
            <w:shd w:fill="F6F8F9"/>
          </w:tcPr>
          <w:p>
            <w:pPr>
              <w:spacing w:after="40" w:before="40"/>
            </w:pPr>
            <w:r>
              <w:rPr>
                <w:sz w:val="16"/>
              </w:rPr>
              <w:t>notifications</w:t>
            </w:r>
          </w:p>
        </w:tc>
        <w:tc>
          <w:tcPr>
            <w:tcW w:type="dxa" w:w="3154"/>
            <w:vAlign w:val="center"/>
            <w:shd w:fill="F6F8F9"/>
          </w:tcPr>
          <w:p>
            <w:pPr>
              <w:spacing w:after="40" w:before="40"/>
            </w:pPr>
            <w:r>
              <w:rPr>
                <w:sz w:val="16"/>
              </w:rPr>
              <w:t>5</w:t>
            </w:r>
          </w:p>
        </w:tc>
        <w:tc>
          <w:tcPr>
            <w:tcW w:type="dxa" w:w="3154"/>
            <w:vAlign w:val="center"/>
            <w:shd w:fill="F6F8F9"/>
          </w:tcPr>
          <w:p>
            <w:pPr>
              <w:spacing w:after="40" w:before="40"/>
            </w:pPr>
            <w:r>
              <w:rPr>
                <w:sz w:val="16"/>
              </w:rPr>
              <w:t>2026_10_07_000001_notification_title_en</w:t>
            </w:r>
          </w:p>
        </w:tc>
      </w:tr>
      <w:tr>
        <w:tc>
          <w:tcPr>
            <w:tcW w:type="dxa" w:w="3154"/>
            <w:vAlign w:val="center"/>
          </w:tcPr>
          <w:p>
            <w:pPr>
              <w:spacing w:after="40" w:before="40"/>
            </w:pPr>
            <w:r>
              <w:rPr>
                <w:sz w:val="16"/>
              </w:rPr>
              <w:t>treasury</w:t>
            </w:r>
          </w:p>
        </w:tc>
        <w:tc>
          <w:tcPr>
            <w:tcW w:type="dxa" w:w="3154"/>
            <w:vAlign w:val="center"/>
          </w:tcPr>
          <w:p>
            <w:pPr>
              <w:spacing w:after="40" w:before="40"/>
            </w:pPr>
            <w:r>
              <w:rPr>
                <w:sz w:val="16"/>
              </w:rPr>
              <w:t>1</w:t>
            </w:r>
          </w:p>
        </w:tc>
        <w:tc>
          <w:tcPr>
            <w:tcW w:type="dxa" w:w="3154"/>
            <w:vAlign w:val="center"/>
          </w:tcPr>
          <w:p>
            <w:pPr>
              <w:spacing w:after="40" w:before="40"/>
            </w:pPr>
            <w:r>
              <w:rPr>
                <w:sz w:val="16"/>
              </w:rPr>
              <w:t>2026_09_23_000001_treasury</w:t>
            </w:r>
          </w:p>
        </w:tc>
      </w:tr>
      <w:tr>
        <w:tc>
          <w:tcPr>
            <w:tcW w:type="dxa" w:w="3154"/>
            <w:vAlign w:val="center"/>
            <w:shd w:fill="F6F8F9"/>
          </w:tcPr>
          <w:p>
            <w:pPr>
              <w:spacing w:after="40" w:before="40"/>
            </w:pPr>
            <w:r>
              <w:rPr>
                <w:sz w:val="16"/>
              </w:rPr>
              <w:t>inventory</w:t>
            </w:r>
          </w:p>
        </w:tc>
        <w:tc>
          <w:tcPr>
            <w:tcW w:type="dxa" w:w="3154"/>
            <w:vAlign w:val="center"/>
            <w:shd w:fill="F6F8F9"/>
          </w:tcPr>
          <w:p>
            <w:pPr>
              <w:spacing w:after="40" w:before="40"/>
            </w:pPr>
            <w:r>
              <w:rPr>
                <w:sz w:val="16"/>
              </w:rPr>
              <w:t>2</w:t>
            </w:r>
          </w:p>
        </w:tc>
        <w:tc>
          <w:tcPr>
            <w:tcW w:type="dxa" w:w="3154"/>
            <w:vAlign w:val="center"/>
            <w:shd w:fill="F6F8F9"/>
          </w:tcPr>
          <w:p>
            <w:pPr>
              <w:spacing w:after="40" w:before="40"/>
            </w:pPr>
            <w:r>
              <w:rPr>
                <w:sz w:val="16"/>
              </w:rPr>
              <w:t>2026_10_07_000002_inventory_english_text</w:t>
            </w:r>
          </w:p>
        </w:tc>
      </w:tr>
      <w:tr>
        <w:tc>
          <w:tcPr>
            <w:tcW w:type="dxa" w:w="3154"/>
            <w:vAlign w:val="center"/>
          </w:tcPr>
          <w:p>
            <w:pPr>
              <w:spacing w:after="40" w:before="40"/>
            </w:pPr>
            <w:r>
              <w:rPr>
                <w:sz w:val="16"/>
              </w:rPr>
              <w:t>chat</w:t>
            </w:r>
          </w:p>
        </w:tc>
        <w:tc>
          <w:tcPr>
            <w:tcW w:type="dxa" w:w="3154"/>
            <w:vAlign w:val="center"/>
          </w:tcPr>
          <w:p>
            <w:pPr>
              <w:spacing w:after="40" w:before="40"/>
            </w:pPr>
            <w:r>
              <w:rPr>
                <w:sz w:val="16"/>
              </w:rPr>
              <w:t>3</w:t>
            </w:r>
          </w:p>
        </w:tc>
        <w:tc>
          <w:tcPr>
            <w:tcW w:type="dxa" w:w="3154"/>
            <w:vAlign w:val="center"/>
          </w:tcPr>
          <w:p>
            <w:pPr>
              <w:spacing w:after="40" w:before="40"/>
            </w:pPr>
            <w:r>
              <w:rPr>
                <w:sz w:val="16"/>
              </w:rPr>
              <w:t>2026_10_01_000002_chat_delivery_jobs</w:t>
            </w:r>
          </w:p>
        </w:tc>
      </w:tr>
    </w:tbl>
    <w:p>
      <w:pPr>
        <w:spacing w:after="40"/>
      </w:pPr>
    </w:p>
    <w:p>
      <w:r>
        <w:t>Para diagnosticar un dominio, consultar primero docker compose exec &lt;servicio&gt; php artisan migrate:status. La cuenta de archivos del ZIP no significa que todas esas migraciones estén aplicadas a la base activa. Si falta una, verificar destino y respaldo antes de usar migrate --force.</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pStyle w:val="NoSpacing"/>
        <w:spacing w:after="20"/>
      </w:pPr>
      <w:r>
        <w:rPr>
          <w:rFonts w:ascii="Consolas" w:hAnsi="Consolas"/>
          <w:color w:val="205472"/>
          <w:sz w:val="16"/>
        </w:rPr>
        <w:t># Solo después de verificar esquema y copia:</w:t>
      </w:r>
    </w:p>
    <w:p>
      <w:pPr>
        <w:pStyle w:val="NoSpacing"/>
        <w:spacing w:after="20"/>
      </w:pPr>
      <w:r>
        <w:rPr>
          <w:rFonts w:ascii="Consolas" w:hAnsi="Consolas"/>
          <w:color w:val="205472"/>
          <w:sz w:val="16"/>
        </w:rPr>
        <w:t>docker compose exec files php artisan migrate --force</w:t>
      </w:r>
    </w:p>
    <w:p>
      <w:pPr>
        <w:spacing w:after="20"/>
      </w:pPr>
    </w:p>
    <w:p>
      <w:pPr>
        <w:pStyle w:val="Heading1"/>
      </w:pPr>
      <w:r>
        <w:t>16. Respaldo y continuidad de datos</w:t>
      </w:r>
    </w:p>
    <w:p>
      <w:pPr>
        <w:pStyle w:val="Heading2"/>
      </w:pPr>
      <w:r>
        <w:t>16.1 Copia cifrada</w:t>
      </w:r>
    </w:p>
    <w:p>
      <w:r>
        <w:t>El script Backup-Local.ps1 detiene temporalmente la web, los dominios y planificadores, conserva el motor MySQL y genera un respaldo cifrado de bases y objetos privados. Ejecutarlo fuera de una demostración y no apagar Docker durante el procedimiento. La copia incluye once bases, archivo .env y objetos de fotografías según el formato implementado.</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pStyle w:val="NoSpacing"/>
        <w:spacing w:after="20"/>
      </w:pPr>
      <w:r>
        <w:rPr>
          <w:rFonts w:ascii="Consolas" w:hAnsi="Consolas"/>
          <w:color w:val="205472"/>
          <w:sz w:val="16"/>
        </w:rPr>
        <w:t>./scripts/Test-BackupRestore.ps1</w:t>
      </w:r>
    </w:p>
    <w:p>
      <w:pPr>
        <w:spacing w:after="20"/>
      </w:pPr>
    </w:p>
    <w:p>
      <w:pPr>
        <w:pStyle w:val="Heading2"/>
      </w:pPr>
      <w:r>
        <w:t>16.2 Simulación aislada de restauración</w:t>
      </w:r>
    </w:p>
    <w:p>
      <w:r>
        <w:t>La verificación íntegra y la importación de prueba se realizan en otro contenedor, sin exponer puertos ni sobrescribir datos activos. Conserva por separado la clave .local/backups/recovery-key.bin: sin ella las copias cifradas no se pueden recuperar. La restauración real de producción todavía requiere un procedimiento y autorización adicional.</w:t>
      </w:r>
    </w:p>
    <w:p>
      <w:pPr>
        <w:pStyle w:val="Heading2"/>
      </w:pPr>
      <w:r>
        <w:t>Referencia operativa: Respaldos</w:t>
      </w:r>
    </w:p>
    <w:p>
      <w:r>
        <w:t>La primera orden crea una copia nueva. La segunda autentica la copia más reciente. La tercera la importa en un MySQL temporal aislado, comprueba tablas y referencias y retira el contenedor y el archivo descifrado. Puedes seleccionar otra copia con -Backup 'nombre.srdbackup', siempre dentro de .local/backups.</w:t>
      </w:r>
    </w:p>
    <w:p>
      <w:r>
        <w:t>Las copias nuevas incluyen once bases: srd_gateway, srd_identity, srd_configuration, srd_records, srd_audit, srd_files, srd_calendar, srd_notifications, srd_treasury, srd_inventory y srd_chat, junto con el .env raíz y los objetos del volumen privado. El simulacro admite también las copias anteriores sin Calendario, Notificaciones, Tesorería, Inventario o Chat cuando faltan sus claves de aplicación.</w:t>
      </w:r>
    </w:p>
    <w:p>
      <w:r>
        <w:t>El formato de contenido 2 indica private_objects_included: true. Conserva los objetos PNG de photos, tanto de personas como de bienes de Inventario, incluidos los pendientes de retirar y los archivos sin referencia que cumplan el formato del almacén. No incluye cuarentena ni otros futuros tipos de archivo. El exportador rechaza enlaces, nombres inesperados, imágenes mayores de 5 MiB, objetos registrados ausentes o alterados y más de 100.000 imágenes. El archivo JSON acompañante solo describe la copia: al verificar y restaurar se lee el formato desde el contenido autenticado, nunca desde ese JSON.</w:t>
      </w:r>
    </w:p>
    <w:p>
      <w:r>
        <w:t>La copia detiene los contenedores activos de web, gateway, los diez dominios y sus planificadores; conserva MySQL, Mailpit y el antivirus. La aplicación queda temporalmente inaccesible. Exporta los objetos desde un contenedor de Archivos de una sola ejecución y ejecuta mysqldump --single-transaction mientras los escritores están detenidos. No ejecutar migraciones, otros procesos que escriban a las bases ni cambios manuales en el volumen durante esta ventana.</w:t>
      </w:r>
    </w:p>
    <w:p>
      <w:r>
        <w:t>Se validan los identificadores y el proyecto de los contenedores, y al finalizar se arrancan solamente los que estaban activos, incluso si falla la copia. Los que ya estaban detenidos permanecen así. .backup.lock impide dos copias simultáneas; .paused-UUID.json conserva los identificadores de la pausa dentro del directorio privado. Una terminación forzada puede dejar el bloqueo o servicios detenidos: revisar esos archivos y el estado de Docker antes de recuperar manualmente con Up.ps1 -SkipBuild y retirar el bloqueo de esa ejecución. El script no elimina automáticamente bloqueos antiguos ni modifica ajustes globales de Docker.</w:t>
      </w:r>
    </w:p>
    <w:p>
      <w:r>
        <w:t>Fuente de comprobación: docs/RESPALDOS.md del paquete SRD del 9 de octubre de 2026.</w:t>
      </w:r>
    </w:p>
    <w:p>
      <w:pPr>
        <w:pStyle w:val="Heading1"/>
      </w:pPr>
      <w:r>
        <w:t>17. Instalar y comprobar componentes opcionales</w:t>
      </w:r>
    </w:p>
    <w:p>
      <w:pPr>
        <w:pStyle w:val="Heading2"/>
      </w:pPr>
      <w:r>
        <w:t>17.1 ClamAV y actualizador</w:t>
      </w:r>
    </w:p>
    <w:p>
      <w:r>
        <w:t>Antivirus y antivirus-updater se pueden iniciar independientemente del resto. Ambos comparten un volumen de firmas. Archivos utiliza tcp://antivirus:3310 y puede leer el marcador /var/lib/clamav/srd-update-ok. El actualizador ejecuta docker/update-signatures.sh y debe tener finales de línea LF, no CRLF.</w:t>
      </w:r>
    </w:p>
    <w:p>
      <w:pPr>
        <w:pStyle w:val="NoSpacing"/>
        <w:spacing w:after="20"/>
      </w:pPr>
      <w:r>
        <w:rPr>
          <w:rFonts w:ascii="Consolas" w:hAnsi="Consolas"/>
          <w:color w:val="205472"/>
          <w:sz w:val="16"/>
        </w:rPr>
        <w:t>docker compose up -d antivirus antivirus-updater</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--tail=30 antivirus-updater</w:t>
      </w:r>
    </w:p>
    <w:p>
      <w:pPr>
        <w:pStyle w:val="NoSpacing"/>
        <w:spacing w:after="20"/>
      </w:pPr>
      <w:r>
        <w:rPr>
          <w:rFonts w:ascii="Consolas" w:hAnsi="Consolas"/>
          <w:color w:val="205472"/>
          <w:sz w:val="16"/>
        </w:rPr>
        <w:t>docker compose exec antivirus clamdscan --version</w:t>
      </w:r>
    </w:p>
    <w:p>
      <w:pPr>
        <w:spacing w:after="20"/>
      </w:pPr>
    </w:p>
    <w:p>
      <w:pPr>
        <w:pStyle w:val="Heading2"/>
      </w:pPr>
      <w:r>
        <w:t>17.2 Windows Electron</w:t>
      </w:r>
    </w:p>
    <w:p>
      <w:r>
        <w:t>El cliente Electron permite presentar la interfaz web instalada en otro proceso: no sustituye ni el servidor ni MySQL. Si el equipo servidor está apagado, la aplicación de escritorio no mostrará los datos. Revisar scripts/Build-Desktop.ps1 y docs/ESCRITORIO.md para los requisitos y estado de distribución.</w:t>
      </w:r>
    </w:p>
    <w:p>
      <w:pPr>
        <w:pStyle w:val="Heading2"/>
      </w:pPr>
      <w:r>
        <w:t>Referencia operativa: Escritorio</w:t>
      </w:r>
    </w:p>
    <w:p>
      <w:r>
        <w:t>apps/desktop es el primer cliente Electron para Windows x64. Abre la misma interfaz React que entrega el servidor web de SRD; por ello usa los mismos permisos, rutas y sesiones del gateway. No funciona sin el servidor y todavía no ofrece modo sin conexión. No incorpora código del backend ni credenciales de servicio.</w:t>
      </w:r>
    </w:p>
    <w:p>
      <w:r>
        <w:t>Por defecto se conecta a http://127.0.0.1:8080, exclusivamente para desarrollo en el mismo equipo con Docker Compose. Para otro servidor, inicia el ejecutable con --server-url=https://servidor-de-srd o define SRD_DESKTOP_SERVER_URL antes de abrirlo. Solo acepta HTTPS para servidores que no sean localhost, 127.0.0.1 o ::1. La URL debe ser el origen, sin ruta, parámetros ni credenciales, y el certificado HTTPS debe ser válido para Windows. El HTTPS autofirmado local de SRD no se acepta automáticamente; no se desactiva la verificación de certificados. El servidor debe ser alcanzable desde el equipo Windows y presentar la misma web y gateway bajo ese origen.</w:t>
      </w:r>
    </w:p>
    <w:p>
      <w:r>
        <w:t>La ventana usa nodeIntegration: false, contextIsolation: true, sandbox: true y webSecurity: true, sin preload ni IPC expuesto a React. Impide ventanas nuevas y navegación o redirecciones a otros orígenes. Solo permite escritura saneada al portapapeles desde el origen de SRD; cámara, micrófono, geolocalización y otros permisos están denegados mientras sus recorridos de escritorio no se implementen. Las exportaciones web siguen usando las descargas del navegador integrado. El perfil normal de una instalación se guarda en los datos de aplicación de Windows; las pruebas usan una carpeta aislada bajo .local/desktop-e2e para no tocar perfiles personales.</w:t>
      </w:r>
    </w:p>
    <w:p>
      <w:r>
        <w:t>La compilación usa npm ci y las versiones de apps/desktop/package-lock.json, con cachés dentro de .local. El paquete portátil queda en .local/desktop-out/SRD Sistema de Registro Digital-win32-x64/SRD.exe. ./scripts/Build-Desktop.ps1 sin -PackageOnly también crea .local/desktop-out/make/squirrel.windows/x64/SRD-Setup.exe y muestra su SHA-256 y estado de firma. Ningún script publica el paquete ni instala el programa.</w:t>
      </w:r>
    </w:p>
    <w:p>
      <w:r>
        <w:t>Fuente de comprobación: docs/ESCRITORIO.md del paquete SRD del 9 de octubre de 2026.</w:t>
      </w:r>
    </w:p>
    <w:p>
      <w:pPr>
        <w:pStyle w:val="Heading2"/>
      </w:pPr>
      <w:r>
        <w:t>17.3 Android</w:t>
      </w:r>
    </w:p>
    <w:p>
      <w:r>
        <w:t>La variante Expo Go es adecuada para la demostración. La compilación Android nativa se ha probado de forma parcial en modo debug; no es una aplicación final publicada en una tienda. El acceso por USB puede requerir ADB autorizado y comunicación con la web local.</w:t>
      </w:r>
    </w:p>
    <w:p>
      <w:pPr>
        <w:pStyle w:val="Heading2"/>
      </w:pPr>
      <w:r>
        <w:t>Referencia operativa: Movil</w:t>
      </w:r>
    </w:p>
    <w:p>
      <w:r>
        <w:t>apps/mobile-expo es una adaptación separada de las pantallas de esta app para ejecutarlas en Expo Go por USB, sin compilar un APK ni arrancar el emulador. La guía exacta está en apps/mobile-expo/README.md. Usa SDK 57, React Native 0.86.3 y expo-secure-store para recordar solo servidor y código de junta. El inicio muestra resumen y tarjetas, con navegación inferior que no aparece cuando quedan términos por aceptar; el perfil identifica cuenta y junta, y Agenda y Avisos presentan estados vacíos legibles. Al volver al inicio se recargan los indicadores. El botón Atrás de Android vuelve desde las pantallas internas, sin pasar por alto términos pendientes o cambios de junta sin confirmar. npx tsc --noEmit, lint, exportación del bundle Android y expo-doctor aprobaron el 8 de octubre de 2026. El manifiesto de Expo respondió por IPv4 local. Un recorrido visual con datos sintéticos verificó login, MFA, resumen y navegación a 320 px. Prepare-ExpoDemo.ps1 inició la pila reducida y mobile-expo-api.spec.mjs aprobó contra el gateway real login, MFA por Mailpit, resumen, personas, agenda, avisos y cierre de sesión. En un teléfono Android físico se comprobó por USB el login con MFA, Inicio, Personas con tres registros ficticios, Agenda con dos eventos, la apertura de Avisos y Perfil, y la persistencia de la sesión tras salir y reabrir Expo Go. El botón Atrás y las escrituras desde ese teléfono aún están pendientes. La app nativa descrita abajo sigue independiente.</w:t>
      </w:r>
    </w:p>
    <w:p>
      <w:r>
        <w:t>Con una sesión iniciada, Cambiar de junta pide el código de destino, carga sus términos vigentes y exige aceptación expresa antes de solicitar el cambio. Al concluir, consulta /me para confirmar la junta activa, limpia los datos en memoria de la anterior y carga un resumen nuevo. Si la respuesta del cambio se pierde, bloquea otro envío hasta Comprobar junta activa. Cuando cambian los términos de la junta actual, bloquea el resumen hasta aceptarlos o cerrar sesión. El servidor sigue decidiendo si la cuenta tiene acceso a la junta destino. Este flujo pasó pruebas JavaScript y compilación Android; falta recorrido nativo entre dos juntas.</w:t>
      </w:r>
    </w:p>
    <w:p>
      <w:r>
        <w:t>El primer cliente React Native está en apps/mobile. Es una aplicación Android nativa, sin WebView, que abre directamente en Iniciar sesión. En el mismo flujo solicita la dirección del servidor y el código de junta, consulta la junta, muestra sus términos, solicita correo y contraseña, verifica el código de seis dígitos y presenta cuatro indicadores del resumen. Permite mostrar u ocultar la contraseña, solicitar instrucciones de recuperación, reenviar o cancelar la verificación y cerrar sesión. Incorpora además búsqueda de personas por nombre o documento, lista paginada por el servidor, lectura explícita de una ficha y consulta exacta por tipo y número de documento. Esta última conserva los ceros iniciales y diferencia entre ausencia de resultado y fallo de consulta. La ficha muestra solo campos seleccionados de la respuesta autorizada; no presenta la nota interna.</w:t>
      </w:r>
    </w:p>
    <w:p>
      <w:r>
        <w:t>Fuente de comprobación: docs/MOVIL.md del paquete SRD del 9 de octubre de 2026.</w:t>
      </w:r>
    </w:p>
    <w:p>
      <w:pPr>
        <w:pStyle w:val="Heading1"/>
      </w:pPr>
      <w:r>
        <w:t>18. Actualizar el sistema sin perder datos</w:t>
      </w:r>
    </w:p>
    <w:p>
      <w:pPr>
        <w:pStyle w:val="Heading2"/>
      </w:pPr>
      <w:r>
        <w:t>18.1 Antes de sustituir el código</w:t>
      </w:r>
    </w:p>
    <w:p>
      <w:pPr>
        <w:ind w:left="346" w:hanging="259"/>
      </w:pPr>
      <w:r>
        <w:t>1. Anotar versión del repositorio o ZIP e identificar módulos que cambiarán.</w:t>
      </w:r>
    </w:p>
    <w:p>
      <w:pPr>
        <w:ind w:left="346" w:hanging="259"/>
      </w:pPr>
      <w:r>
        <w:t>2. Comprobar salud de MySQL y registrar docker compose ps.</w:t>
      </w:r>
    </w:p>
    <w:p>
      <w:pPr>
        <w:ind w:left="346" w:hanging="259"/>
      </w:pPr>
      <w:r>
        <w:t>3. Generar Backup-Local.ps1 y ejecutar VerifyOnly sobre la copia resultante.</w:t>
      </w:r>
    </w:p>
    <w:p>
      <w:pPr>
        <w:ind w:left="346" w:hanging="259"/>
      </w:pPr>
      <w:r>
        <w:t>4. Conservar .env y .local fuera de paquetes que se distribuyan.</w:t>
      </w:r>
    </w:p>
    <w:p>
      <w:pPr>
        <w:ind w:left="346" w:hanging="259"/>
      </w:pPr>
      <w:r>
        <w:t>5. Revisar los archivos .sh después de transferencias Windows/Linux.</w:t>
      </w:r>
    </w:p>
    <w:p>
      <w:pPr>
        <w:pStyle w:val="Heading2"/>
      </w:pPr>
      <w:r>
        <w:t>18.2 Aplicar la actualización</w:t>
      </w:r>
    </w:p>
    <w:p>
      <w:pPr>
        <w:ind w:left="346" w:hanging="259"/>
      </w:pPr>
      <w:r>
        <w:t>1. Extraer o actualizar el código conservando los directorios de datos locales y volúmenes.</w:t>
      </w:r>
    </w:p>
    <w:p>
      <w:pPr>
        <w:ind w:left="346" w:hanging="259"/>
      </w:pPr>
      <w:r>
        <w:t>2. Revisar diferencias de compose.yaml, scripts y migraciones.</w:t>
      </w:r>
    </w:p>
    <w:p>
      <w:pPr>
        <w:ind w:left="346" w:hanging="259"/>
      </w:pPr>
      <w:r>
        <w:t>3. Ejecutar ./scripts/Up.ps1 para construir y migrar lo necesario.</w:t>
      </w:r>
    </w:p>
    <w:p>
      <w:pPr>
        <w:ind w:left="346" w:hanging="259"/>
      </w:pPr>
      <w:r>
        <w:t>4. Confirmar migraciones de los dominios cambiados y un flujo end-to-end del módulo.</w:t>
      </w:r>
    </w:p>
    <w:p>
      <w:pPr>
        <w:ind w:left="346" w:hanging="259"/>
      </w:pPr>
      <w:r>
        <w:t>5. Consultar estado de servicios, outbox y actualizador ClamAV; registrar incidentes si hay rechazos.</w:t>
      </w:r>
    </w:p>
    <w:p>
      <w:r>
        <w:t>No ejecutar docker compose down -v ni php artisan migrate:fresh para arreglar una migración. Dichas órdenes pueden eliminar información persistente; la corrección debe ser puntual y con respaldo.</w:t>
      </w:r>
    </w:p>
    <w:p>
      <w:pPr>
        <w:pStyle w:val="Heading1"/>
      </w:pPr>
      <w:r>
        <w:t>19. Acta de instalación y aceptación técnica</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Registro</w:t>
            </w:r>
          </w:p>
        </w:tc>
        <w:tc>
          <w:tcPr>
            <w:tcW w:type="dxa" w:w="4730"/>
            <w:shd w:fill="E9EEF2"/>
          </w:tcPr>
          <w:p>
            <w:r>
              <w:rPr>
                <w:b/>
                <w:sz w:val="17"/>
              </w:rPr>
              <w:t>Dato que debe consignarse</w:t>
            </w:r>
          </w:p>
        </w:tc>
      </w:tr>
      <w:tr>
        <w:tc>
          <w:tcPr>
            <w:tcW w:type="dxa" w:w="4730"/>
            <w:vAlign w:val="center"/>
          </w:tcPr>
          <w:p>
            <w:pPr>
              <w:spacing w:after="40" w:before="40"/>
            </w:pPr>
            <w:r>
              <w:rPr>
                <w:sz w:val="16"/>
              </w:rPr>
              <w:t>Fecha y equipo</w:t>
            </w:r>
          </w:p>
        </w:tc>
        <w:tc>
          <w:tcPr>
            <w:tcW w:type="dxa" w:w="4730"/>
            <w:vAlign w:val="center"/>
          </w:tcPr>
          <w:p>
            <w:pPr>
              <w:spacing w:after="40" w:before="40"/>
            </w:pPr>
            <w:r>
              <w:rPr>
                <w:sz w:val="16"/>
              </w:rPr>
              <w:t>Fecha, responsable, versión del paquete y sistema operativo</w:t>
            </w:r>
          </w:p>
        </w:tc>
      </w:tr>
      <w:tr>
        <w:tc>
          <w:tcPr>
            <w:tcW w:type="dxa" w:w="4730"/>
            <w:vAlign w:val="center"/>
            <w:shd w:fill="F6F8F9"/>
          </w:tcPr>
          <w:p>
            <w:pPr>
              <w:spacing w:after="40" w:before="40"/>
            </w:pPr>
            <w:r>
              <w:rPr>
                <w:sz w:val="16"/>
              </w:rPr>
              <w:t>Infraestructura</w:t>
            </w:r>
          </w:p>
        </w:tc>
        <w:tc>
          <w:tcPr>
            <w:tcW w:type="dxa" w:w="4730"/>
            <w:vAlign w:val="center"/>
            <w:shd w:fill="F6F8F9"/>
          </w:tcPr>
          <w:p>
            <w:pPr>
              <w:spacing w:after="40" w:before="40"/>
            </w:pPr>
            <w:r>
              <w:rPr>
                <w:sz w:val="16"/>
              </w:rPr>
              <w:t>Versión Docker/Compose; puertos ocupados; memoria disponible</w:t>
            </w:r>
          </w:p>
        </w:tc>
      </w:tr>
      <w:tr>
        <w:tc>
          <w:tcPr>
            <w:tcW w:type="dxa" w:w="4730"/>
            <w:vAlign w:val="center"/>
          </w:tcPr>
          <w:p>
            <w:pPr>
              <w:spacing w:after="40" w:before="40"/>
            </w:pPr>
            <w:r>
              <w:rPr>
                <w:sz w:val="16"/>
              </w:rPr>
              <w:t>Persistencia</w:t>
            </w:r>
          </w:p>
        </w:tc>
        <w:tc>
          <w:tcPr>
            <w:tcW w:type="dxa" w:w="4730"/>
            <w:vAlign w:val="center"/>
          </w:tcPr>
          <w:p>
            <w:pPr>
              <w:spacing w:after="40" w:before="40"/>
            </w:pPr>
            <w:r>
              <w:rPr>
                <w:sz w:val="16"/>
              </w:rPr>
              <w:t>Bases presentes, migraciones ejecutadas, copia de respaldo</w:t>
            </w:r>
          </w:p>
        </w:tc>
      </w:tr>
      <w:tr>
        <w:tc>
          <w:tcPr>
            <w:tcW w:type="dxa" w:w="4730"/>
            <w:vAlign w:val="center"/>
            <w:shd w:fill="F6F8F9"/>
          </w:tcPr>
          <w:p>
            <w:pPr>
              <w:spacing w:after="40" w:before="40"/>
            </w:pPr>
            <w:r>
              <w:rPr>
                <w:sz w:val="16"/>
              </w:rPr>
              <w:t>Servicios</w:t>
            </w:r>
          </w:p>
        </w:tc>
        <w:tc>
          <w:tcPr>
            <w:tcW w:type="dxa" w:w="4730"/>
            <w:vAlign w:val="center"/>
            <w:shd w:fill="F6F8F9"/>
          </w:tcPr>
          <w:p>
            <w:pPr>
              <w:spacing w:after="40" w:before="40"/>
            </w:pPr>
            <w:r>
              <w:rPr>
                <w:sz w:val="16"/>
              </w:rPr>
              <w:t>Conteo healthy y excepciones documentadas</w:t>
            </w:r>
          </w:p>
        </w:tc>
      </w:tr>
      <w:tr>
        <w:tc>
          <w:tcPr>
            <w:tcW w:type="dxa" w:w="4730"/>
            <w:vAlign w:val="center"/>
          </w:tcPr>
          <w:p>
            <w:pPr>
              <w:spacing w:after="40" w:before="40"/>
            </w:pPr>
            <w:r>
              <w:rPr>
                <w:sz w:val="16"/>
              </w:rPr>
              <w:t>Seguridad</w:t>
            </w:r>
          </w:p>
        </w:tc>
        <w:tc>
          <w:tcPr>
            <w:tcW w:type="dxa" w:w="4730"/>
            <w:vAlign w:val="center"/>
          </w:tcPr>
          <w:p>
            <w:pPr>
              <w:spacing w:after="40" w:before="40"/>
            </w:pPr>
            <w:r>
              <w:rPr>
                <w:sz w:val="16"/>
              </w:rPr>
              <w:t>MFA verificado, estado ClamAV, versión de firmas</w:t>
            </w:r>
          </w:p>
        </w:tc>
      </w:tr>
      <w:tr>
        <w:tc>
          <w:tcPr>
            <w:tcW w:type="dxa" w:w="4730"/>
            <w:vAlign w:val="center"/>
            <w:shd w:fill="F6F8F9"/>
          </w:tcPr>
          <w:p>
            <w:pPr>
              <w:spacing w:after="40" w:before="40"/>
            </w:pPr>
            <w:r>
              <w:rPr>
                <w:sz w:val="16"/>
              </w:rPr>
              <w:t>Prueba funcional</w:t>
            </w:r>
          </w:p>
        </w:tc>
        <w:tc>
          <w:tcPr>
            <w:tcW w:type="dxa" w:w="4730"/>
            <w:vAlign w:val="center"/>
            <w:shd w:fill="F6F8F9"/>
          </w:tcPr>
          <w:p>
            <w:pPr>
              <w:spacing w:after="40" w:before="40"/>
            </w:pPr>
            <w:r>
              <w:rPr>
                <w:sz w:val="16"/>
              </w:rPr>
              <w:t>Junta ficticia usada y flujos completados</w:t>
            </w:r>
          </w:p>
        </w:tc>
      </w:tr>
      <w:tr>
        <w:tc>
          <w:tcPr>
            <w:tcW w:type="dxa" w:w="4730"/>
            <w:vAlign w:val="center"/>
          </w:tcPr>
          <w:p>
            <w:pPr>
              <w:spacing w:after="40" w:before="40"/>
            </w:pPr>
            <w:r>
              <w:rPr>
                <w:sz w:val="16"/>
              </w:rPr>
              <w:t>Pendientes</w:t>
            </w:r>
          </w:p>
        </w:tc>
        <w:tc>
          <w:tcPr>
            <w:tcW w:type="dxa" w:w="4730"/>
            <w:vAlign w:val="center"/>
          </w:tcPr>
          <w:p>
            <w:pPr>
              <w:spacing w:after="40" w:before="40"/>
            </w:pPr>
            <w:r>
              <w:rPr>
                <w:sz w:val="16"/>
              </w:rPr>
              <w:t>Defectos y decisiones de continuidad</w:t>
            </w:r>
          </w:p>
        </w:tc>
      </w:tr>
    </w:tbl>
    <w:p>
      <w:pPr>
        <w:spacing w:after="40"/>
      </w:pPr>
    </w:p>
    <w:p>
      <w:r>
        <w:t>El acta verifica una instalación específica en un equipo. No constituye una certificación de capacidad, seguridad de producción o aceptación de usuarios sin las pruebas correspondientes.</w:t>
      </w:r>
    </w:p>
    <w:p>
      <w:pPr>
        <w:pStyle w:val="Heading1"/>
      </w:pPr>
      <w:r>
        <w:t>20. Instalación por componentes cuando un módulo falla</w:t>
      </w:r>
    </w:p>
    <w:p>
      <w:r>
        <w:t>El arranque habitual se hace con Up.ps1. El procedimiento por componentes solo es recomendable para diagnóstico: iniciar todos los servicios repetidamente puede consumir tiempo y memoria sin corregir una migración o una variable incorrecta.</w:t>
      </w:r>
    </w:p>
    <w:p>
      <w:pPr>
        <w:pStyle w:val="Heading2"/>
      </w:pPr>
      <w:r>
        <w:t>Identidad y cuentas</w:t>
      </w:r>
    </w:p>
    <w:p>
      <w:r>
        <w:t>Verificar que el dominio identity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identity</w:t>
      </w:r>
    </w:p>
    <w:p>
      <w:pPr>
        <w:pStyle w:val="NoSpacing"/>
        <w:spacing w:after="20"/>
      </w:pPr>
      <w:r>
        <w:rPr>
          <w:rFonts w:ascii="Consolas" w:hAnsi="Consolas"/>
          <w:color w:val="205472"/>
          <w:sz w:val="16"/>
        </w:rPr>
        <w:t>docker compose logs --tail=35 identity</w:t>
      </w:r>
    </w:p>
    <w:p>
      <w:pPr>
        <w:pStyle w:val="NoSpacing"/>
        <w:spacing w:after="20"/>
      </w:pPr>
      <w:r>
        <w:rPr>
          <w:rFonts w:ascii="Consolas" w:hAnsi="Consolas"/>
          <w:color w:val="205472"/>
          <w:sz w:val="16"/>
        </w:rPr>
        <w:t>docker compose exec identity php artisan migrate:status</w:t>
      </w:r>
    </w:p>
    <w:p>
      <w:pPr>
        <w:spacing w:after="20"/>
      </w:pPr>
    </w:p>
    <w:p>
      <w:pPr>
        <w:pStyle w:val="Heading2"/>
      </w:pPr>
      <w:r>
        <w:t>Configuración</w:t>
      </w:r>
    </w:p>
    <w:p>
      <w:r>
        <w:t>Verificar que el dominio configuration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configuration</w:t>
      </w:r>
    </w:p>
    <w:p>
      <w:pPr>
        <w:pStyle w:val="NoSpacing"/>
        <w:spacing w:after="20"/>
      </w:pPr>
      <w:r>
        <w:rPr>
          <w:rFonts w:ascii="Consolas" w:hAnsi="Consolas"/>
          <w:color w:val="205472"/>
          <w:sz w:val="16"/>
        </w:rPr>
        <w:t>docker compose logs --tail=35 configuration</w:t>
      </w:r>
    </w:p>
    <w:p>
      <w:pPr>
        <w:pStyle w:val="NoSpacing"/>
        <w:spacing w:after="20"/>
      </w:pPr>
      <w:r>
        <w:rPr>
          <w:rFonts w:ascii="Consolas" w:hAnsi="Consolas"/>
          <w:color w:val="205472"/>
          <w:sz w:val="16"/>
        </w:rPr>
        <w:t>docker compose exec configuration php artisan migrate:status</w:t>
      </w:r>
    </w:p>
    <w:p>
      <w:pPr>
        <w:spacing w:after="20"/>
      </w:pPr>
    </w:p>
    <w:p>
      <w:pPr>
        <w:pStyle w:val="Heading2"/>
      </w:pPr>
      <w:r>
        <w:t>Personas</w:t>
      </w:r>
    </w:p>
    <w:p>
      <w:r>
        <w:t>Verificar que el dominio records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records</w:t>
      </w:r>
    </w:p>
    <w:p>
      <w:pPr>
        <w:pStyle w:val="NoSpacing"/>
        <w:spacing w:after="20"/>
      </w:pPr>
      <w:r>
        <w:rPr>
          <w:rFonts w:ascii="Consolas" w:hAnsi="Consolas"/>
          <w:color w:val="205472"/>
          <w:sz w:val="16"/>
        </w:rPr>
        <w:t>docker compose logs --tail=35 records</w:t>
      </w:r>
    </w:p>
    <w:p>
      <w:pPr>
        <w:pStyle w:val="NoSpacing"/>
        <w:spacing w:after="20"/>
      </w:pPr>
      <w:r>
        <w:rPr>
          <w:rFonts w:ascii="Consolas" w:hAnsi="Consolas"/>
          <w:color w:val="205472"/>
          <w:sz w:val="16"/>
        </w:rPr>
        <w:t>docker compose exec records php artisan migrate:status</w:t>
      </w:r>
    </w:p>
    <w:p>
      <w:pPr>
        <w:spacing w:after="20"/>
      </w:pPr>
    </w:p>
    <w:p>
      <w:pPr>
        <w:pStyle w:val="Heading2"/>
      </w:pPr>
      <w:r>
        <w:t>Auditoría</w:t>
      </w:r>
    </w:p>
    <w:p>
      <w:r>
        <w:t>Verificar que el dominio audit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audit</w:t>
      </w:r>
    </w:p>
    <w:p>
      <w:pPr>
        <w:pStyle w:val="NoSpacing"/>
        <w:spacing w:after="20"/>
      </w:pPr>
      <w:r>
        <w:rPr>
          <w:rFonts w:ascii="Consolas" w:hAnsi="Consolas"/>
          <w:color w:val="205472"/>
          <w:sz w:val="16"/>
        </w:rPr>
        <w:t>docker compose logs --tail=35 audit</w:t>
      </w:r>
    </w:p>
    <w:p>
      <w:pPr>
        <w:pStyle w:val="NoSpacing"/>
        <w:spacing w:after="20"/>
      </w:pPr>
      <w:r>
        <w:rPr>
          <w:rFonts w:ascii="Consolas" w:hAnsi="Consolas"/>
          <w:color w:val="205472"/>
          <w:sz w:val="16"/>
        </w:rPr>
        <w:t>docker compose exec audit php artisan migrate:status</w:t>
      </w:r>
    </w:p>
    <w:p>
      <w:pPr>
        <w:spacing w:after="20"/>
      </w:pPr>
    </w:p>
    <w:p>
      <w:pPr>
        <w:pStyle w:val="Heading2"/>
      </w:pPr>
      <w:r>
        <w:t>Archivos</w:t>
      </w:r>
    </w:p>
    <w:p>
      <w:r>
        <w:t>Verificar que el dominio files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files</w:t>
      </w:r>
    </w:p>
    <w:p>
      <w:pPr>
        <w:pStyle w:val="NoSpacing"/>
        <w:spacing w:after="20"/>
      </w:pPr>
      <w:r>
        <w:rPr>
          <w:rFonts w:ascii="Consolas" w:hAnsi="Consolas"/>
          <w:color w:val="205472"/>
          <w:sz w:val="16"/>
        </w:rPr>
        <w:t>docker compose logs --tail=35 files</w:t>
      </w:r>
    </w:p>
    <w:p>
      <w:pPr>
        <w:pStyle w:val="NoSpacing"/>
        <w:spacing w:after="20"/>
      </w:pPr>
      <w:r>
        <w:rPr>
          <w:rFonts w:ascii="Consolas" w:hAnsi="Consolas"/>
          <w:color w:val="205472"/>
          <w:sz w:val="16"/>
        </w:rPr>
        <w:t>docker compose exec files php artisan migrate:status</w:t>
      </w:r>
    </w:p>
    <w:p>
      <w:pPr>
        <w:spacing w:after="20"/>
      </w:pPr>
    </w:p>
    <w:p>
      <w:pPr>
        <w:pStyle w:val="Heading2"/>
      </w:pPr>
      <w:r>
        <w:t>Calendario</w:t>
      </w:r>
    </w:p>
    <w:p>
      <w:r>
        <w:t>Verificar que el dominio calendar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calendar</w:t>
      </w:r>
    </w:p>
    <w:p>
      <w:pPr>
        <w:pStyle w:val="NoSpacing"/>
        <w:spacing w:after="20"/>
      </w:pPr>
      <w:r>
        <w:rPr>
          <w:rFonts w:ascii="Consolas" w:hAnsi="Consolas"/>
          <w:color w:val="205472"/>
          <w:sz w:val="16"/>
        </w:rPr>
        <w:t>docker compose logs --tail=35 calendar</w:t>
      </w:r>
    </w:p>
    <w:p>
      <w:pPr>
        <w:pStyle w:val="NoSpacing"/>
        <w:spacing w:after="20"/>
      </w:pPr>
      <w:r>
        <w:rPr>
          <w:rFonts w:ascii="Consolas" w:hAnsi="Consolas"/>
          <w:color w:val="205472"/>
          <w:sz w:val="16"/>
        </w:rPr>
        <w:t>docker compose exec calendar php artisan migrate:status</w:t>
      </w:r>
    </w:p>
    <w:p>
      <w:pPr>
        <w:spacing w:after="20"/>
      </w:pPr>
    </w:p>
    <w:p>
      <w:pPr>
        <w:pStyle w:val="Heading2"/>
      </w:pPr>
      <w:r>
        <w:t>Notificaciones</w:t>
      </w:r>
    </w:p>
    <w:p>
      <w:r>
        <w:t>Verificar que el dominio notifications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notifications</w:t>
      </w:r>
    </w:p>
    <w:p>
      <w:pPr>
        <w:pStyle w:val="NoSpacing"/>
        <w:spacing w:after="20"/>
      </w:pPr>
      <w:r>
        <w:rPr>
          <w:rFonts w:ascii="Consolas" w:hAnsi="Consolas"/>
          <w:color w:val="205472"/>
          <w:sz w:val="16"/>
        </w:rPr>
        <w:t>docker compose logs --tail=35 notifications</w:t>
      </w:r>
    </w:p>
    <w:p>
      <w:pPr>
        <w:pStyle w:val="NoSpacing"/>
        <w:spacing w:after="20"/>
      </w:pPr>
      <w:r>
        <w:rPr>
          <w:rFonts w:ascii="Consolas" w:hAnsi="Consolas"/>
          <w:color w:val="205472"/>
          <w:sz w:val="16"/>
        </w:rPr>
        <w:t>docker compose exec notifications php artisan migrate:status</w:t>
      </w:r>
    </w:p>
    <w:p>
      <w:pPr>
        <w:spacing w:after="20"/>
      </w:pPr>
    </w:p>
    <w:p>
      <w:pPr>
        <w:pStyle w:val="Heading2"/>
      </w:pPr>
      <w:r>
        <w:t>Tesorería</w:t>
      </w:r>
    </w:p>
    <w:p>
      <w:r>
        <w:t>Verificar que el dominio treasury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treasury</w:t>
      </w:r>
    </w:p>
    <w:p>
      <w:pPr>
        <w:pStyle w:val="NoSpacing"/>
        <w:spacing w:after="20"/>
      </w:pPr>
      <w:r>
        <w:rPr>
          <w:rFonts w:ascii="Consolas" w:hAnsi="Consolas"/>
          <w:color w:val="205472"/>
          <w:sz w:val="16"/>
        </w:rPr>
        <w:t>docker compose logs --tail=35 treasury</w:t>
      </w:r>
    </w:p>
    <w:p>
      <w:pPr>
        <w:pStyle w:val="NoSpacing"/>
        <w:spacing w:after="20"/>
      </w:pPr>
      <w:r>
        <w:rPr>
          <w:rFonts w:ascii="Consolas" w:hAnsi="Consolas"/>
          <w:color w:val="205472"/>
          <w:sz w:val="16"/>
        </w:rPr>
        <w:t>docker compose exec treasury php artisan migrate:status</w:t>
      </w:r>
    </w:p>
    <w:p>
      <w:pPr>
        <w:spacing w:after="20"/>
      </w:pPr>
    </w:p>
    <w:p>
      <w:pPr>
        <w:pStyle w:val="Heading2"/>
      </w:pPr>
      <w:r>
        <w:t>Inventario</w:t>
      </w:r>
    </w:p>
    <w:p>
      <w:r>
        <w:t>Verificar que el dominio inventory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inventory</w:t>
      </w:r>
    </w:p>
    <w:p>
      <w:pPr>
        <w:pStyle w:val="NoSpacing"/>
        <w:spacing w:after="20"/>
      </w:pPr>
      <w:r>
        <w:rPr>
          <w:rFonts w:ascii="Consolas" w:hAnsi="Consolas"/>
          <w:color w:val="205472"/>
          <w:sz w:val="16"/>
        </w:rPr>
        <w:t>docker compose logs --tail=35 inventory</w:t>
      </w:r>
    </w:p>
    <w:p>
      <w:pPr>
        <w:pStyle w:val="NoSpacing"/>
        <w:spacing w:after="20"/>
      </w:pPr>
      <w:r>
        <w:rPr>
          <w:rFonts w:ascii="Consolas" w:hAnsi="Consolas"/>
          <w:color w:val="205472"/>
          <w:sz w:val="16"/>
        </w:rPr>
        <w:t>docker compose exec inventory php artisan migrate:status</w:t>
      </w:r>
    </w:p>
    <w:p>
      <w:pPr>
        <w:spacing w:after="20"/>
      </w:pPr>
    </w:p>
    <w:p>
      <w:pPr>
        <w:pStyle w:val="Heading2"/>
      </w:pPr>
      <w:r>
        <w:t>Chat</w:t>
      </w:r>
    </w:p>
    <w:p>
      <w:r>
        <w:t>Verificar que el dominio chat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chat</w:t>
      </w:r>
    </w:p>
    <w:p>
      <w:pPr>
        <w:pStyle w:val="NoSpacing"/>
        <w:spacing w:after="20"/>
      </w:pPr>
      <w:r>
        <w:rPr>
          <w:rFonts w:ascii="Consolas" w:hAnsi="Consolas"/>
          <w:color w:val="205472"/>
          <w:sz w:val="16"/>
        </w:rPr>
        <w:t>docker compose logs --tail=35 chat</w:t>
      </w:r>
    </w:p>
    <w:p>
      <w:pPr>
        <w:pStyle w:val="NoSpacing"/>
        <w:spacing w:after="20"/>
      </w:pPr>
      <w:r>
        <w:rPr>
          <w:rFonts w:ascii="Consolas" w:hAnsi="Consolas"/>
          <w:color w:val="205472"/>
          <w:sz w:val="16"/>
        </w:rPr>
        <w:t>docker compose exec chat php artisan migrate:status</w:t>
      </w:r>
    </w:p>
    <w:p>
      <w:pPr>
        <w:spacing w:after="20"/>
      </w:pPr>
    </w:p>
    <w:p>
      <w:pPr>
        <w:pStyle w:val="Heading1"/>
      </w:pPr>
      <w:r>
        <w:t>21. Comprobación de las comunicaciones internas</w:t>
      </w:r>
    </w:p>
    <w:p>
      <w:pPr>
        <w:pStyle w:val="Heading2"/>
      </w:pPr>
      <w:r>
        <w:t>21.1 Gateway frente a microservicios</w:t>
      </w:r>
    </w:p>
    <w:p>
      <w:r>
        <w:t>El navegador solo necesita el puerto web 8080. Los puertos internos 8000/tcp no deben publicarse individualmente para lograr la comunicación: Compose resuelve los servicios por nombre en su red privada. El Gateway deriva la petición al dueño del recurso y valida la sesión. Ante un 502 o 503 conviene revisar el destino reportado por los logs.</w:t>
      </w:r>
    </w:p>
    <w:p>
      <w:pPr>
        <w:pStyle w:val="Heading2"/>
      </w:pPr>
      <w:r>
        <w:t>21.2 Base de datos por nombre de servicio</w:t>
      </w:r>
    </w:p>
    <w:p>
      <w:r>
        <w:t>Dentro de Compose el host de MySQL es mysql y el puerto interno 3306. Que el nombre de una base exista no garantiza que sus migraciones se aplicaron. En una instalación existente, ./scripts/Up.ps1 puede crear bases faltantes y luego ejecutar migraciones; nunca se deben copiar tablas manualmente entre juntas.</w:t>
      </w:r>
    </w:p>
    <w:p>
      <w:pPr>
        <w:pStyle w:val="Heading2"/>
      </w:pPr>
      <w:r>
        <w:t>21.3 Cola de auditoría</w:t>
      </w:r>
    </w:p>
    <w:p>
      <w:r>
        <w:t>No basta con que el servicio Audit responda 200. El receptor necesita su tabla audit_events, y cada emisor tiene su outbox. Para verificar un fallo real se inspecciona el contador exhausted por servicio y se prueba la publicación después de solucionar la causa del receptor.</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treasury php artisan srd:outbox-status</w:t>
      </w:r>
    </w:p>
    <w:p>
      <w:pPr>
        <w:pStyle w:val="NoSpacing"/>
        <w:spacing w:after="20"/>
      </w:pPr>
      <w:r>
        <w:rPr>
          <w:rFonts w:ascii="Consolas" w:hAnsi="Consolas"/>
          <w:color w:val="205472"/>
          <w:sz w:val="16"/>
        </w:rPr>
        <w:t>docker compose exec inventory php artisan srd:outbox-status</w:t>
      </w:r>
    </w:p>
    <w:p>
      <w:pPr>
        <w:spacing w:after="20"/>
      </w:pPr>
    </w:p>
    <w:p>
      <w:pPr>
        <w:pStyle w:val="Heading1"/>
      </w:pPr>
      <w:r>
        <w:t>22. Validación antes de entregar el sistema a otra persona</w:t>
      </w:r>
    </w:p>
    <w:p>
      <w:pPr>
        <w:pStyle w:val="Heading2"/>
      </w:pPr>
      <w:r>
        <w:t>22.1 Comprobaciones técnicas</w:t>
      </w:r>
    </w:p>
    <w:p>
      <w:pPr>
        <w:ind w:left="346" w:hanging="259"/>
      </w:pPr>
      <w:r>
        <w:t>1. Arrancar el sistema desde PowerShell sin comandos manuales adicionales.</w:t>
      </w:r>
    </w:p>
    <w:p>
      <w:pPr>
        <w:ind w:left="346" w:hanging="259"/>
      </w:pPr>
      <w:r>
        <w:t>2. Confirmar los diez dominios, Gateway, bases, planificadores y auxiliares esperados.</w:t>
      </w:r>
    </w:p>
    <w:p>
      <w:pPr>
        <w:ind w:left="346" w:hanging="259"/>
      </w:pPr>
      <w:r>
        <w:t>3. Revisar que Mailpit sea visible solo localmente en 8025.</w:t>
      </w:r>
    </w:p>
    <w:p>
      <w:pPr>
        <w:ind w:left="346" w:hanging="259"/>
      </w:pPr>
      <w:r>
        <w:t>4. Probar login de una junta ficticia, MFA y navegación de módulos.</w:t>
      </w:r>
    </w:p>
    <w:p>
      <w:pPr>
        <w:ind w:left="346" w:hanging="259"/>
      </w:pPr>
      <w:r>
        <w:t>5. Verificar que una cuenta sin permisos no reciba acciones de edición.</w:t>
      </w:r>
    </w:p>
    <w:p>
      <w:pPr>
        <w:ind w:left="346" w:hanging="259"/>
      </w:pPr>
      <w:r>
        <w:t>6. Confirmar que la base de firmas ClamAV esté al día y accesible desde Archivos.</w:t>
      </w:r>
    </w:p>
    <w:p>
      <w:pPr>
        <w:ind w:left="346" w:hanging="259"/>
      </w:pPr>
      <w:r>
        <w:t>7. Ejecutar verificación de respaldo sin restaurar sobre los datos activos.</w:t>
      </w:r>
    </w:p>
    <w:p>
      <w:pPr>
        <w:ind w:left="346" w:hanging="259"/>
      </w:pPr>
      <w:r>
        <w:t>8. Registrar versión, fecha, resultados y funciones que todavía siguen pendientes.</w:t>
      </w:r>
    </w:p>
    <w:p>
      <w:pPr>
        <w:pStyle w:val="Heading2"/>
      </w:pPr>
      <w:r>
        <w:t>22.2 Preparar un ZIP de fuentes seguro</w:t>
      </w:r>
    </w:p>
    <w:p>
      <w:pPr>
        <w:ind w:left="346" w:hanging="259"/>
      </w:pPr>
      <w:r>
        <w:t>1. No incluir .env, .local, bases SQL de usuarios, objetos privados, directorios node_modules ni claves de recuperación.</w:t>
      </w:r>
    </w:p>
    <w:p>
      <w:pPr>
        <w:ind w:left="346" w:hanging="259"/>
      </w:pPr>
      <w:r>
        <w:t>2. Confirmar que las rutas y scripts tienen permisos y finales de línea correctos.</w:t>
      </w:r>
    </w:p>
    <w:p>
      <w:pPr>
        <w:ind w:left="346" w:hanging="259"/>
      </w:pPr>
      <w:r>
        <w:t>3. Conservar los documentos de instalación y de soporte junto al código fuente.</w:t>
      </w:r>
    </w:p>
    <w:p>
      <w:pPr>
        <w:ind w:left="346" w:hanging="259"/>
      </w:pPr>
      <w:r>
        <w:t>4. Incluir la versión o fecha del corte y las dependencias necesarias para replicarlo.</w:t>
      </w:r>
    </w:p>
    <w:p>
      <w:pPr>
        <w:ind w:left="346" w:hanging="259"/>
      </w:pPr>
      <w:r>
        <w:t>5. Probar el paquete en un directorio limpio cuando el tiempo y el equipo lo permitan.</w:t>
      </w:r>
    </w:p>
    <w:p>
      <w:r>
        <w:t>El script scripts/Package.ps1 implementa una ruta de empaquetado desde el proyecto. Revisar siempre el contenido del ZIP resultante antes de entregarlo; un paquete de código no debe ser un respaldo de datos.</w:t>
      </w:r>
    </w:p>
    <w:p>
      <w:pPr>
        <w:pStyle w:val="Heading1"/>
      </w:pPr>
      <w:r>
        <w:t>23. Guía de solución de problemas de Windows y Docker</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Situación</w:t>
            </w:r>
          </w:p>
        </w:tc>
        <w:tc>
          <w:tcPr>
            <w:tcW w:type="dxa" w:w="3154"/>
            <w:shd w:fill="E9EEF2"/>
          </w:tcPr>
          <w:p>
            <w:r>
              <w:rPr>
                <w:b/>
                <w:sz w:val="17"/>
              </w:rPr>
              <w:t>Causa que conviene revisar</w:t>
            </w:r>
          </w:p>
        </w:tc>
        <w:tc>
          <w:tcPr>
            <w:tcW w:type="dxa" w:w="3154"/>
            <w:shd w:fill="E9EEF2"/>
          </w:tcPr>
          <w:p>
            <w:r>
              <w:rPr>
                <w:b/>
                <w:sz w:val="17"/>
              </w:rPr>
              <w:t>Acción segura</w:t>
            </w:r>
          </w:p>
        </w:tc>
      </w:tr>
      <w:tr>
        <w:tc>
          <w:tcPr>
            <w:tcW w:type="dxa" w:w="3154"/>
            <w:vAlign w:val="center"/>
          </w:tcPr>
          <w:p>
            <w:pPr>
              <w:spacing w:after="40" w:before="40"/>
            </w:pPr>
            <w:r>
              <w:rPr>
                <w:sz w:val="16"/>
              </w:rPr>
              <w:t>docker no se reconoce</w:t>
            </w:r>
          </w:p>
        </w:tc>
        <w:tc>
          <w:tcPr>
            <w:tcW w:type="dxa" w:w="3154"/>
            <w:vAlign w:val="center"/>
          </w:tcPr>
          <w:p>
            <w:pPr>
              <w:spacing w:after="40" w:before="40"/>
            </w:pPr>
            <w:r>
              <w:rPr>
                <w:sz w:val="16"/>
              </w:rPr>
              <w:t>Instalación o PATH de Docker Desktop</w:t>
            </w:r>
          </w:p>
        </w:tc>
        <w:tc>
          <w:tcPr>
            <w:tcW w:type="dxa" w:w="3154"/>
            <w:vAlign w:val="center"/>
          </w:tcPr>
          <w:p>
            <w:pPr>
              <w:spacing w:after="40" w:before="40"/>
            </w:pPr>
            <w:r>
              <w:rPr>
                <w:sz w:val="16"/>
              </w:rPr>
              <w:t>Abrir terminal nueva y comprobar docker version</w:t>
            </w:r>
          </w:p>
        </w:tc>
      </w:tr>
      <w:tr>
        <w:tc>
          <w:tcPr>
            <w:tcW w:type="dxa" w:w="3154"/>
            <w:vAlign w:val="center"/>
            <w:shd w:fill="F6F8F9"/>
          </w:tcPr>
          <w:p>
            <w:pPr>
              <w:spacing w:after="40" w:before="40"/>
            </w:pPr>
            <w:r>
              <w:rPr>
                <w:sz w:val="16"/>
              </w:rPr>
              <w:t>Cannot connect to Docker daemon</w:t>
            </w:r>
          </w:p>
        </w:tc>
        <w:tc>
          <w:tcPr>
            <w:tcW w:type="dxa" w:w="3154"/>
            <w:vAlign w:val="center"/>
            <w:shd w:fill="F6F8F9"/>
          </w:tcPr>
          <w:p>
            <w:pPr>
              <w:spacing w:after="40" w:before="40"/>
            </w:pPr>
            <w:r>
              <w:rPr>
                <w:sz w:val="16"/>
              </w:rPr>
              <w:t>Motor Linux apagado</w:t>
            </w:r>
          </w:p>
        </w:tc>
        <w:tc>
          <w:tcPr>
            <w:tcW w:type="dxa" w:w="3154"/>
            <w:vAlign w:val="center"/>
            <w:shd w:fill="F6F8F9"/>
          </w:tcPr>
          <w:p>
            <w:pPr>
              <w:spacing w:after="40" w:before="40"/>
            </w:pPr>
            <w:r>
              <w:rPr>
                <w:sz w:val="16"/>
              </w:rPr>
              <w:t>Abrir Docker Desktop y esperar inicio</w:t>
            </w:r>
          </w:p>
        </w:tc>
      </w:tr>
      <w:tr>
        <w:tc>
          <w:tcPr>
            <w:tcW w:type="dxa" w:w="3154"/>
            <w:vAlign w:val="center"/>
          </w:tcPr>
          <w:p>
            <w:pPr>
              <w:spacing w:after="40" w:before="40"/>
            </w:pPr>
            <w:r>
              <w:rPr>
                <w:sz w:val="16"/>
              </w:rPr>
              <w:t>Puerto 8080 ocupado</w:t>
            </w:r>
          </w:p>
        </w:tc>
        <w:tc>
          <w:tcPr>
            <w:tcW w:type="dxa" w:w="3154"/>
            <w:vAlign w:val="center"/>
          </w:tcPr>
          <w:p>
            <w:pPr>
              <w:spacing w:after="40" w:before="40"/>
            </w:pPr>
            <w:r>
              <w:rPr>
                <w:sz w:val="16"/>
              </w:rPr>
              <w:t>Otro proceso o contenedor lo usa</w:t>
            </w:r>
          </w:p>
        </w:tc>
        <w:tc>
          <w:tcPr>
            <w:tcW w:type="dxa" w:w="3154"/>
            <w:vAlign w:val="center"/>
          </w:tcPr>
          <w:p>
            <w:pPr>
              <w:spacing w:after="40" w:before="40"/>
            </w:pPr>
            <w:r>
              <w:rPr>
                <w:sz w:val="16"/>
              </w:rPr>
              <w:t>Identificar proceso antes de cambiar puertos</w:t>
            </w:r>
          </w:p>
        </w:tc>
      </w:tr>
      <w:tr>
        <w:tc>
          <w:tcPr>
            <w:tcW w:type="dxa" w:w="3154"/>
            <w:vAlign w:val="center"/>
            <w:shd w:fill="F6F8F9"/>
          </w:tcPr>
          <w:p>
            <w:pPr>
              <w:spacing w:after="40" w:before="40"/>
            </w:pPr>
            <w:r>
              <w:rPr>
                <w:sz w:val="16"/>
              </w:rPr>
              <w:t>Construcción PHP falla</w:t>
            </w:r>
          </w:p>
        </w:tc>
        <w:tc>
          <w:tcPr>
            <w:tcW w:type="dxa" w:w="3154"/>
            <w:vAlign w:val="center"/>
            <w:shd w:fill="F6F8F9"/>
          </w:tcPr>
          <w:p>
            <w:pPr>
              <w:spacing w:after="40" w:before="40"/>
            </w:pPr>
            <w:r>
              <w:rPr>
                <w:sz w:val="16"/>
              </w:rPr>
              <w:t>Descarga Composer o imagen interrumpida</w:t>
            </w:r>
          </w:p>
        </w:tc>
        <w:tc>
          <w:tcPr>
            <w:tcW w:type="dxa" w:w="3154"/>
            <w:vAlign w:val="center"/>
            <w:shd w:fill="F6F8F9"/>
          </w:tcPr>
          <w:p>
            <w:pPr>
              <w:spacing w:after="40" w:before="40"/>
            </w:pPr>
            <w:r>
              <w:rPr>
                <w:sz w:val="16"/>
              </w:rPr>
              <w:t>Consultar el primer error del build</w:t>
            </w:r>
          </w:p>
        </w:tc>
      </w:tr>
      <w:tr>
        <w:tc>
          <w:tcPr>
            <w:tcW w:type="dxa" w:w="3154"/>
            <w:vAlign w:val="center"/>
          </w:tcPr>
          <w:p>
            <w:pPr>
              <w:spacing w:after="40" w:before="40"/>
            </w:pPr>
            <w:r>
              <w:rPr>
                <w:sz w:val="16"/>
              </w:rPr>
              <w:t>Comandos SH fallan en set -eu</w:t>
            </w:r>
          </w:p>
        </w:tc>
        <w:tc>
          <w:tcPr>
            <w:tcW w:type="dxa" w:w="3154"/>
            <w:vAlign w:val="center"/>
          </w:tcPr>
          <w:p>
            <w:pPr>
              <w:spacing w:after="40" w:before="40"/>
            </w:pPr>
            <w:r>
              <w:rPr>
                <w:sz w:val="16"/>
              </w:rPr>
              <w:t>Archivo CRLF procedente de Windows</w:t>
            </w:r>
          </w:p>
        </w:tc>
        <w:tc>
          <w:tcPr>
            <w:tcW w:type="dxa" w:w="3154"/>
            <w:vAlign w:val="center"/>
          </w:tcPr>
          <w:p>
            <w:pPr>
              <w:spacing w:after="40" w:before="40"/>
            </w:pPr>
            <w:r>
              <w:rPr>
                <w:sz w:val="16"/>
              </w:rPr>
              <w:t>Guardar copia, convertir a UTF-8 LF y probar</w:t>
            </w:r>
          </w:p>
        </w:tc>
      </w:tr>
      <w:tr>
        <w:tc>
          <w:tcPr>
            <w:tcW w:type="dxa" w:w="3154"/>
            <w:vAlign w:val="center"/>
            <w:shd w:fill="F6F8F9"/>
          </w:tcPr>
          <w:p>
            <w:pPr>
              <w:spacing w:after="40" w:before="40"/>
            </w:pPr>
            <w:r>
              <w:rPr>
                <w:sz w:val="16"/>
              </w:rPr>
              <w:t>Salta error SQLSTATE table not found</w:t>
            </w:r>
          </w:p>
        </w:tc>
        <w:tc>
          <w:tcPr>
            <w:tcW w:type="dxa" w:w="3154"/>
            <w:vAlign w:val="center"/>
            <w:shd w:fill="F6F8F9"/>
          </w:tcPr>
          <w:p>
            <w:pPr>
              <w:spacing w:after="40" w:before="40"/>
            </w:pPr>
            <w:r>
              <w:rPr>
                <w:sz w:val="16"/>
              </w:rPr>
              <w:t>Migración del dominio pendiente</w:t>
            </w:r>
          </w:p>
        </w:tc>
        <w:tc>
          <w:tcPr>
            <w:tcW w:type="dxa" w:w="3154"/>
            <w:vAlign w:val="center"/>
            <w:shd w:fill="F6F8F9"/>
          </w:tcPr>
          <w:p>
            <w:pPr>
              <w:spacing w:after="40" w:before="40"/>
            </w:pPr>
            <w:r>
              <w:rPr>
                <w:sz w:val="16"/>
              </w:rPr>
              <w:t>Comprobar migrate:status, aplicar con respaldo</w:t>
            </w:r>
          </w:p>
        </w:tc>
      </w:tr>
      <w:tr>
        <w:tc>
          <w:tcPr>
            <w:tcW w:type="dxa" w:w="3154"/>
            <w:vAlign w:val="center"/>
          </w:tcPr>
          <w:p>
            <w:pPr>
              <w:spacing w:after="40" w:before="40"/>
            </w:pPr>
            <w:r>
              <w:rPr>
                <w:sz w:val="16"/>
              </w:rPr>
              <w:t>Miembros no pueden entrar</w:t>
            </w:r>
          </w:p>
        </w:tc>
        <w:tc>
          <w:tcPr>
            <w:tcW w:type="dxa" w:w="3154"/>
            <w:vAlign w:val="center"/>
          </w:tcPr>
          <w:p>
            <w:pPr>
              <w:spacing w:after="40" w:before="40"/>
            </w:pPr>
            <w:r>
              <w:rPr>
                <w:sz w:val="16"/>
              </w:rPr>
              <w:t>Cuenta, junta, términos o MFA</w:t>
            </w:r>
          </w:p>
        </w:tc>
        <w:tc>
          <w:tcPr>
            <w:tcW w:type="dxa" w:w="3154"/>
            <w:vAlign w:val="center"/>
          </w:tcPr>
          <w:p>
            <w:pPr>
              <w:spacing w:after="40" w:before="40"/>
            </w:pPr>
            <w:r>
              <w:rPr>
                <w:sz w:val="16"/>
              </w:rPr>
              <w:t>Revisar identidad y correo local sin mostrar secretos</w:t>
            </w:r>
          </w:p>
        </w:tc>
      </w:tr>
      <w:tr>
        <w:tc>
          <w:tcPr>
            <w:tcW w:type="dxa" w:w="3154"/>
            <w:vAlign w:val="center"/>
            <w:shd w:fill="F6F8F9"/>
          </w:tcPr>
          <w:p>
            <w:pPr>
              <w:spacing w:after="40" w:before="40"/>
            </w:pPr>
            <w:r>
              <w:rPr>
                <w:sz w:val="16"/>
              </w:rPr>
              <w:t>Contenedores se reinician por memoria</w:t>
            </w:r>
          </w:p>
        </w:tc>
        <w:tc>
          <w:tcPr>
            <w:tcW w:type="dxa" w:w="3154"/>
            <w:vAlign w:val="center"/>
            <w:shd w:fill="F6F8F9"/>
          </w:tcPr>
          <w:p>
            <w:pPr>
              <w:spacing w:after="40" w:before="40"/>
            </w:pPr>
            <w:r>
              <w:rPr>
                <w:sz w:val="16"/>
              </w:rPr>
              <w:t>Límites de Docker o ClamAV</w:t>
            </w:r>
          </w:p>
        </w:tc>
        <w:tc>
          <w:tcPr>
            <w:tcW w:type="dxa" w:w="3154"/>
            <w:vAlign w:val="center"/>
            <w:shd w:fill="F6F8F9"/>
          </w:tcPr>
          <w:p>
            <w:pPr>
              <w:spacing w:after="40" w:before="40"/>
            </w:pPr>
            <w:r>
              <w:rPr>
                <w:sz w:val="16"/>
              </w:rPr>
              <w:t>Medir consumo, no aumentar arbitrariamente todos los servicios</w:t>
            </w:r>
          </w:p>
        </w:tc>
      </w:tr>
      <w:tr>
        <w:tc>
          <w:tcPr>
            <w:tcW w:type="dxa" w:w="3154"/>
            <w:vAlign w:val="center"/>
          </w:tcPr>
          <w:p>
            <w:pPr>
              <w:spacing w:after="40" w:before="40"/>
            </w:pPr>
            <w:r>
              <w:rPr>
                <w:sz w:val="16"/>
              </w:rPr>
              <w:t>Dashboard muestra señal antigua</w:t>
            </w:r>
          </w:p>
        </w:tc>
        <w:tc>
          <w:tcPr>
            <w:tcW w:type="dxa" w:w="3154"/>
            <w:vAlign w:val="center"/>
          </w:tcPr>
          <w:p>
            <w:pPr>
              <w:spacing w:after="40" w:before="40"/>
            </w:pPr>
            <w:r>
              <w:rPr>
                <w:sz w:val="16"/>
              </w:rPr>
              <w:t>Scheduler sin heartbeat o lectura desactualizada</w:t>
            </w:r>
          </w:p>
        </w:tc>
        <w:tc>
          <w:tcPr>
            <w:tcW w:type="dxa" w:w="3154"/>
            <w:vAlign w:val="center"/>
          </w:tcPr>
          <w:p>
            <w:pPr>
              <w:spacing w:after="40" w:before="40"/>
            </w:pPr>
            <w:r>
              <w:rPr>
                <w:sz w:val="16"/>
              </w:rPr>
              <w:t>Comprobar servicio afectado y actualizar panel</w:t>
            </w:r>
          </w:p>
        </w:tc>
      </w:tr>
    </w:tbl>
    <w:p>
      <w:pPr>
        <w:spacing w:after="40"/>
      </w:pPr>
    </w:p>
    <w:p>
      <w:pPr>
        <w:pStyle w:val="Heading2"/>
      </w:pPr>
      <w:r>
        <w:t>23.1 Registro de cambio de equipo</w:t>
      </w:r>
    </w:p>
    <w:p>
      <w:r>
        <w:t>Al trasladar una instancia con datos no basta con copiar la carpeta del código: hay que considerar las bases, el volumen de objetos, las claves de cifrado y las contraseñas existentes. Los scripts de respaldo local permiten comprobar el contenido en una copia aislada; un traslado o restauración productiva debe planearse por separado para evitar pérdida de sesiones, archivos o identidad.</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MI-05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MI-05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