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3505" w:rsidRDefault="00123505" w:rsidP="009013CD">
      <w:pPr>
        <w:adjustRightInd w:val="0"/>
        <w:snapToGrid w:val="0"/>
        <w:rPr>
          <w:rFonts w:ascii="微軟正黑體" w:eastAsia="微軟正黑體" w:hAnsi="微軟正黑體"/>
        </w:rPr>
      </w:pPr>
    </w:p>
    <w:p w:rsidR="00D05FB7" w:rsidRDefault="009013CD" w:rsidP="009013CD">
      <w:pPr>
        <w:adjustRightInd w:val="0"/>
        <w:snapToGrid w:val="0"/>
        <w:rPr>
          <w:rFonts w:ascii="微軟正黑體" w:eastAsia="微軟正黑體" w:hAnsi="微軟正黑體"/>
        </w:rPr>
      </w:pPr>
      <w:r>
        <w:rPr>
          <w:rFonts w:ascii="微軟正黑體" w:eastAsia="微軟正黑體" w:hAnsi="微軟正黑體" w:hint="eastAsia"/>
        </w:rPr>
        <w:t>風險管理的價值體系、功能及組織運作</w:t>
      </w:r>
    </w:p>
    <w:p w:rsidR="009013CD" w:rsidRDefault="009013CD" w:rsidP="009013CD">
      <w:pPr>
        <w:pStyle w:val="a3"/>
        <w:numPr>
          <w:ilvl w:val="0"/>
          <w:numId w:val="1"/>
        </w:numPr>
        <w:adjustRightInd w:val="0"/>
        <w:snapToGrid w:val="0"/>
        <w:ind w:leftChars="0"/>
        <w:rPr>
          <w:rFonts w:ascii="微軟正黑體" w:eastAsia="微軟正黑體" w:hAnsi="微軟正黑體"/>
        </w:rPr>
      </w:pPr>
      <w:r>
        <w:rPr>
          <w:rFonts w:ascii="微軟正黑體" w:eastAsia="微軟正黑體" w:hAnsi="微軟正黑體" w:hint="eastAsia"/>
        </w:rPr>
        <w:t>風險管理是一個管理過程，包含對風險的定義、測量、評估和發展因應風險的策略。</w:t>
      </w:r>
    </w:p>
    <w:p w:rsidR="009013CD" w:rsidRDefault="009013CD" w:rsidP="009013CD">
      <w:pPr>
        <w:pStyle w:val="a3"/>
        <w:numPr>
          <w:ilvl w:val="0"/>
          <w:numId w:val="1"/>
        </w:numPr>
        <w:adjustRightInd w:val="0"/>
        <w:snapToGrid w:val="0"/>
        <w:ind w:leftChars="0"/>
        <w:rPr>
          <w:rFonts w:ascii="微軟正黑體" w:eastAsia="微軟正黑體" w:hAnsi="微軟正黑體"/>
        </w:rPr>
      </w:pPr>
      <w:r>
        <w:rPr>
          <w:rFonts w:ascii="微軟正黑體" w:eastAsia="微軟正黑體" w:hAnsi="微軟正黑體" w:hint="eastAsia"/>
        </w:rPr>
        <w:t>風險管理的目的是將可避免的風險、成本及損失極小化。</w:t>
      </w:r>
    </w:p>
    <w:p w:rsidR="009013CD" w:rsidRDefault="009013CD" w:rsidP="009013CD">
      <w:pPr>
        <w:pStyle w:val="a3"/>
        <w:numPr>
          <w:ilvl w:val="0"/>
          <w:numId w:val="1"/>
        </w:numPr>
        <w:adjustRightInd w:val="0"/>
        <w:snapToGrid w:val="0"/>
        <w:ind w:leftChars="0"/>
        <w:rPr>
          <w:rFonts w:ascii="微軟正黑體" w:eastAsia="微軟正黑體" w:hAnsi="微軟正黑體"/>
        </w:rPr>
      </w:pPr>
      <w:r>
        <w:rPr>
          <w:rFonts w:ascii="微軟正黑體" w:eastAsia="微軟正黑體" w:hAnsi="微軟正黑體" w:hint="eastAsia"/>
        </w:rPr>
        <w:t>如果銀行有效發揮「風險分散效應」，則銀行的總風險小於個別業務的風險相加。</w:t>
      </w:r>
    </w:p>
    <w:p w:rsidR="009013CD" w:rsidRDefault="009013CD" w:rsidP="009013CD">
      <w:pPr>
        <w:pStyle w:val="a3"/>
        <w:numPr>
          <w:ilvl w:val="0"/>
          <w:numId w:val="1"/>
        </w:numPr>
        <w:adjustRightInd w:val="0"/>
        <w:snapToGrid w:val="0"/>
        <w:ind w:leftChars="0"/>
        <w:rPr>
          <w:rFonts w:ascii="微軟正黑體" w:eastAsia="微軟正黑體" w:hAnsi="微軟正黑體"/>
        </w:rPr>
      </w:pPr>
      <w:r>
        <w:rPr>
          <w:rFonts w:ascii="微軟正黑體" w:eastAsia="微軟正黑體" w:hAnsi="微軟正黑體" w:hint="eastAsia"/>
        </w:rPr>
        <w:t>風險管理應合理、客觀地「量化」風險，並兼顧「定性」標準的管理，以提供決策資訊。</w:t>
      </w:r>
    </w:p>
    <w:p w:rsidR="00123505" w:rsidRDefault="00123505" w:rsidP="00123505">
      <w:pPr>
        <w:adjustRightInd w:val="0"/>
        <w:snapToGrid w:val="0"/>
        <w:rPr>
          <w:rFonts w:ascii="微軟正黑體" w:eastAsia="微軟正黑體" w:hAnsi="微軟正黑體"/>
        </w:rPr>
      </w:pPr>
    </w:p>
    <w:p w:rsidR="00123505" w:rsidRDefault="002125D8" w:rsidP="00123505">
      <w:pPr>
        <w:adjustRightInd w:val="0"/>
        <w:snapToGrid w:val="0"/>
        <w:rPr>
          <w:rFonts w:ascii="微軟正黑體" w:eastAsia="微軟正黑體" w:hAnsi="微軟正黑體"/>
        </w:rPr>
      </w:pPr>
      <w:r>
        <w:rPr>
          <w:rFonts w:ascii="微軟正黑體" w:eastAsia="微軟正黑體" w:hAnsi="微軟正黑體" w:hint="eastAsia"/>
        </w:rPr>
        <w:t>責任中心</w:t>
      </w:r>
      <w:r w:rsidR="00425180">
        <w:rPr>
          <w:rFonts w:ascii="微軟正黑體" w:eastAsia="微軟正黑體" w:hAnsi="微軟正黑體" w:hint="eastAsia"/>
        </w:rPr>
        <w:t>制度</w:t>
      </w:r>
      <w:r>
        <w:rPr>
          <w:rFonts w:ascii="微軟正黑體" w:eastAsia="微軟正黑體" w:hAnsi="微軟正黑體" w:hint="eastAsia"/>
        </w:rPr>
        <w:t>、作業成本與轉撥價格</w:t>
      </w:r>
    </w:p>
    <w:p w:rsidR="002125D8"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責任中心(</w:t>
      </w:r>
      <w:r>
        <w:rPr>
          <w:rFonts w:ascii="微軟正黑體" w:eastAsia="微軟正黑體" w:hAnsi="微軟正黑體"/>
        </w:rPr>
        <w:t>Responsibility Center)</w:t>
      </w:r>
      <w:r>
        <w:rPr>
          <w:rFonts w:ascii="微軟正黑體" w:eastAsia="微軟正黑體" w:hAnsi="微軟正黑體" w:hint="eastAsia"/>
        </w:rPr>
        <w:t>是指承擔一定經濟責任，並享有一定權力的企業內部(責任)中心。</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成本中心主管有權參與選擇各項投入資源的標準及來源。</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銀行若是按企業機能別劃分，部門主管較難成立「利潤中心」。</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投資中心宜使用投資報酬率當作績效衡量指標。</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財富管理處處長，每個月領取的薪資費用應歸屬於轄下各部門的間接成本。</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績效管理的良窳，端視管理者對「可控制成本」的掌控能力而定。</w:t>
      </w:r>
    </w:p>
    <w:p w:rsidR="00DB16EE" w:rsidRDefault="00DB16EE"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沉沒</w:t>
      </w:r>
      <w:r w:rsidR="00EF6492">
        <w:rPr>
          <w:rFonts w:ascii="微軟正黑體" w:eastAsia="微軟正黑體" w:hAnsi="微軟正黑體" w:hint="eastAsia"/>
        </w:rPr>
        <w:t>成本指已經付出且不可收回的成本，為不可控制成本。</w:t>
      </w:r>
    </w:p>
    <w:p w:rsidR="00EF6492" w:rsidRDefault="00EF6492"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「作業基礎成本制」(</w:t>
      </w:r>
      <w:r>
        <w:rPr>
          <w:rFonts w:ascii="微軟正黑體" w:eastAsia="微軟正黑體" w:hAnsi="微軟正黑體"/>
        </w:rPr>
        <w:t>Activity-based cast</w:t>
      </w:r>
      <w:r>
        <w:rPr>
          <w:rFonts w:ascii="微軟正黑體" w:eastAsia="微軟正黑體" w:hAnsi="微軟正黑體" w:hint="eastAsia"/>
        </w:rPr>
        <w:t>，ABC)的基本精神，就是把每個產品或服務，拆解成一個個最基本的作業活動，再利用精準的成本追溯及成本分攤方法，計算出合理的成本。</w:t>
      </w:r>
    </w:p>
    <w:p w:rsidR="00EF6492" w:rsidRDefault="00EF6492"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rPr>
        <w:t>ABC</w:t>
      </w:r>
      <w:r>
        <w:rPr>
          <w:rFonts w:ascii="微軟正黑體" w:eastAsia="微軟正黑體" w:hAnsi="微軟正黑體" w:hint="eastAsia"/>
        </w:rPr>
        <w:t>的制度特色之一，在於能夠區分出個別業務及客戶的績效差異。</w:t>
      </w:r>
    </w:p>
    <w:p w:rsidR="00EF6492" w:rsidRDefault="00EF6492"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 xml:space="preserve">經濟轉移價格(Economic </w:t>
      </w:r>
      <w:r>
        <w:rPr>
          <w:rFonts w:ascii="微軟正黑體" w:eastAsia="微軟正黑體" w:hAnsi="微軟正黑體"/>
        </w:rPr>
        <w:t>Transfer Prices)</w:t>
      </w:r>
      <w:r>
        <w:rPr>
          <w:rFonts w:ascii="微軟正黑體" w:eastAsia="微軟正黑體" w:hAnsi="微軟正黑體" w:hint="eastAsia"/>
        </w:rPr>
        <w:t>包含資金來源有關的借款成本，與信用風險有關的備抵呆帳，與流動性風險有關的流動性貼水。</w:t>
      </w:r>
    </w:p>
    <w:p w:rsidR="00EF6492" w:rsidRDefault="00203209"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銀行的營業單位遇到資金不足時，透過聯行取得資金適用的利率，係指「借用利率」。</w:t>
      </w:r>
    </w:p>
    <w:p w:rsidR="00203209" w:rsidRDefault="00203209"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直接材料與人工屬於直接成本。</w:t>
      </w:r>
    </w:p>
    <w:p w:rsidR="00203209" w:rsidRDefault="00203209"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利潤中心制度最好能使用「可控制利益」當作績效衡量指標。</w:t>
      </w:r>
    </w:p>
    <w:p w:rsidR="00203209" w:rsidRDefault="00203209" w:rsidP="00DB16EE">
      <w:pPr>
        <w:pStyle w:val="a3"/>
        <w:numPr>
          <w:ilvl w:val="0"/>
          <w:numId w:val="2"/>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作業基礎成本制度相對傳統成本制度更能清楚浮現各項金融業務的獲利情形。</w:t>
      </w:r>
    </w:p>
    <w:p w:rsidR="00203209" w:rsidRDefault="00203209" w:rsidP="00203209">
      <w:pPr>
        <w:adjustRightInd w:val="0"/>
        <w:snapToGrid w:val="0"/>
        <w:rPr>
          <w:rFonts w:ascii="微軟正黑體" w:eastAsia="微軟正黑體" w:hAnsi="微軟正黑體"/>
        </w:rPr>
      </w:pPr>
    </w:p>
    <w:p w:rsidR="00203209" w:rsidRDefault="00CA6D79" w:rsidP="00203209">
      <w:pPr>
        <w:adjustRightInd w:val="0"/>
        <w:snapToGrid w:val="0"/>
        <w:rPr>
          <w:rFonts w:ascii="微軟正黑體" w:eastAsia="微軟正黑體" w:hAnsi="微軟正黑體"/>
        </w:rPr>
      </w:pPr>
      <w:r>
        <w:rPr>
          <w:rFonts w:ascii="微軟正黑體" w:eastAsia="微軟正黑體" w:hAnsi="微軟正黑體" w:hint="eastAsia"/>
        </w:rPr>
        <w:t>風險類別概述</w:t>
      </w:r>
    </w:p>
    <w:p w:rsidR="007C6370" w:rsidRDefault="007C6370"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利率風險係指當利率變動時，資產價值亦隨之變動的風險，當銀行的資產與負債，呈現到期期別及流動性不同時，可能造成利率風險。</w:t>
      </w:r>
    </w:p>
    <w:p w:rsidR="00683655" w:rsidRDefault="00683655"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重新訂價的缺口又稱資金缺口，敏感性資產減敏感性負債大於0時，稱為「正」資金缺口。敏感性資產減敏感性負債小於0時，稱為「負」資金缺口。</w:t>
      </w:r>
    </w:p>
    <w:p w:rsidR="00683655" w:rsidRDefault="00683655"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銀行利率風險包含:再融資風險、再投資風險、市場價值變化的風險等。</w:t>
      </w:r>
    </w:p>
    <w:p w:rsidR="00683655" w:rsidRDefault="00683655"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再融資風險是指由於金融市場上的金融工具品種，融資方式的變動，導致企業再次融資產生不確定性，或企業本身的籌資結構的不合理導致再融資產生困難。「借短貸長」的資金部位，可能存在再融資風險。</w:t>
      </w:r>
    </w:p>
    <w:p w:rsidR="00683655" w:rsidRDefault="00AF1B4D"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市場利率變動，導致資產負債之經濟價值跟著變動的風險，係稱為「市場價值風險」。</w:t>
      </w:r>
    </w:p>
    <w:p w:rsidR="00AF1B4D" w:rsidRDefault="00AF1B4D"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匯率風險又稱外匯風險或外匯暴露，是指一定時期的國際經濟交易當中以外幣計價的資產(或</w:t>
      </w:r>
      <w:r>
        <w:rPr>
          <w:rFonts w:ascii="微軟正黑體" w:eastAsia="微軟正黑體" w:hAnsi="微軟正黑體" w:hint="eastAsia"/>
        </w:rPr>
        <w:lastRenderedPageBreak/>
        <w:t>債權)與負債(或債務)由於匯率的波動，而引起因價值漲跌的可能性。</w:t>
      </w:r>
    </w:p>
    <w:p w:rsidR="00AF1B4D" w:rsidRDefault="000E61BA"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信用卡之違冒詐欺事件應歸類為作業風險型態。</w:t>
      </w:r>
    </w:p>
    <w:p w:rsidR="000E61BA" w:rsidRDefault="000E61BA"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市場風險的來源有:利率風險，外匯風險，價格風險等。</w:t>
      </w:r>
    </w:p>
    <w:p w:rsidR="000E61BA" w:rsidRDefault="000E61BA" w:rsidP="007C6370">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銀行的存款負債瀰漫著鉅額且異常地提領，可能帶來流動性風險。</w:t>
      </w:r>
    </w:p>
    <w:p w:rsidR="000E61BA" w:rsidRDefault="000E61BA" w:rsidP="000E61BA">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信用風險的產生，主要係因借款人或交易對手的經營體質出現惡化或發生其他不利因素(如企業與往來對象發生糾紛)，導致客戶不依契約內容履行付款義務，而使銀行產生違約損失的風險。</w:t>
      </w:r>
    </w:p>
    <w:p w:rsidR="000E61BA" w:rsidRDefault="000E61BA" w:rsidP="000E61BA">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衡量市場風險時，有關主要部位或個別金融商品的「價格波動」，是指市場因素在特定的時間內上下偏離平均水準，導致部位價值產生變動的程度，在統計學上稱為部分價值的變動率波動之衡量包含</w:t>
      </w:r>
      <w:r w:rsidR="00A9295A">
        <w:rPr>
          <w:rFonts w:ascii="微軟正黑體" w:eastAsia="微軟正黑體" w:hAnsi="微軟正黑體" w:hint="eastAsia"/>
        </w:rPr>
        <w:t>:標準差、變異數、變異係數等。</w:t>
      </w:r>
    </w:p>
    <w:p w:rsidR="00A9295A" w:rsidRDefault="00A9295A" w:rsidP="000E61BA">
      <w:pPr>
        <w:pStyle w:val="a3"/>
        <w:numPr>
          <w:ilvl w:val="0"/>
          <w:numId w:val="3"/>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市場風險的衡量指標有:利率敏感係數、匯率敏感係數、利率波動的敏感係數。</w:t>
      </w:r>
    </w:p>
    <w:p w:rsidR="001E225C" w:rsidRDefault="001E225C" w:rsidP="001E225C">
      <w:pPr>
        <w:adjustRightInd w:val="0"/>
        <w:snapToGrid w:val="0"/>
        <w:rPr>
          <w:rFonts w:ascii="微軟正黑體" w:eastAsia="微軟正黑體" w:hAnsi="微軟正黑體"/>
        </w:rPr>
      </w:pPr>
    </w:p>
    <w:p w:rsidR="001E225C" w:rsidRDefault="001E225C" w:rsidP="001E225C">
      <w:pPr>
        <w:adjustRightInd w:val="0"/>
        <w:snapToGrid w:val="0"/>
        <w:rPr>
          <w:rFonts w:ascii="微軟正黑體" w:eastAsia="微軟正黑體" w:hAnsi="微軟正黑體"/>
        </w:rPr>
      </w:pPr>
      <w:r>
        <w:rPr>
          <w:rFonts w:ascii="微軟正黑體" w:eastAsia="微軟正黑體" w:hAnsi="微軟正黑體" w:hint="eastAsia"/>
        </w:rPr>
        <w:t>企業金融業務與信用評等制度</w:t>
      </w:r>
    </w:p>
    <w:p w:rsidR="001E225C"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銀行的自有資本對風險性資產的比率越高時，其承擔的資本風險將越小。</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企業發行新債務憑證時，儘管金融環境不變，仍被要求比較高的息票利率，意謂該企業的信用等級降低。</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企業跨足陌生產業，不但不能風散經營風險，反而增加經營風險。</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買方業者基於資金調度考量，進口貨物時開發「遠期信用狀」取代「即期信用狀」。</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所謂「應收帳款承購」係企業將出貨所收取之應收帳款債權，轉讓給銀行。透過應收帳款承購，可將信用風險轉嫁給銀行籌單，減少逾期帳款損失，提高公司資金周轉能力。</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銀行與客戶簽訂承諾協議書，對於額度範圍內尚未動用部分，應收取「承諾費用」。</w:t>
      </w:r>
    </w:p>
    <w:p w:rsidR="00067020" w:rsidRDefault="000670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所謂本國銀行以「內保外貸」方式承作陸資企業之運作模式，係指借款企業需提供外資銀行開立的擔保信用狀，以擔保借款人履行合約之義務或責任。</w:t>
      </w:r>
    </w:p>
    <w:p w:rsidR="00067020" w:rsidRDefault="000D7920"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應付</w:t>
      </w:r>
      <w:r w:rsidR="00067020">
        <w:rPr>
          <w:rFonts w:ascii="微軟正黑體" w:eastAsia="微軟正黑體" w:hAnsi="微軟正黑體" w:hint="eastAsia"/>
        </w:rPr>
        <w:t>帳款週轉率越高，說明付款條款越不利</w:t>
      </w:r>
      <w:r w:rsidR="00645EB6">
        <w:rPr>
          <w:rFonts w:ascii="微軟正黑體" w:eastAsia="微軟正黑體" w:hAnsi="微軟正黑體" w:hint="eastAsia"/>
        </w:rPr>
        <w:t>，公司總是逼迫需要盡快付清欠款。</w:t>
      </w:r>
    </w:p>
    <w:p w:rsidR="00645EB6" w:rsidRDefault="00645EB6"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有利的財務槓桿，淨利會增加，淨值報酬率將上升。</w:t>
      </w:r>
    </w:p>
    <w:p w:rsidR="00645EB6" w:rsidRDefault="00645EB6"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企業之存貨周轉率越高，反映其庫存管理能力越好。</w:t>
      </w:r>
    </w:p>
    <w:p w:rsidR="00645EB6" w:rsidRDefault="00645EB6" w:rsidP="00067020">
      <w:pPr>
        <w:pStyle w:val="a3"/>
        <w:numPr>
          <w:ilvl w:val="0"/>
          <w:numId w:val="4"/>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有關授信案件之定價原則，應考慮下列風險貼水因子:</w:t>
      </w:r>
    </w:p>
    <w:p w:rsidR="00645EB6" w:rsidRDefault="008B0951" w:rsidP="00645EB6">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信用等級加減碼</w:t>
      </w:r>
    </w:p>
    <w:p w:rsidR="008B0951" w:rsidRDefault="008B0951" w:rsidP="00645EB6">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借款期別</w:t>
      </w:r>
    </w:p>
    <w:p w:rsidR="008B0951" w:rsidRDefault="008B0951" w:rsidP="00645EB6">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擔保品成數或比例</w:t>
      </w:r>
    </w:p>
    <w:p w:rsidR="008B0951" w:rsidRDefault="008B0951" w:rsidP="00645EB6">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授信展望加減碼</w:t>
      </w:r>
    </w:p>
    <w:p w:rsidR="008B0951" w:rsidRDefault="008B0951" w:rsidP="008B0951">
      <w:pPr>
        <w:pStyle w:val="a3"/>
        <w:numPr>
          <w:ilvl w:val="0"/>
          <w:numId w:val="4"/>
        </w:numPr>
        <w:adjustRightInd w:val="0"/>
        <w:snapToGrid w:val="0"/>
        <w:ind w:leftChars="0"/>
        <w:rPr>
          <w:rFonts w:ascii="微軟正黑體" w:eastAsia="微軟正黑體" w:hAnsi="微軟正黑體"/>
        </w:rPr>
      </w:pPr>
      <w:r>
        <w:rPr>
          <w:rFonts w:ascii="微軟正黑體" w:eastAsia="微軟正黑體" w:hAnsi="微軟正黑體" w:hint="eastAsia"/>
        </w:rPr>
        <w:t>經常性融資分下列三類:</w:t>
      </w:r>
    </w:p>
    <w:p w:rsidR="008B0951" w:rsidRDefault="008B0951" w:rsidP="008B0951">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票據融通</w:t>
      </w:r>
    </w:p>
    <w:p w:rsidR="008B0951" w:rsidRDefault="008B0951" w:rsidP="008B0951">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短期放款</w:t>
      </w:r>
    </w:p>
    <w:p w:rsidR="008B0951" w:rsidRDefault="008B0951" w:rsidP="008B0951">
      <w:pPr>
        <w:pStyle w:val="a3"/>
        <w:numPr>
          <w:ilvl w:val="1"/>
          <w:numId w:val="4"/>
        </w:numPr>
        <w:adjustRightInd w:val="0"/>
        <w:snapToGrid w:val="0"/>
        <w:ind w:leftChars="0"/>
        <w:rPr>
          <w:rFonts w:ascii="微軟正黑體" w:eastAsia="微軟正黑體" w:hAnsi="微軟正黑體"/>
        </w:rPr>
      </w:pPr>
      <w:r>
        <w:rPr>
          <w:rFonts w:ascii="微軟正黑體" w:eastAsia="微軟正黑體" w:hAnsi="微軟正黑體" w:hint="eastAsia"/>
        </w:rPr>
        <w:t>透支</w:t>
      </w:r>
    </w:p>
    <w:p w:rsidR="008B0951" w:rsidRDefault="008B0951" w:rsidP="008B0951">
      <w:pPr>
        <w:pStyle w:val="a3"/>
        <w:numPr>
          <w:ilvl w:val="0"/>
          <w:numId w:val="4"/>
        </w:numPr>
        <w:adjustRightInd w:val="0"/>
        <w:snapToGrid w:val="0"/>
        <w:ind w:leftChars="0"/>
        <w:rPr>
          <w:rFonts w:ascii="微軟正黑體" w:eastAsia="微軟正黑體" w:hAnsi="微軟正黑體"/>
        </w:rPr>
      </w:pPr>
      <w:r>
        <w:rPr>
          <w:rFonts w:ascii="微軟正黑體" w:eastAsia="微軟正黑體" w:hAnsi="微軟正黑體" w:hint="eastAsia"/>
        </w:rPr>
        <w:t>經常性融資之還款來源仰賴營業收入。</w:t>
      </w:r>
    </w:p>
    <w:p w:rsidR="008B0951" w:rsidRDefault="008B0951" w:rsidP="008B0951">
      <w:pPr>
        <w:pStyle w:val="a3"/>
        <w:numPr>
          <w:ilvl w:val="0"/>
          <w:numId w:val="4"/>
        </w:numPr>
        <w:adjustRightInd w:val="0"/>
        <w:snapToGrid w:val="0"/>
        <w:ind w:leftChars="0"/>
        <w:rPr>
          <w:rFonts w:ascii="微軟正黑體" w:eastAsia="微軟正黑體" w:hAnsi="微軟正黑體"/>
        </w:rPr>
      </w:pPr>
      <w:r>
        <w:rPr>
          <w:rFonts w:ascii="微軟正黑體" w:eastAsia="微軟正黑體" w:hAnsi="微軟正黑體" w:hint="eastAsia"/>
        </w:rPr>
        <w:t>銀行發行票券或債券商品，迄今仍流通在外的餘額，係稱「金融負債」。</w:t>
      </w:r>
    </w:p>
    <w:p w:rsidR="00236ED6" w:rsidRDefault="00236ED6" w:rsidP="00236ED6">
      <w:pPr>
        <w:adjustRightInd w:val="0"/>
        <w:snapToGrid w:val="0"/>
        <w:rPr>
          <w:rFonts w:ascii="微軟正黑體" w:eastAsia="微軟正黑體" w:hAnsi="微軟正黑體"/>
        </w:rPr>
      </w:pPr>
    </w:p>
    <w:p w:rsidR="00236ED6" w:rsidRDefault="00236ED6" w:rsidP="00236ED6">
      <w:pPr>
        <w:adjustRightInd w:val="0"/>
        <w:snapToGrid w:val="0"/>
        <w:rPr>
          <w:rFonts w:ascii="微軟正黑體" w:eastAsia="微軟正黑體" w:hAnsi="微軟正黑體"/>
        </w:rPr>
      </w:pPr>
      <w:r>
        <w:rPr>
          <w:rFonts w:ascii="微軟正黑體" w:eastAsia="微軟正黑體" w:hAnsi="微軟正黑體" w:hint="eastAsia"/>
        </w:rPr>
        <w:t>消費金融業務與信用評等制度</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逾期放款，指積欠本金或利息超過清償期三個月，或雖未超過三個月，但已向主、債務人訴追或處分擔保品者。</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金融資產是一種廣義的無形資產，是一種索取實務資產的無形的權利，並能為持有者帶來貨幣收入流量的資產。金融資產包含銀行存款、債券、股票以及衍生金融工具等。</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發卡銀行辦理信用卡業務，主要三種收入來源，包含:利息收入、手續費收入、向特約商店收取折扣費用。</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房屋淨值係指房屋估值減去房屋債務餘額。</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全職學生申請現金卡以2家發卡機構為限。</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建築物投保火險金額以保障建物，投保火險金額以建物之重置成本為宜。</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消費者貸款如係撥入借款人以外之第三者帳戶時，基於保障借款人的權益，應先取得借款人之同意書。</w:t>
      </w:r>
    </w:p>
    <w:p w:rsidR="00236ED6" w:rsidRDefault="00236ED6"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有關影響交易性金融業務之因素有競爭壓力、成本考量、客戶要求多功能及全方位的產品解決方案</w:t>
      </w:r>
      <w:r w:rsidR="00323E71">
        <w:rPr>
          <w:rFonts w:ascii="微軟正黑體" w:eastAsia="微軟正黑體" w:hAnsi="微軟正黑體" w:hint="eastAsia"/>
        </w:rPr>
        <w:t>等。</w:t>
      </w:r>
    </w:p>
    <w:p w:rsidR="00323E71" w:rsidRDefault="00323E71"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購置住宅貸款之借款借款客戶要降低還本付息的壓力時，</w:t>
      </w:r>
      <w:r w:rsidR="007A4294">
        <w:rPr>
          <w:rFonts w:ascii="微軟正黑體" w:eastAsia="微軟正黑體" w:hAnsi="微軟正黑體" w:hint="eastAsia"/>
        </w:rPr>
        <w:t>可以在最初幾年申請「寬限期」，辦理付息不還本。</w:t>
      </w:r>
    </w:p>
    <w:p w:rsidR="007A4294" w:rsidRDefault="007A4294"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消費性放款之信用評分制度，系統量化評分後，可在執行額外人為補助之加減分異動。</w:t>
      </w:r>
    </w:p>
    <w:p w:rsidR="007A4294" w:rsidRDefault="007A4294"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關</w:t>
      </w:r>
      <w:r w:rsidR="00CC3E0D">
        <w:rPr>
          <w:rFonts w:ascii="微軟正黑體" w:eastAsia="微軟正黑體" w:hAnsi="微軟正黑體" w:hint="eastAsia"/>
        </w:rPr>
        <w:t>於房屋貸款之本息平均每月攤還，每月償還總額固定，但越往後本金償還的部分越多，代表前面還的本金越少，則利息的部份越多。</w:t>
      </w:r>
    </w:p>
    <w:p w:rsidR="00CC3E0D" w:rsidRDefault="00CC3E0D" w:rsidP="00236ED6">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借款人投保火險、地震險，為保障債權，保單正本由銀行保留，借款人保留附本。</w:t>
      </w:r>
    </w:p>
    <w:p w:rsidR="00CC3E0D" w:rsidRDefault="00CC3E0D" w:rsidP="00CC3E0D">
      <w:pPr>
        <w:pStyle w:val="a3"/>
        <w:numPr>
          <w:ilvl w:val="0"/>
          <w:numId w:val="5"/>
        </w:numPr>
        <w:adjustRightInd w:val="0"/>
        <w:snapToGrid w:val="0"/>
        <w:ind w:leftChars="0" w:left="426" w:hanging="142"/>
        <w:rPr>
          <w:rFonts w:ascii="微軟正黑體" w:eastAsia="微軟正黑體" w:hAnsi="微軟正黑體"/>
        </w:rPr>
      </w:pPr>
      <w:r>
        <w:rPr>
          <w:rFonts w:ascii="微軟正黑體" w:eastAsia="微軟正黑體" w:hAnsi="微軟正黑體" w:hint="eastAsia"/>
        </w:rPr>
        <w:t>一般而言，購車後至遲一月內提出貸款申請者，可視為購車貸款。</w:t>
      </w:r>
    </w:p>
    <w:p w:rsidR="00CC3E0D" w:rsidRDefault="00CC3E0D" w:rsidP="00CC3E0D">
      <w:pPr>
        <w:adjustRightInd w:val="0"/>
        <w:snapToGrid w:val="0"/>
        <w:rPr>
          <w:rFonts w:ascii="微軟正黑體" w:eastAsia="微軟正黑體" w:hAnsi="微軟正黑體"/>
        </w:rPr>
      </w:pPr>
    </w:p>
    <w:p w:rsidR="00CC3E0D" w:rsidRDefault="00CC3E0D" w:rsidP="00CC3E0D">
      <w:pPr>
        <w:adjustRightInd w:val="0"/>
        <w:snapToGrid w:val="0"/>
        <w:rPr>
          <w:rFonts w:ascii="微軟正黑體" w:eastAsia="微軟正黑體" w:hAnsi="微軟正黑體"/>
        </w:rPr>
      </w:pPr>
      <w:r>
        <w:rPr>
          <w:rFonts w:ascii="微軟正黑體" w:eastAsia="微軟正黑體" w:hAnsi="微軟正黑體" w:hint="eastAsia"/>
        </w:rPr>
        <w:t>信用評等機構的信用評等制度</w:t>
      </w:r>
    </w:p>
    <w:p w:rsidR="00CC3E0D" w:rsidRDefault="00CC3E0D" w:rsidP="00CC3E0D">
      <w:pPr>
        <w:pStyle w:val="a3"/>
        <w:numPr>
          <w:ilvl w:val="0"/>
          <w:numId w:val="6"/>
        </w:numPr>
        <w:adjustRightInd w:val="0"/>
        <w:snapToGrid w:val="0"/>
        <w:ind w:leftChars="0" w:left="567" w:hanging="87"/>
        <w:rPr>
          <w:rFonts w:ascii="微軟正黑體" w:eastAsia="微軟正黑體" w:hAnsi="微軟正黑體"/>
        </w:rPr>
      </w:pPr>
      <w:r>
        <w:rPr>
          <w:rFonts w:ascii="微軟正黑體" w:eastAsia="微軟正黑體" w:hAnsi="微軟正黑體" w:hint="eastAsia"/>
        </w:rPr>
        <w:t>健全的性用評等制度，應具備下列特質:</w:t>
      </w:r>
    </w:p>
    <w:p w:rsidR="00CC3E0D" w:rsidRDefault="00CC3E0D" w:rsidP="00CC3E0D">
      <w:pPr>
        <w:pStyle w:val="a3"/>
        <w:numPr>
          <w:ilvl w:val="1"/>
          <w:numId w:val="6"/>
        </w:numPr>
        <w:adjustRightInd w:val="0"/>
        <w:snapToGrid w:val="0"/>
        <w:ind w:leftChars="0"/>
        <w:rPr>
          <w:rFonts w:ascii="微軟正黑體" w:eastAsia="微軟正黑體" w:hAnsi="微軟正黑體"/>
        </w:rPr>
      </w:pPr>
      <w:r>
        <w:rPr>
          <w:rFonts w:ascii="微軟正黑體" w:eastAsia="微軟正黑體" w:hAnsi="微軟正黑體" w:hint="eastAsia"/>
        </w:rPr>
        <w:t>能降低信用損失。</w:t>
      </w:r>
    </w:p>
    <w:p w:rsidR="00CC3E0D" w:rsidRDefault="00CC3E0D" w:rsidP="00CC3E0D">
      <w:pPr>
        <w:pStyle w:val="a3"/>
        <w:numPr>
          <w:ilvl w:val="1"/>
          <w:numId w:val="6"/>
        </w:numPr>
        <w:adjustRightInd w:val="0"/>
        <w:snapToGrid w:val="0"/>
        <w:ind w:leftChars="0"/>
        <w:rPr>
          <w:rFonts w:ascii="微軟正黑體" w:eastAsia="微軟正黑體" w:hAnsi="微軟正黑體"/>
        </w:rPr>
      </w:pPr>
      <w:r>
        <w:rPr>
          <w:rFonts w:ascii="微軟正黑體" w:eastAsia="微軟正黑體" w:hAnsi="微軟正黑體" w:hint="eastAsia"/>
        </w:rPr>
        <w:t>了解顧客之人口統計特質。</w:t>
      </w:r>
    </w:p>
    <w:p w:rsidR="00CC3E0D" w:rsidRDefault="00CC3E0D" w:rsidP="00CC3E0D">
      <w:pPr>
        <w:pStyle w:val="a3"/>
        <w:numPr>
          <w:ilvl w:val="1"/>
          <w:numId w:val="6"/>
        </w:numPr>
        <w:adjustRightInd w:val="0"/>
        <w:snapToGrid w:val="0"/>
        <w:ind w:leftChars="0"/>
        <w:rPr>
          <w:rFonts w:ascii="微軟正黑體" w:eastAsia="微軟正黑體" w:hAnsi="微軟正黑體"/>
        </w:rPr>
      </w:pPr>
      <w:r>
        <w:rPr>
          <w:rFonts w:ascii="微軟正黑體" w:eastAsia="微軟正黑體" w:hAnsi="微軟正黑體" w:hint="eastAsia"/>
        </w:rPr>
        <w:t>增進處理效率。</w:t>
      </w:r>
    </w:p>
    <w:p w:rsidR="00CC3E0D" w:rsidRDefault="00CC3E0D" w:rsidP="00CC3E0D">
      <w:pPr>
        <w:pStyle w:val="a3"/>
        <w:numPr>
          <w:ilvl w:val="1"/>
          <w:numId w:val="6"/>
        </w:numPr>
        <w:adjustRightInd w:val="0"/>
        <w:snapToGrid w:val="0"/>
        <w:ind w:leftChars="0"/>
        <w:rPr>
          <w:rFonts w:ascii="微軟正黑體" w:eastAsia="微軟正黑體" w:hAnsi="微軟正黑體"/>
        </w:rPr>
      </w:pPr>
      <w:r>
        <w:rPr>
          <w:rFonts w:ascii="微軟正黑體" w:eastAsia="微軟正黑體" w:hAnsi="微軟正黑體" w:hint="eastAsia"/>
        </w:rPr>
        <w:t>可隨時檢視信用評分標準與授信準則是否適當。</w:t>
      </w:r>
    </w:p>
    <w:p w:rsidR="00CC3E0D" w:rsidRDefault="00CC3E0D" w:rsidP="00CC3E0D">
      <w:pPr>
        <w:pStyle w:val="a3"/>
        <w:numPr>
          <w:ilvl w:val="0"/>
          <w:numId w:val="6"/>
        </w:numPr>
        <w:adjustRightInd w:val="0"/>
        <w:snapToGrid w:val="0"/>
        <w:ind w:leftChars="0"/>
        <w:rPr>
          <w:rFonts w:ascii="微軟正黑體" w:eastAsia="微軟正黑體" w:hAnsi="微軟正黑體"/>
        </w:rPr>
      </w:pPr>
      <w:r>
        <w:rPr>
          <w:rFonts w:ascii="微軟正黑體" w:eastAsia="微軟正黑體" w:hAnsi="微軟正黑體" w:hint="eastAsia"/>
        </w:rPr>
        <w:t>台灣本徒弟一家信用評等公司為「中華信用評等公司」。</w:t>
      </w:r>
    </w:p>
    <w:p w:rsidR="00CC3E0D" w:rsidRDefault="00CC3E0D" w:rsidP="00CC3E0D">
      <w:pPr>
        <w:pStyle w:val="a3"/>
        <w:numPr>
          <w:ilvl w:val="0"/>
          <w:numId w:val="6"/>
        </w:numPr>
        <w:adjustRightInd w:val="0"/>
        <w:snapToGrid w:val="0"/>
        <w:ind w:leftChars="0"/>
        <w:rPr>
          <w:rFonts w:ascii="微軟正黑體" w:eastAsia="微軟正黑體" w:hAnsi="微軟正黑體"/>
        </w:rPr>
      </w:pPr>
      <w:r>
        <w:rPr>
          <w:rFonts w:ascii="微軟正黑體" w:eastAsia="微軟正黑體" w:hAnsi="微軟正黑體" w:hint="eastAsia"/>
        </w:rPr>
        <w:t>在定量分析時，公司債等級之決定因素，「利息保障倍數」最為重要。</w:t>
      </w:r>
    </w:p>
    <w:p w:rsidR="00CC3E0D" w:rsidRDefault="00CC3E0D" w:rsidP="00186EC0">
      <w:pPr>
        <w:pStyle w:val="a3"/>
        <w:numPr>
          <w:ilvl w:val="0"/>
          <w:numId w:val="6"/>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標準</w:t>
      </w:r>
      <w:r w:rsidR="00186EC0">
        <w:rPr>
          <w:rFonts w:ascii="微軟正黑體" w:eastAsia="微軟正黑體" w:hAnsi="微軟正黑體" w:hint="eastAsia"/>
        </w:rPr>
        <w:t>普爾公司(S&amp;P)平等的次序，依等級由高志低依序為AAA、AA、A、BBB、BB、B、CCC、CC、C、D，AA至CC各級均可在以「+」、「-」號細分，以顯示主要評級內的相對高低。評等等級在BBB以上(含)為投資等級(</w:t>
      </w:r>
      <w:r w:rsidR="00186EC0">
        <w:rPr>
          <w:rFonts w:ascii="微軟正黑體" w:eastAsia="微軟正黑體" w:hAnsi="微軟正黑體"/>
        </w:rPr>
        <w:t>investment grade</w:t>
      </w:r>
      <w:r w:rsidR="00186EC0">
        <w:rPr>
          <w:rFonts w:ascii="微軟正黑體" w:eastAsia="微軟正黑體" w:hAnsi="微軟正黑體" w:hint="eastAsia"/>
        </w:rPr>
        <w:t>)，以下則為投機等級(如垃圾債券)。</w:t>
      </w:r>
    </w:p>
    <w:p w:rsidR="00186EC0" w:rsidRDefault="00186EC0" w:rsidP="00CC3E0D">
      <w:pPr>
        <w:pStyle w:val="a3"/>
        <w:numPr>
          <w:ilvl w:val="0"/>
          <w:numId w:val="6"/>
        </w:numPr>
        <w:adjustRightInd w:val="0"/>
        <w:snapToGrid w:val="0"/>
        <w:ind w:leftChars="0"/>
        <w:rPr>
          <w:rFonts w:ascii="微軟正黑體" w:eastAsia="微軟正黑體" w:hAnsi="微軟正黑體"/>
        </w:rPr>
      </w:pPr>
      <w:r>
        <w:rPr>
          <w:rFonts w:ascii="微軟正黑體" w:eastAsia="微軟正黑體" w:hAnsi="微軟正黑體" w:hint="eastAsia"/>
        </w:rPr>
        <w:t>穆迪(</w:t>
      </w:r>
      <w:r>
        <w:rPr>
          <w:rFonts w:ascii="微軟正黑體" w:eastAsia="微軟正黑體" w:hAnsi="微軟正黑體"/>
        </w:rPr>
        <w:t>Moody’s)</w:t>
      </w:r>
      <w:r>
        <w:rPr>
          <w:rFonts w:ascii="微軟正黑體" w:eastAsia="微軟正黑體" w:hAnsi="微軟正黑體" w:hint="eastAsia"/>
        </w:rPr>
        <w:t>將短期別債券之信用等級分為P</w:t>
      </w:r>
      <w:r>
        <w:rPr>
          <w:rFonts w:ascii="微軟正黑體" w:eastAsia="微軟正黑體" w:hAnsi="微軟正黑體"/>
        </w:rPr>
        <w:t>rime-1</w:t>
      </w:r>
      <w:r>
        <w:rPr>
          <w:rFonts w:ascii="微軟正黑體" w:eastAsia="微軟正黑體" w:hAnsi="微軟正黑體" w:hint="eastAsia"/>
        </w:rPr>
        <w:t>、Prome-2、</w:t>
      </w:r>
      <w:r>
        <w:rPr>
          <w:rFonts w:ascii="微軟正黑體" w:eastAsia="微軟正黑體" w:hAnsi="微軟正黑體"/>
        </w:rPr>
        <w:t>Prime</w:t>
      </w:r>
      <w:r>
        <w:rPr>
          <w:rFonts w:ascii="微軟正黑體" w:eastAsia="微軟正黑體" w:hAnsi="微軟正黑體" w:hint="eastAsia"/>
        </w:rPr>
        <w:t>-3以及N</w:t>
      </w:r>
      <w:r>
        <w:rPr>
          <w:rFonts w:ascii="微軟正黑體" w:eastAsia="微軟正黑體" w:hAnsi="微軟正黑體"/>
        </w:rPr>
        <w:t>ot-prime</w:t>
      </w:r>
      <w:r>
        <w:rPr>
          <w:rFonts w:ascii="微軟正黑體" w:eastAsia="微軟正黑體" w:hAnsi="微軟正黑體" w:hint="eastAsia"/>
        </w:rPr>
        <w:t>。其中not</w:t>
      </w:r>
      <w:r>
        <w:rPr>
          <w:rFonts w:ascii="微軟正黑體" w:eastAsia="微軟正黑體" w:hAnsi="微軟正黑體"/>
        </w:rPr>
        <w:t>-prime</w:t>
      </w:r>
      <w:r>
        <w:rPr>
          <w:rFonts w:ascii="微軟正黑體" w:eastAsia="微軟正黑體" w:hAnsi="微軟正黑體" w:hint="eastAsia"/>
        </w:rPr>
        <w:t>類似於長期</w:t>
      </w:r>
      <w:r w:rsidR="00645C7F">
        <w:rPr>
          <w:rFonts w:ascii="微軟正黑體" w:eastAsia="微軟正黑體" w:hAnsi="微軟正黑體" w:hint="eastAsia"/>
        </w:rPr>
        <w:t>債券B</w:t>
      </w:r>
      <w:r w:rsidR="00645C7F">
        <w:rPr>
          <w:rFonts w:ascii="微軟正黑體" w:eastAsia="微軟正黑體" w:hAnsi="微軟正黑體"/>
        </w:rPr>
        <w:t>a1</w:t>
      </w:r>
      <w:r w:rsidR="00645C7F">
        <w:rPr>
          <w:rFonts w:ascii="微軟正黑體" w:eastAsia="微軟正黑體" w:hAnsi="微軟正黑體" w:hint="eastAsia"/>
        </w:rPr>
        <w:t>信用等級以下。</w:t>
      </w:r>
    </w:p>
    <w:p w:rsidR="00645C7F" w:rsidRDefault="00645C7F" w:rsidP="00CC3E0D">
      <w:pPr>
        <w:pStyle w:val="a3"/>
        <w:numPr>
          <w:ilvl w:val="0"/>
          <w:numId w:val="6"/>
        </w:numPr>
        <w:adjustRightInd w:val="0"/>
        <w:snapToGrid w:val="0"/>
        <w:ind w:leftChars="0"/>
        <w:rPr>
          <w:rFonts w:ascii="微軟正黑體" w:eastAsia="微軟正黑體" w:hAnsi="微軟正黑體"/>
        </w:rPr>
      </w:pPr>
      <w:r>
        <w:rPr>
          <w:rFonts w:ascii="微軟正黑體" w:eastAsia="微軟正黑體" w:hAnsi="微軟正黑體" w:hint="eastAsia"/>
        </w:rPr>
        <w:lastRenderedPageBreak/>
        <w:t>穆迪(</w:t>
      </w:r>
      <w:r>
        <w:rPr>
          <w:rFonts w:ascii="微軟正黑體" w:eastAsia="微軟正黑體" w:hAnsi="微軟正黑體"/>
        </w:rPr>
        <w:t>Moody’s)</w:t>
      </w:r>
      <w:r>
        <w:rPr>
          <w:rFonts w:ascii="微軟正黑體" w:eastAsia="微軟正黑體" w:hAnsi="微軟正黑體" w:hint="eastAsia"/>
        </w:rPr>
        <w:t>衡量受評公司信用風險之方法架構，係為由上而下涵蓋國家風險、產業風險和企業風險。</w:t>
      </w:r>
    </w:p>
    <w:p w:rsidR="00645C7F" w:rsidRDefault="00645C7F" w:rsidP="00645C7F">
      <w:pPr>
        <w:adjustRightInd w:val="0"/>
        <w:snapToGrid w:val="0"/>
        <w:rPr>
          <w:rFonts w:ascii="微軟正黑體" w:eastAsia="微軟正黑體" w:hAnsi="微軟正黑體"/>
        </w:rPr>
      </w:pPr>
    </w:p>
    <w:p w:rsidR="00645C7F" w:rsidRDefault="006542DC" w:rsidP="00645C7F">
      <w:pPr>
        <w:adjustRightInd w:val="0"/>
        <w:snapToGrid w:val="0"/>
        <w:rPr>
          <w:rFonts w:ascii="微軟正黑體" w:eastAsia="微軟正黑體" w:hAnsi="微軟正黑體"/>
        </w:rPr>
      </w:pPr>
      <w:r>
        <w:rPr>
          <w:rFonts w:ascii="微軟正黑體" w:eastAsia="微軟正黑體" w:hAnsi="微軟正黑體" w:hint="eastAsia"/>
        </w:rPr>
        <w:t>授信對象之風險限額及集中度風險</w:t>
      </w:r>
    </w:p>
    <w:p w:rsidR="006542DC" w:rsidRDefault="00104D68" w:rsidP="006542DC">
      <w:pPr>
        <w:pStyle w:val="a3"/>
        <w:numPr>
          <w:ilvl w:val="0"/>
          <w:numId w:val="7"/>
        </w:numPr>
        <w:adjustRightInd w:val="0"/>
        <w:snapToGrid w:val="0"/>
        <w:ind w:leftChars="0"/>
        <w:rPr>
          <w:rFonts w:ascii="微軟正黑體" w:eastAsia="微軟正黑體" w:hAnsi="微軟正黑體"/>
        </w:rPr>
      </w:pPr>
      <w:r>
        <w:rPr>
          <w:rFonts w:ascii="微軟正黑體" w:eastAsia="微軟正黑體" w:hAnsi="微軟正黑體" w:hint="eastAsia"/>
        </w:rPr>
        <w:t>市場風險值或限額=「損失波動幅度」*「波動倍數」。</w:t>
      </w:r>
    </w:p>
    <w:p w:rsidR="00104D68" w:rsidRDefault="00104D68" w:rsidP="006542DC">
      <w:pPr>
        <w:pStyle w:val="a3"/>
        <w:numPr>
          <w:ilvl w:val="0"/>
          <w:numId w:val="7"/>
        </w:numPr>
        <w:adjustRightInd w:val="0"/>
        <w:snapToGrid w:val="0"/>
        <w:ind w:leftChars="0"/>
        <w:rPr>
          <w:rFonts w:ascii="微軟正黑體" w:eastAsia="微軟正黑體" w:hAnsi="微軟正黑體"/>
        </w:rPr>
      </w:pPr>
      <w:r>
        <w:rPr>
          <w:rFonts w:ascii="微軟正黑體" w:eastAsia="微軟正黑體" w:hAnsi="微軟正黑體" w:hint="eastAsia"/>
        </w:rPr>
        <w:t>為避免承擔過高的信用風險，銀行會以客戶和產業為對象訂定風險限額。</w:t>
      </w:r>
    </w:p>
    <w:p w:rsidR="00104D68" w:rsidRDefault="00104D68" w:rsidP="006542DC">
      <w:pPr>
        <w:pStyle w:val="a3"/>
        <w:numPr>
          <w:ilvl w:val="0"/>
          <w:numId w:val="7"/>
        </w:numPr>
        <w:adjustRightInd w:val="0"/>
        <w:snapToGrid w:val="0"/>
        <w:ind w:leftChars="0"/>
        <w:rPr>
          <w:rFonts w:ascii="微軟正黑體" w:eastAsia="微軟正黑體" w:hAnsi="微軟正黑體"/>
        </w:rPr>
      </w:pPr>
      <w:r>
        <w:rPr>
          <w:rFonts w:ascii="微軟正黑體" w:eastAsia="微軟正黑體" w:hAnsi="微軟正黑體" w:hint="eastAsia"/>
        </w:rPr>
        <w:t>內部評等模型所計算出的風險限額稱為「風險值」。</w:t>
      </w:r>
    </w:p>
    <w:p w:rsidR="00104D68" w:rsidRDefault="00104D68" w:rsidP="006542DC">
      <w:pPr>
        <w:pStyle w:val="a3"/>
        <w:numPr>
          <w:ilvl w:val="0"/>
          <w:numId w:val="7"/>
        </w:numPr>
        <w:adjustRightInd w:val="0"/>
        <w:snapToGrid w:val="0"/>
        <w:ind w:leftChars="0"/>
        <w:rPr>
          <w:rFonts w:ascii="微軟正黑體" w:eastAsia="微軟正黑體" w:hAnsi="微軟正黑體"/>
        </w:rPr>
      </w:pPr>
      <w:r>
        <w:rPr>
          <w:rFonts w:ascii="微軟正黑體" w:eastAsia="微軟正黑體" w:hAnsi="微軟正黑體" w:hint="eastAsia"/>
        </w:rPr>
        <w:t>授信業務對同一關係企業之風險限額，投資總額不得超過投資時銀行淨值之40%，其中投資非金融相關事業之總額不得超過投資時銀行淨值之10%。</w:t>
      </w:r>
    </w:p>
    <w:p w:rsidR="00104D68" w:rsidRDefault="00104D68" w:rsidP="006542DC">
      <w:pPr>
        <w:pStyle w:val="a3"/>
        <w:numPr>
          <w:ilvl w:val="0"/>
          <w:numId w:val="7"/>
        </w:numPr>
        <w:adjustRightInd w:val="0"/>
        <w:snapToGrid w:val="0"/>
        <w:ind w:leftChars="0"/>
        <w:rPr>
          <w:rFonts w:ascii="微軟正黑體" w:eastAsia="微軟正黑體" w:hAnsi="微軟正黑體"/>
        </w:rPr>
      </w:pPr>
      <w:r>
        <w:rPr>
          <w:rFonts w:ascii="微軟正黑體" w:eastAsia="微軟正黑體" w:hAnsi="微軟正黑體" w:hint="eastAsia"/>
        </w:rPr>
        <w:t>主管機關為強化本國銀行對海外及大陸授信風險之控管，銀行授信風險管理部門應定期檢視相關授信限額之適當性，並提報董事會通過。</w:t>
      </w:r>
    </w:p>
    <w:p w:rsidR="008630D8" w:rsidRDefault="008630D8" w:rsidP="008630D8">
      <w:pPr>
        <w:adjustRightInd w:val="0"/>
        <w:snapToGrid w:val="0"/>
        <w:rPr>
          <w:rFonts w:ascii="微軟正黑體" w:eastAsia="微軟正黑體" w:hAnsi="微軟正黑體"/>
        </w:rPr>
      </w:pPr>
    </w:p>
    <w:p w:rsidR="008630D8" w:rsidRDefault="008630D8" w:rsidP="008630D8">
      <w:pPr>
        <w:adjustRightInd w:val="0"/>
        <w:snapToGrid w:val="0"/>
        <w:rPr>
          <w:rFonts w:ascii="微軟正黑體" w:eastAsia="微軟正黑體" w:hAnsi="微軟正黑體"/>
        </w:rPr>
      </w:pPr>
      <w:r>
        <w:rPr>
          <w:rFonts w:ascii="微軟正黑體" w:eastAsia="微軟正黑體" w:hAnsi="微軟正黑體" w:hint="eastAsia"/>
        </w:rPr>
        <w:t>國家風險與國家主權評等</w:t>
      </w:r>
    </w:p>
    <w:p w:rsidR="008630D8" w:rsidRDefault="009A109E" w:rsidP="008630D8">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國家風險指在國際經濟活動中，由於國家的主權行為所引起所造成損失的可能性。國家風險是國家主權行為所引起的或與國家社會變動有關。</w:t>
      </w:r>
    </w:p>
    <w:p w:rsidR="009A109E" w:rsidRDefault="009A109E" w:rsidP="008630D8">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下列因子會影響國家主權評等:</w:t>
      </w:r>
    </w:p>
    <w:p w:rsidR="009A109E" w:rsidRDefault="009A109E" w:rsidP="009A109E">
      <w:pPr>
        <w:pStyle w:val="a3"/>
        <w:numPr>
          <w:ilvl w:val="2"/>
          <w:numId w:val="8"/>
        </w:numPr>
        <w:adjustRightInd w:val="0"/>
        <w:snapToGrid w:val="0"/>
        <w:ind w:leftChars="0"/>
        <w:rPr>
          <w:rFonts w:ascii="微軟正黑體" w:eastAsia="微軟正黑體" w:hAnsi="微軟正黑體"/>
        </w:rPr>
      </w:pPr>
      <w:r>
        <w:rPr>
          <w:rFonts w:ascii="微軟正黑體" w:eastAsia="微軟正黑體" w:hAnsi="微軟正黑體" w:hint="eastAsia"/>
        </w:rPr>
        <w:t>對外淨資產部位規模。</w:t>
      </w:r>
    </w:p>
    <w:p w:rsidR="009A109E" w:rsidRDefault="009A109E" w:rsidP="009A109E">
      <w:pPr>
        <w:pStyle w:val="a3"/>
        <w:numPr>
          <w:ilvl w:val="2"/>
          <w:numId w:val="8"/>
        </w:numPr>
        <w:adjustRightInd w:val="0"/>
        <w:snapToGrid w:val="0"/>
        <w:ind w:leftChars="0"/>
        <w:rPr>
          <w:rFonts w:ascii="微軟正黑體" w:eastAsia="微軟正黑體" w:hAnsi="微軟正黑體"/>
        </w:rPr>
      </w:pPr>
      <w:r>
        <w:rPr>
          <w:rFonts w:ascii="微軟正黑體" w:eastAsia="微軟正黑體" w:hAnsi="微軟正黑體" w:hint="eastAsia"/>
        </w:rPr>
        <w:t>貨幣管理健全性。</w:t>
      </w:r>
    </w:p>
    <w:p w:rsidR="009A109E" w:rsidRDefault="009A109E" w:rsidP="009A109E">
      <w:pPr>
        <w:pStyle w:val="a3"/>
        <w:numPr>
          <w:ilvl w:val="2"/>
          <w:numId w:val="8"/>
        </w:numPr>
        <w:adjustRightInd w:val="0"/>
        <w:snapToGrid w:val="0"/>
        <w:ind w:leftChars="0"/>
        <w:rPr>
          <w:rFonts w:ascii="微軟正黑體" w:eastAsia="微軟正黑體" w:hAnsi="微軟正黑體"/>
        </w:rPr>
      </w:pPr>
      <w:r>
        <w:rPr>
          <w:rFonts w:ascii="微軟正黑體" w:eastAsia="微軟正黑體" w:hAnsi="微軟正黑體" w:hint="eastAsia"/>
        </w:rPr>
        <w:t>政府債務規模。</w:t>
      </w:r>
    </w:p>
    <w:p w:rsidR="009A109E" w:rsidRDefault="009A109E" w:rsidP="009A109E">
      <w:pPr>
        <w:pStyle w:val="a3"/>
        <w:numPr>
          <w:ilvl w:val="2"/>
          <w:numId w:val="8"/>
        </w:numPr>
        <w:adjustRightInd w:val="0"/>
        <w:snapToGrid w:val="0"/>
        <w:ind w:leftChars="0"/>
        <w:rPr>
          <w:rFonts w:ascii="微軟正黑體" w:eastAsia="微軟正黑體" w:hAnsi="微軟正黑體"/>
        </w:rPr>
      </w:pPr>
      <w:r>
        <w:rPr>
          <w:rFonts w:ascii="微軟正黑體" w:eastAsia="微軟正黑體" w:hAnsi="微軟正黑體" w:hint="eastAsia"/>
        </w:rPr>
        <w:t>人口結構改變或不佳的外部衝擊，導致財政赤字加劇。</w:t>
      </w:r>
    </w:p>
    <w:p w:rsidR="009A109E" w:rsidRDefault="009A109E" w:rsidP="009A109E">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企業的信用等級得高於該國主權評等。</w:t>
      </w:r>
    </w:p>
    <w:p w:rsidR="009A109E" w:rsidRDefault="009A109E" w:rsidP="009A109E">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信用違約交換的價格，原則上應每月檢查一次。</w:t>
      </w:r>
    </w:p>
    <w:p w:rsidR="009A109E" w:rsidRDefault="009A109E" w:rsidP="009A109E">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銀行對中國的國家風險總額不得超過上一年度決算後資本額的一倍。</w:t>
      </w:r>
    </w:p>
    <w:p w:rsidR="009A109E" w:rsidRDefault="00481411" w:rsidP="009A109E">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為國家風險統計需要，應以資金主要使用所在地之國別認列國家主權風險。</w:t>
      </w:r>
    </w:p>
    <w:p w:rsidR="00481411" w:rsidRDefault="00481411" w:rsidP="009A109E">
      <w:pPr>
        <w:pStyle w:val="a3"/>
        <w:numPr>
          <w:ilvl w:val="0"/>
          <w:numId w:val="8"/>
        </w:numPr>
        <w:adjustRightInd w:val="0"/>
        <w:snapToGrid w:val="0"/>
        <w:ind w:leftChars="0"/>
        <w:rPr>
          <w:rFonts w:ascii="微軟正黑體" w:eastAsia="微軟正黑體" w:hAnsi="微軟正黑體"/>
        </w:rPr>
      </w:pPr>
      <w:r>
        <w:rPr>
          <w:rFonts w:ascii="微軟正黑體" w:eastAsia="微軟正黑體" w:hAnsi="微軟正黑體" w:hint="eastAsia"/>
        </w:rPr>
        <w:t>「主權上限」係指任何企業之信用等級不得高於該國的主權評等。</w:t>
      </w:r>
    </w:p>
    <w:p w:rsidR="00462424" w:rsidRDefault="00462424" w:rsidP="00462424">
      <w:pPr>
        <w:adjustRightInd w:val="0"/>
        <w:snapToGrid w:val="0"/>
        <w:rPr>
          <w:rFonts w:ascii="微軟正黑體" w:eastAsia="微軟正黑體" w:hAnsi="微軟正黑體"/>
        </w:rPr>
      </w:pPr>
    </w:p>
    <w:p w:rsidR="00462424" w:rsidRDefault="00462424" w:rsidP="00462424">
      <w:pPr>
        <w:adjustRightInd w:val="0"/>
        <w:snapToGrid w:val="0"/>
        <w:rPr>
          <w:rFonts w:ascii="微軟正黑體" w:eastAsia="微軟正黑體" w:hAnsi="微軟正黑體"/>
        </w:rPr>
      </w:pPr>
      <w:r>
        <w:rPr>
          <w:rFonts w:ascii="微軟正黑體" w:eastAsia="微軟正黑體" w:hAnsi="微軟正黑體" w:hint="eastAsia"/>
        </w:rPr>
        <w:t>商業銀行與證券金融公司的資本適足率管理</w:t>
      </w:r>
    </w:p>
    <w:p w:rsidR="00462424" w:rsidRDefault="00D645B7" w:rsidP="009B7ACF">
      <w:pPr>
        <w:pStyle w:val="a3"/>
        <w:numPr>
          <w:ilvl w:val="0"/>
          <w:numId w:val="9"/>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銀行對購買或建造住宅或企業用建築，得辦理中、長期放款，</w:t>
      </w:r>
      <w:r w:rsidR="00CB40CC">
        <w:rPr>
          <w:rFonts w:ascii="微軟正黑體" w:eastAsia="微軟正黑體" w:hAnsi="微軟正黑體" w:hint="eastAsia"/>
        </w:rPr>
        <w:t>其最長期限不得超過30年。</w:t>
      </w:r>
    </w:p>
    <w:p w:rsidR="00CB40CC" w:rsidRDefault="00CB40CC" w:rsidP="009B7ACF">
      <w:pPr>
        <w:pStyle w:val="a3"/>
        <w:numPr>
          <w:ilvl w:val="0"/>
          <w:numId w:val="9"/>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銀行辦理自用住宅貸款及消費性貸款，不得要求借款人提供連帶保證人。銀行辦理</w:t>
      </w:r>
      <w:r w:rsidR="00765C26">
        <w:rPr>
          <w:rFonts w:ascii="微軟正黑體" w:eastAsia="微軟正黑體" w:hAnsi="微軟正黑體" w:hint="eastAsia"/>
        </w:rPr>
        <w:t>自用住宅貸款及消費性貸款，已取得銀行法所定之足額擔保時，不得要求借款人提供保證人。</w:t>
      </w:r>
    </w:p>
    <w:p w:rsidR="00765C26" w:rsidRDefault="00765C26" w:rsidP="009B7ACF">
      <w:pPr>
        <w:pStyle w:val="a3"/>
        <w:numPr>
          <w:ilvl w:val="0"/>
          <w:numId w:val="9"/>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依據主管機關規定，台灣地區對大陸地區之授信、投資及資金拆存總額度，不得超過其上年度決算後淨值之一倍。</w:t>
      </w:r>
    </w:p>
    <w:p w:rsidR="00765C26" w:rsidRDefault="009B7ACF" w:rsidP="009B7ACF">
      <w:pPr>
        <w:pStyle w:val="a3"/>
        <w:numPr>
          <w:ilvl w:val="0"/>
          <w:numId w:val="9"/>
        </w:numPr>
        <w:adjustRightInd w:val="0"/>
        <w:snapToGrid w:val="0"/>
        <w:ind w:leftChars="0" w:left="709" w:hanging="229"/>
        <w:rPr>
          <w:rFonts w:ascii="微軟正黑體" w:eastAsia="微軟正黑體" w:hAnsi="微軟正黑體"/>
        </w:rPr>
      </w:pPr>
      <w:r>
        <w:rPr>
          <w:rFonts w:ascii="微軟正黑體" w:eastAsia="微軟正黑體" w:hAnsi="微軟正黑體" w:hint="eastAsia"/>
        </w:rPr>
        <w:t>銀行對本行負責人、職員或主要股東為擔保授信，應有十足擔保。對同一法人之擔保授信總餘額，不得超過銀行淨值10%。對同一自然人之擔保授信總餘額，不得超過銀行淨值2%。</w:t>
      </w:r>
    </w:p>
    <w:p w:rsidR="009B7ACF" w:rsidRDefault="006535AA" w:rsidP="006535AA">
      <w:pPr>
        <w:pStyle w:val="a3"/>
        <w:numPr>
          <w:ilvl w:val="0"/>
          <w:numId w:val="9"/>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銀行對同一關係企業之授信總餘額不得超過該銀行淨值40%，其中無擔保授信總餘額不得超過該銀行淨值之15%。但對公營事業之授信不予併計。</w:t>
      </w:r>
    </w:p>
    <w:p w:rsidR="006535AA" w:rsidRDefault="001E1C1E" w:rsidP="001E1C1E">
      <w:pPr>
        <w:pStyle w:val="a3"/>
        <w:numPr>
          <w:ilvl w:val="0"/>
          <w:numId w:val="9"/>
        </w:numPr>
        <w:adjustRightInd w:val="0"/>
        <w:snapToGrid w:val="0"/>
        <w:ind w:leftChars="0" w:left="709" w:hanging="283"/>
        <w:rPr>
          <w:rFonts w:ascii="微軟正黑體" w:eastAsia="微軟正黑體" w:hAnsi="微軟正黑體"/>
        </w:rPr>
      </w:pPr>
      <w:r>
        <w:rPr>
          <w:rFonts w:ascii="微軟正黑體" w:eastAsia="微軟正黑體" w:hAnsi="微軟正黑體" w:hint="eastAsia"/>
        </w:rPr>
        <w:t>對同一授信客戶之每筆或累計擔保授信金額達1億元以上或淨值1%者，其條件不得優於其他</w:t>
      </w:r>
      <w:r>
        <w:rPr>
          <w:rFonts w:ascii="微軟正黑體" w:eastAsia="微軟正黑體" w:hAnsi="微軟正黑體" w:hint="eastAsia"/>
        </w:rPr>
        <w:lastRenderedPageBreak/>
        <w:t>同類授信對象。</w:t>
      </w:r>
    </w:p>
    <w:p w:rsidR="001E1C1E" w:rsidRDefault="002138A4"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銀行對同一自然人之授信總餘額，不得超過該銀行淨值之3%，其中無擔保授信總餘額不得超過該銀行淨值1%。</w:t>
      </w:r>
    </w:p>
    <w:p w:rsidR="002138A4" w:rsidRDefault="002138A4"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依據主管機關規定，</w:t>
      </w:r>
      <w:r w:rsidR="006369CC">
        <w:rPr>
          <w:rFonts w:ascii="微軟正黑體" w:eastAsia="微軟正黑體" w:hAnsi="微軟正黑體" w:hint="eastAsia"/>
        </w:rPr>
        <w:t>債務人於全體金融機構之無擔保債務歸戶後之總餘額除以平均月收入，不宜超過22倍。</w:t>
      </w:r>
    </w:p>
    <w:p w:rsidR="006369CC" w:rsidRDefault="006369CC"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自民國108年起，國內銀行的資本適足率不得低於10.50%。</w:t>
      </w:r>
    </w:p>
    <w:p w:rsidR="006369CC" w:rsidRDefault="006369CC"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在中國大陸設立代表人辦事處，則資本適足率須達到10%以上。</w:t>
      </w:r>
    </w:p>
    <w:p w:rsidR="00875AA3" w:rsidRDefault="00875AA3"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槓桿比率:</w:t>
      </w:r>
      <w:r w:rsidR="00F9216B">
        <w:rPr>
          <w:rFonts w:ascii="微軟正黑體" w:eastAsia="微軟正黑體" w:hAnsi="微軟正黑體" w:hint="eastAsia"/>
        </w:rPr>
        <w:t>指第一類資本淨額除以</w:t>
      </w:r>
      <w:r>
        <w:rPr>
          <w:rFonts w:ascii="微軟正黑體" w:eastAsia="微軟正黑體" w:hAnsi="微軟正黑體" w:hint="eastAsia"/>
        </w:rPr>
        <w:t>曝險總額。</w:t>
      </w:r>
    </w:p>
    <w:p w:rsidR="00875AA3" w:rsidRDefault="00875AA3"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銀行發行的「長期次順位債券」，在計算資本適足率時，屬於第二類資本。</w:t>
      </w:r>
    </w:p>
    <w:p w:rsidR="00875AA3" w:rsidRDefault="00875AA3"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風險性資產總額，係指信用風險加權風險性資產總額，加計市場風險及作業風險應計提之資本乘以12.5之合計數。</w:t>
      </w:r>
    </w:p>
    <w:p w:rsidR="00875AA3" w:rsidRDefault="00337790"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「資本適足率」，係以第一類資本淨額及第二類資本淨額之合計數除以風險性資產總額而得。</w:t>
      </w:r>
    </w:p>
    <w:p w:rsidR="00337790" w:rsidRDefault="00337790"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票券金融公司資本適足率低於6%者，主管機關可採行下列措施:</w:t>
      </w:r>
    </w:p>
    <w:p w:rsidR="00337790" w:rsidRDefault="00337790" w:rsidP="00337790">
      <w:pPr>
        <w:pStyle w:val="a3"/>
        <w:numPr>
          <w:ilvl w:val="1"/>
          <w:numId w:val="9"/>
        </w:numPr>
        <w:adjustRightInd w:val="0"/>
        <w:snapToGrid w:val="0"/>
        <w:ind w:leftChars="0"/>
        <w:rPr>
          <w:rFonts w:ascii="微軟正黑體" w:eastAsia="微軟正黑體" w:hAnsi="微軟正黑體"/>
        </w:rPr>
      </w:pPr>
      <w:r>
        <w:rPr>
          <w:rFonts w:ascii="微軟正黑體" w:eastAsia="微軟正黑體" w:hAnsi="微軟正黑體" w:hint="eastAsia"/>
        </w:rPr>
        <w:t>解除負責人職務。</w:t>
      </w:r>
    </w:p>
    <w:p w:rsidR="00337790" w:rsidRDefault="00337790" w:rsidP="00337790">
      <w:pPr>
        <w:pStyle w:val="a3"/>
        <w:numPr>
          <w:ilvl w:val="1"/>
          <w:numId w:val="9"/>
        </w:numPr>
        <w:adjustRightInd w:val="0"/>
        <w:snapToGrid w:val="0"/>
        <w:ind w:leftChars="0"/>
        <w:rPr>
          <w:rFonts w:ascii="微軟正黑體" w:eastAsia="微軟正黑體" w:hAnsi="微軟正黑體"/>
        </w:rPr>
      </w:pPr>
      <w:r>
        <w:rPr>
          <w:rFonts w:ascii="微軟正黑體" w:eastAsia="微軟正黑體" w:hAnsi="微軟正黑體" w:hint="eastAsia"/>
        </w:rPr>
        <w:t>命令取得或處分特定資產，應先經主管機關核准。</w:t>
      </w:r>
    </w:p>
    <w:p w:rsidR="00337790" w:rsidRDefault="00337790" w:rsidP="00337790">
      <w:pPr>
        <w:pStyle w:val="a3"/>
        <w:numPr>
          <w:ilvl w:val="1"/>
          <w:numId w:val="9"/>
        </w:numPr>
        <w:adjustRightInd w:val="0"/>
        <w:snapToGrid w:val="0"/>
        <w:ind w:leftChars="0"/>
        <w:rPr>
          <w:rFonts w:ascii="微軟正黑體" w:eastAsia="微軟正黑體" w:hAnsi="微軟正黑體"/>
        </w:rPr>
      </w:pPr>
      <w:r>
        <w:rPr>
          <w:rFonts w:ascii="微軟正黑體" w:eastAsia="微軟正黑體" w:hAnsi="微軟正黑體" w:hint="eastAsia"/>
        </w:rPr>
        <w:t>命令處分特定資產。</w:t>
      </w:r>
    </w:p>
    <w:p w:rsidR="00337790" w:rsidRDefault="00B4670D" w:rsidP="00337790">
      <w:pPr>
        <w:pStyle w:val="a3"/>
        <w:numPr>
          <w:ilvl w:val="1"/>
          <w:numId w:val="9"/>
        </w:numPr>
        <w:adjustRightInd w:val="0"/>
        <w:snapToGrid w:val="0"/>
        <w:ind w:leftChars="0"/>
        <w:rPr>
          <w:rFonts w:ascii="微軟正黑體" w:eastAsia="微軟正黑體" w:hAnsi="微軟正黑體"/>
        </w:rPr>
      </w:pPr>
      <w:r>
        <w:rPr>
          <w:rFonts w:ascii="微軟正黑體" w:eastAsia="微軟正黑體" w:hAnsi="微軟正黑體" w:hint="eastAsia"/>
        </w:rPr>
        <w:t>命令對負責人之報酬予以降低。</w:t>
      </w:r>
    </w:p>
    <w:p w:rsidR="00337790" w:rsidRDefault="00B4670D" w:rsidP="001E1C1E">
      <w:pPr>
        <w:pStyle w:val="a3"/>
        <w:numPr>
          <w:ilvl w:val="0"/>
          <w:numId w:val="9"/>
        </w:numPr>
        <w:adjustRightInd w:val="0"/>
        <w:snapToGrid w:val="0"/>
        <w:ind w:leftChars="0" w:left="567" w:hanging="141"/>
        <w:rPr>
          <w:rFonts w:ascii="微軟正黑體" w:eastAsia="微軟正黑體" w:hAnsi="微軟正黑體"/>
        </w:rPr>
      </w:pPr>
      <w:r>
        <w:rPr>
          <w:rFonts w:ascii="微軟正黑體" w:eastAsia="微軟正黑體" w:hAnsi="微軟正黑體" w:hint="eastAsia"/>
        </w:rPr>
        <w:t>票券金融公司之資本適足率須至少達到10%以上，才可以辦理外幣債券及股權商品的投資。</w:t>
      </w:r>
    </w:p>
    <w:p w:rsidR="00F21E7D" w:rsidRDefault="00F21E7D" w:rsidP="00F21E7D">
      <w:pPr>
        <w:adjustRightInd w:val="0"/>
        <w:snapToGrid w:val="0"/>
        <w:rPr>
          <w:rFonts w:ascii="微軟正黑體" w:eastAsia="微軟正黑體" w:hAnsi="微軟正黑體"/>
        </w:rPr>
      </w:pPr>
    </w:p>
    <w:p w:rsidR="00F21E7D" w:rsidRDefault="00F21E7D" w:rsidP="00F21E7D">
      <w:pPr>
        <w:adjustRightInd w:val="0"/>
        <w:snapToGrid w:val="0"/>
        <w:rPr>
          <w:rFonts w:ascii="微軟正黑體" w:eastAsia="微軟正黑體" w:hAnsi="微軟正黑體"/>
        </w:rPr>
      </w:pPr>
      <w:r>
        <w:rPr>
          <w:rFonts w:ascii="微軟正黑體" w:eastAsia="微軟正黑體" w:hAnsi="微軟正黑體" w:hint="eastAsia"/>
        </w:rPr>
        <w:t>保險與金融控股公司的資本適足率管理</w:t>
      </w:r>
    </w:p>
    <w:p w:rsidR="00F21E7D" w:rsidRDefault="007766E3" w:rsidP="00F21E7D">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保險業之資本適足率最低法定比率不得低於200%。</w:t>
      </w:r>
    </w:p>
    <w:p w:rsidR="007766E3" w:rsidRDefault="007766E3" w:rsidP="00F21E7D">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保險公司申請從事衍生性金融商品之交易資格，資本適足率至少須達250%以上。</w:t>
      </w:r>
    </w:p>
    <w:p w:rsidR="00EE192E" w:rsidRDefault="00EE192E" w:rsidP="00EE192E">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台灣人身保險的風險項目至少包含下列風險項目:</w:t>
      </w:r>
    </w:p>
    <w:p w:rsidR="00EE192E" w:rsidRDefault="003027CA" w:rsidP="00EE192E">
      <w:pPr>
        <w:pStyle w:val="a3"/>
        <w:numPr>
          <w:ilvl w:val="1"/>
          <w:numId w:val="10"/>
        </w:numPr>
        <w:adjustRightInd w:val="0"/>
        <w:snapToGrid w:val="0"/>
        <w:ind w:leftChars="0"/>
        <w:rPr>
          <w:rFonts w:ascii="微軟正黑體" w:eastAsia="微軟正黑體" w:hAnsi="微軟正黑體"/>
        </w:rPr>
      </w:pPr>
      <w:r>
        <w:rPr>
          <w:rFonts w:ascii="微軟正黑體" w:eastAsia="微軟正黑體" w:hAnsi="微軟正黑體" w:hint="eastAsia"/>
        </w:rPr>
        <w:t>資產風險。</w:t>
      </w:r>
    </w:p>
    <w:p w:rsidR="003027CA" w:rsidRDefault="003027CA" w:rsidP="00EE192E">
      <w:pPr>
        <w:pStyle w:val="a3"/>
        <w:numPr>
          <w:ilvl w:val="1"/>
          <w:numId w:val="10"/>
        </w:numPr>
        <w:adjustRightInd w:val="0"/>
        <w:snapToGrid w:val="0"/>
        <w:ind w:leftChars="0"/>
        <w:rPr>
          <w:rFonts w:ascii="微軟正黑體" w:eastAsia="微軟正黑體" w:hAnsi="微軟正黑體"/>
        </w:rPr>
      </w:pPr>
      <w:r>
        <w:rPr>
          <w:rFonts w:ascii="微軟正黑體" w:eastAsia="微軟正黑體" w:hAnsi="微軟正黑體" w:hint="eastAsia"/>
        </w:rPr>
        <w:t>保險風險。</w:t>
      </w:r>
    </w:p>
    <w:p w:rsidR="003027CA" w:rsidRDefault="003027CA" w:rsidP="00EE192E">
      <w:pPr>
        <w:pStyle w:val="a3"/>
        <w:numPr>
          <w:ilvl w:val="1"/>
          <w:numId w:val="10"/>
        </w:numPr>
        <w:adjustRightInd w:val="0"/>
        <w:snapToGrid w:val="0"/>
        <w:ind w:leftChars="0"/>
        <w:rPr>
          <w:rFonts w:ascii="微軟正黑體" w:eastAsia="微軟正黑體" w:hAnsi="微軟正黑體"/>
        </w:rPr>
      </w:pPr>
      <w:r>
        <w:rPr>
          <w:rFonts w:ascii="微軟正黑體" w:eastAsia="微軟正黑體" w:hAnsi="微軟正黑體" w:hint="eastAsia"/>
        </w:rPr>
        <w:t>利率風險。</w:t>
      </w:r>
    </w:p>
    <w:p w:rsidR="003027CA" w:rsidRDefault="003027CA" w:rsidP="00EE192E">
      <w:pPr>
        <w:pStyle w:val="a3"/>
        <w:numPr>
          <w:ilvl w:val="1"/>
          <w:numId w:val="10"/>
        </w:numPr>
        <w:adjustRightInd w:val="0"/>
        <w:snapToGrid w:val="0"/>
        <w:ind w:leftChars="0"/>
        <w:rPr>
          <w:rFonts w:ascii="微軟正黑體" w:eastAsia="微軟正黑體" w:hAnsi="微軟正黑體"/>
        </w:rPr>
      </w:pPr>
      <w:r>
        <w:rPr>
          <w:rFonts w:ascii="微軟正黑體" w:eastAsia="微軟正黑體" w:hAnsi="微軟正黑體" w:hint="eastAsia"/>
        </w:rPr>
        <w:t>其他風險。</w:t>
      </w:r>
    </w:p>
    <w:p w:rsidR="003027CA" w:rsidRDefault="00AC1F2D" w:rsidP="003027CA">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金融控股公司之資本適足率規範，轄下子公司不可以豁免遵守各業別資本適足率規範。</w:t>
      </w:r>
    </w:p>
    <w:p w:rsidR="00AC1F2D" w:rsidRDefault="00AC1F2D" w:rsidP="003027CA">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金融控股公司之子公司，應符合各業別資本適足率之相關規範，整個集團得資本適足率則不低於100%。</w:t>
      </w:r>
    </w:p>
    <w:p w:rsidR="00AC1F2D" w:rsidRDefault="00AC1F2D" w:rsidP="003027CA">
      <w:pPr>
        <w:pStyle w:val="a3"/>
        <w:numPr>
          <w:ilvl w:val="0"/>
          <w:numId w:val="10"/>
        </w:numPr>
        <w:adjustRightInd w:val="0"/>
        <w:snapToGrid w:val="0"/>
        <w:ind w:leftChars="0"/>
        <w:rPr>
          <w:rFonts w:ascii="微軟正黑體" w:eastAsia="微軟正黑體" w:hAnsi="微軟正黑體"/>
        </w:rPr>
      </w:pPr>
      <w:r>
        <w:rPr>
          <w:rFonts w:ascii="微軟正黑體" w:eastAsia="微軟正黑體" w:hAnsi="微軟正黑體" w:hint="eastAsia"/>
        </w:rPr>
        <w:t>金控公司的「銀行、證券及保險公司」，指持有依銀行、保險公司或證券商已發行有表決權股份總數或資本總額超過百分之二十五，或直接、間接選任或指派依銀行、保險公司或證券商過半數之董事。</w:t>
      </w:r>
    </w:p>
    <w:p w:rsidR="00AC1F2D" w:rsidRDefault="00AC1F2D" w:rsidP="00AC1F2D">
      <w:pPr>
        <w:adjustRightInd w:val="0"/>
        <w:snapToGrid w:val="0"/>
        <w:rPr>
          <w:rFonts w:ascii="微軟正黑體" w:eastAsia="微軟正黑體" w:hAnsi="微軟正黑體"/>
        </w:rPr>
      </w:pPr>
    </w:p>
    <w:p w:rsidR="00AC1F2D" w:rsidRDefault="00C903DE" w:rsidP="00AC1F2D">
      <w:pPr>
        <w:adjustRightInd w:val="0"/>
        <w:snapToGrid w:val="0"/>
        <w:rPr>
          <w:rFonts w:ascii="微軟正黑體" w:eastAsia="微軟正黑體" w:hAnsi="微軟正黑體"/>
        </w:rPr>
      </w:pPr>
      <w:r>
        <w:rPr>
          <w:rFonts w:ascii="微軟正黑體" w:eastAsia="微軟正黑體" w:hAnsi="微軟正黑體" w:hint="eastAsia"/>
        </w:rPr>
        <w:t>商業銀行的風險管理制度</w:t>
      </w:r>
    </w:p>
    <w:p w:rsidR="00C903DE" w:rsidRDefault="004A6B89" w:rsidP="00C903D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銀行的信用評等分成內部評等法與外部評等法兩種。</w:t>
      </w:r>
    </w:p>
    <w:p w:rsidR="004A6B89" w:rsidRDefault="004A6B89"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lastRenderedPageBreak/>
        <w:t>銀行的授信客戶</w:t>
      </w:r>
      <w:r w:rsidR="0036741E">
        <w:rPr>
          <w:rFonts w:ascii="微軟正黑體" w:eastAsia="微軟正黑體" w:hAnsi="微軟正黑體" w:hint="eastAsia"/>
        </w:rPr>
        <w:t>集中在信用等級不佳的企業，常理上使用標準法，計提的資本額</w:t>
      </w:r>
      <w:r w:rsidR="0036741E" w:rsidRPr="0036741E">
        <w:rPr>
          <w:rFonts w:ascii="微軟正黑體" w:eastAsia="微軟正黑體" w:hAnsi="微軟正黑體" w:hint="eastAsia"/>
        </w:rPr>
        <w:t>較少。</w:t>
      </w:r>
    </w:p>
    <w:p w:rsidR="0036741E" w:rsidRDefault="0036741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借款人所動用之資金確為購置自住使用之住宅，且符合本規定之條件，則該已動用部分得適用45%風險權數。</w:t>
      </w:r>
    </w:p>
    <w:p w:rsidR="0036741E" w:rsidRDefault="0036741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銀行的自有資本對風險性資產的比率越高時，代表資本適足率越高，其承擔的資本風險就越小。</w:t>
      </w:r>
    </w:p>
    <w:p w:rsidR="0036741E" w:rsidRDefault="0036741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信用違約交換的代價，原則上應每年檢查一次。</w:t>
      </w:r>
    </w:p>
    <w:p w:rsidR="0036741E" w:rsidRDefault="0036741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資產負債表外業務活動可以分為五項，包含信用狀、擔保、放款承諾責任、租金承諾及衍生性金融商品等。選擇權屬於衍生性金融業務。</w:t>
      </w:r>
    </w:p>
    <w:p w:rsidR="0036741E" w:rsidRDefault="00156A96"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銀行為發會內部評等制度法的管理功能，除了必須建立信用評等制度的機制外，</w:t>
      </w:r>
      <w:r w:rsidR="001322AA">
        <w:rPr>
          <w:rFonts w:ascii="微軟正黑體" w:eastAsia="微軟正黑體" w:hAnsi="微軟正黑體" w:hint="eastAsia"/>
        </w:rPr>
        <w:t>尚須建立之制度有:風險調整後之資本報酬率(RaROC)、風險資本(Capital Risk)、經濟資本(</w:t>
      </w:r>
      <w:r w:rsidR="001322AA">
        <w:rPr>
          <w:rFonts w:ascii="微軟正黑體" w:eastAsia="微軟正黑體" w:hAnsi="微軟正黑體"/>
        </w:rPr>
        <w:t>Economic Capital</w:t>
      </w:r>
      <w:r w:rsidR="001322AA">
        <w:rPr>
          <w:rFonts w:ascii="微軟正黑體" w:eastAsia="微軟正黑體" w:hAnsi="微軟正黑體" w:hint="eastAsia"/>
        </w:rPr>
        <w:t>，EC)等。</w:t>
      </w:r>
    </w:p>
    <w:p w:rsidR="001322AA" w:rsidRDefault="009C555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借款人以購建住宅或房屋裝修為目的，提供本人或配偶或未成年子女所購(所有)之住宅為十足擔保並設定抵押權者，得適用35%風險權數，貸放比率在75%以下之貸款，適用35%的風險權數；貸放比率在75%以上之貸款，適用75%的風險權數。</w:t>
      </w:r>
    </w:p>
    <w:p w:rsidR="009C555E" w:rsidRDefault="009C555E"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內部評等模型所計算出的風險限額稱為「風險值」</w:t>
      </w:r>
      <w:r w:rsidR="00F16A34">
        <w:rPr>
          <w:rFonts w:ascii="微軟正黑體" w:eastAsia="微軟正黑體" w:hAnsi="微軟正黑體" w:hint="eastAsia"/>
        </w:rPr>
        <w:t>。</w:t>
      </w:r>
    </w:p>
    <w:p w:rsidR="00F16A34" w:rsidRDefault="00F16A34"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衡量回收風險之信用損失，假設借款</w:t>
      </w:r>
      <w:r w:rsidR="00442CCD">
        <w:rPr>
          <w:rFonts w:ascii="微軟正黑體" w:eastAsia="微軟正黑體" w:hAnsi="微軟正黑體" w:hint="eastAsia"/>
        </w:rPr>
        <w:t>客戶的信用曝險額及違約損失率已知，只有違約機率是變動且未知時:</w:t>
      </w:r>
    </w:p>
    <w:p w:rsidR="00442CCD" w:rsidRPr="00442CCD" w:rsidRDefault="00442CCD" w:rsidP="00442CCD">
      <w:pPr>
        <w:pStyle w:val="a3"/>
        <w:adjustRightInd w:val="0"/>
        <w:snapToGrid w:val="0"/>
        <w:ind w:leftChars="0" w:left="960"/>
        <w:rPr>
          <w:rFonts w:ascii="微軟正黑體" w:eastAsia="微軟正黑體" w:hAnsi="微軟正黑體"/>
        </w:rPr>
      </w:pPr>
      <w:r>
        <w:rPr>
          <w:rFonts w:ascii="微軟正黑體" w:eastAsia="微軟正黑體" w:hAnsi="微軟正黑體" w:hint="eastAsia"/>
        </w:rPr>
        <w:t>信用損失=信用曝險額*違約機率(1-回收金額)</w:t>
      </w:r>
    </w:p>
    <w:p w:rsidR="00442CCD" w:rsidRDefault="00442CCD"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關於市價評估交易對手風險損失(</w:t>
      </w:r>
      <w:r>
        <w:rPr>
          <w:rFonts w:ascii="微軟正黑體" w:eastAsia="微軟正黑體" w:hAnsi="微軟正黑體"/>
        </w:rPr>
        <w:t>CVA</w:t>
      </w:r>
      <w:r>
        <w:rPr>
          <w:rFonts w:ascii="微軟正黑體" w:eastAsia="微軟正黑體" w:hAnsi="微軟正黑體" w:hint="eastAsia"/>
        </w:rPr>
        <w:t>)，交易對手之外部信用評等越好，則適用權數越低。</w:t>
      </w:r>
    </w:p>
    <w:p w:rsidR="00442CCD" w:rsidRDefault="00442CCD" w:rsidP="0036741E">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金融機構應提存準備金之存款範圍如下:</w:t>
      </w:r>
    </w:p>
    <w:p w:rsidR="00442CCD" w:rsidRDefault="00442CCD" w:rsidP="00442CCD">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支票存款(包含支票存款、領用劃撥支票之郵政劃撥儲金、保付支票、旅行支票)</w:t>
      </w:r>
    </w:p>
    <w:p w:rsidR="00442CCD" w:rsidRDefault="000D7920" w:rsidP="00442CCD">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活期存款(包含活期存款、未領用劃撥支票之郵政劃撥儲金、辦理現金儲值卡業務預收之現金餘額、儲存於電子票證或電子支付帳號之儲值款項)。</w:t>
      </w:r>
    </w:p>
    <w:p w:rsidR="000D7920" w:rsidRDefault="00D7038C" w:rsidP="00442CCD">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儲蓄存款</w:t>
      </w:r>
      <w:r w:rsidR="00D621D6">
        <w:rPr>
          <w:rFonts w:ascii="微軟正黑體" w:eastAsia="微軟正黑體" w:hAnsi="微軟正黑體" w:hint="eastAsia"/>
        </w:rPr>
        <w:t>(包含活期儲蓄存款、行員儲蓄存款、郵政存簿儲金；整存整付儲蓄存款、零存整付儲蓄存款、存本付息儲蓄存款、行員定期儲蓄存款、郵政定期儲金之定期儲蓄存款等)。</w:t>
      </w:r>
    </w:p>
    <w:p w:rsidR="00D621D6" w:rsidRDefault="00D621D6" w:rsidP="00D621D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定期存款(包含定期存款、可轉讓定期存單、郵政定期儲金之定期存款等)。</w:t>
      </w:r>
    </w:p>
    <w:p w:rsidR="00D621D6" w:rsidRDefault="00AE3646" w:rsidP="00D621D6">
      <w:pPr>
        <w:pStyle w:val="a3"/>
        <w:numPr>
          <w:ilvl w:val="0"/>
          <w:numId w:val="11"/>
        </w:numPr>
        <w:adjustRightInd w:val="0"/>
        <w:snapToGrid w:val="0"/>
        <w:ind w:leftChars="0"/>
        <w:rPr>
          <w:rFonts w:ascii="微軟正黑體" w:eastAsia="微軟正黑體" w:hAnsi="微軟正黑體"/>
        </w:rPr>
      </w:pPr>
      <w:r>
        <w:rPr>
          <w:rFonts w:ascii="微軟正黑體" w:eastAsia="微軟正黑體" w:hAnsi="微軟正黑體" w:hint="eastAsia"/>
        </w:rPr>
        <w:t>金融機構之下列存款免提存準備金:</w:t>
      </w:r>
    </w:p>
    <w:p w:rsidR="00AE3646" w:rsidRDefault="00AE3646"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同業存款。但不包含金融機構間存放之定期性存款。</w:t>
      </w:r>
    </w:p>
    <w:p w:rsidR="00AE3646" w:rsidRDefault="00ED33C3"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公庫存款。</w:t>
      </w:r>
    </w:p>
    <w:p w:rsidR="00ED33C3" w:rsidRDefault="00ED33C3"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公教人員退休金、國金退休金及國軍同袍儲蓄會等之優惠存款。</w:t>
      </w:r>
    </w:p>
    <w:p w:rsidR="001D49B3" w:rsidRDefault="001D49B3"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基層金融機構收受之定期性存款，依中央銀行規定條件轉存農業行庫者。</w:t>
      </w:r>
    </w:p>
    <w:p w:rsidR="00ED33C3" w:rsidRDefault="001D49B3"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要保金</w:t>
      </w:r>
      <w:r w:rsidR="005D7378">
        <w:rPr>
          <w:rFonts w:ascii="微軟正黑體" w:eastAsia="微軟正黑體" w:hAnsi="微軟正黑體" w:hint="eastAsia"/>
        </w:rPr>
        <w:t>融機構收受中央存款保險公司依存款保險條例第28條及第29條規定所為之存款。</w:t>
      </w:r>
    </w:p>
    <w:p w:rsidR="005D7378" w:rsidRDefault="005D7378" w:rsidP="00AE3646">
      <w:pPr>
        <w:pStyle w:val="a3"/>
        <w:numPr>
          <w:ilvl w:val="1"/>
          <w:numId w:val="11"/>
        </w:numPr>
        <w:adjustRightInd w:val="0"/>
        <w:snapToGrid w:val="0"/>
        <w:ind w:leftChars="0"/>
        <w:rPr>
          <w:rFonts w:ascii="微軟正黑體" w:eastAsia="微軟正黑體" w:hAnsi="微軟正黑體"/>
        </w:rPr>
      </w:pPr>
      <w:r>
        <w:rPr>
          <w:rFonts w:ascii="微軟正黑體" w:eastAsia="微軟正黑體" w:hAnsi="微軟正黑體" w:hint="eastAsia"/>
        </w:rPr>
        <w:t>其他經本行核定之存款。</w:t>
      </w:r>
    </w:p>
    <w:p w:rsidR="005D7378" w:rsidRDefault="005D7378" w:rsidP="005D7378">
      <w:pPr>
        <w:adjustRightInd w:val="0"/>
        <w:snapToGrid w:val="0"/>
        <w:ind w:left="960"/>
        <w:rPr>
          <w:rFonts w:ascii="微軟正黑體" w:eastAsia="微軟正黑體" w:hAnsi="微軟正黑體"/>
        </w:rPr>
      </w:pPr>
      <w:r>
        <w:rPr>
          <w:rFonts w:ascii="微軟正黑體" w:eastAsia="微軟正黑體" w:hAnsi="微軟正黑體" w:hint="eastAsia"/>
        </w:rPr>
        <w:t>前項第(4)款免提準備金之定期性存款，由收受轉存之農業行庫列入第(1)項存款提列準備金；其處理方式另定之。</w:t>
      </w:r>
    </w:p>
    <w:p w:rsidR="005D7378" w:rsidRDefault="005D7378" w:rsidP="005D7378">
      <w:pPr>
        <w:adjustRightInd w:val="0"/>
        <w:snapToGrid w:val="0"/>
        <w:rPr>
          <w:rFonts w:ascii="微軟正黑體" w:eastAsia="微軟正黑體" w:hAnsi="微軟正黑體"/>
        </w:rPr>
      </w:pPr>
    </w:p>
    <w:p w:rsidR="005D7378" w:rsidRDefault="005D7378" w:rsidP="005D7378">
      <w:pPr>
        <w:adjustRightInd w:val="0"/>
        <w:snapToGrid w:val="0"/>
        <w:rPr>
          <w:rFonts w:ascii="微軟正黑體" w:eastAsia="微軟正黑體" w:hAnsi="微軟正黑體"/>
        </w:rPr>
      </w:pPr>
      <w:r>
        <w:rPr>
          <w:rFonts w:ascii="微軟正黑體" w:eastAsia="微軟正黑體" w:hAnsi="微軟正黑體" w:hint="eastAsia"/>
        </w:rPr>
        <w:t>商業銀行的市場風險管理、作業風險管理及槓桿比率之計算</w:t>
      </w:r>
    </w:p>
    <w:p w:rsidR="005D7378" w:rsidRDefault="00A80D16"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巴賽爾資本適足率:</w:t>
      </w:r>
    </w:p>
    <w:tbl>
      <w:tblPr>
        <w:tblStyle w:val="af"/>
        <w:tblW w:w="0" w:type="auto"/>
        <w:tblInd w:w="709" w:type="dxa"/>
        <w:tblLook w:val="04A0" w:firstRow="1" w:lastRow="0" w:firstColumn="1" w:lastColumn="0" w:noHBand="0" w:noVBand="1"/>
      </w:tblPr>
      <w:tblGrid>
        <w:gridCol w:w="2418"/>
        <w:gridCol w:w="3814"/>
        <w:gridCol w:w="1757"/>
        <w:gridCol w:w="1758"/>
      </w:tblGrid>
      <w:tr w:rsidR="00A80D16" w:rsidTr="00C36391">
        <w:tc>
          <w:tcPr>
            <w:tcW w:w="2418" w:type="dxa"/>
            <w:vAlign w:val="center"/>
          </w:tcPr>
          <w:p w:rsidR="00A80D16" w:rsidRDefault="00A80D16" w:rsidP="00C36391">
            <w:pPr>
              <w:pStyle w:val="a3"/>
              <w:adjustRightInd w:val="0"/>
              <w:snapToGrid w:val="0"/>
              <w:ind w:leftChars="0" w:left="0"/>
              <w:jc w:val="center"/>
              <w:rPr>
                <w:rFonts w:ascii="微軟正黑體" w:eastAsia="微軟正黑體" w:hAnsi="微軟正黑體"/>
              </w:rPr>
            </w:pPr>
            <w:r>
              <w:rPr>
                <w:rFonts w:ascii="微軟正黑體" w:eastAsia="微軟正黑體" w:hAnsi="微軟正黑體" w:hint="eastAsia"/>
              </w:rPr>
              <w:t>比率</w:t>
            </w:r>
          </w:p>
        </w:tc>
        <w:tc>
          <w:tcPr>
            <w:tcW w:w="3814" w:type="dxa"/>
            <w:vAlign w:val="center"/>
          </w:tcPr>
          <w:p w:rsidR="00A80D16" w:rsidRDefault="00A80D16" w:rsidP="00C36391">
            <w:pPr>
              <w:pStyle w:val="a3"/>
              <w:adjustRightInd w:val="0"/>
              <w:snapToGrid w:val="0"/>
              <w:ind w:leftChars="0" w:left="0"/>
              <w:jc w:val="center"/>
              <w:rPr>
                <w:rFonts w:ascii="微軟正黑體" w:eastAsia="微軟正黑體" w:hAnsi="微軟正黑體"/>
              </w:rPr>
            </w:pPr>
            <w:r>
              <w:rPr>
                <w:rFonts w:ascii="微軟正黑體" w:eastAsia="微軟正黑體" w:hAnsi="微軟正黑體" w:hint="eastAsia"/>
              </w:rPr>
              <w:t>計算公式</w:t>
            </w:r>
          </w:p>
        </w:tc>
        <w:tc>
          <w:tcPr>
            <w:tcW w:w="1757" w:type="dxa"/>
            <w:vAlign w:val="center"/>
          </w:tcPr>
          <w:p w:rsidR="00A80D16" w:rsidRDefault="00A80D16" w:rsidP="00C36391">
            <w:pPr>
              <w:pStyle w:val="a3"/>
              <w:adjustRightInd w:val="0"/>
              <w:snapToGrid w:val="0"/>
              <w:ind w:leftChars="0" w:left="0"/>
              <w:jc w:val="center"/>
              <w:rPr>
                <w:rFonts w:ascii="微軟正黑體" w:eastAsia="微軟正黑體" w:hAnsi="微軟正黑體"/>
              </w:rPr>
            </w:pPr>
            <w:r>
              <w:rPr>
                <w:rFonts w:ascii="微軟正黑體" w:eastAsia="微軟正黑體" w:hAnsi="微軟正黑體" w:hint="eastAsia"/>
              </w:rPr>
              <w:t>巴賽爾資本協定(B</w:t>
            </w:r>
            <w:r>
              <w:rPr>
                <w:rFonts w:ascii="微軟正黑體" w:eastAsia="微軟正黑體" w:hAnsi="微軟正黑體"/>
              </w:rPr>
              <w:t xml:space="preserve">asel </w:t>
            </w:r>
            <w:r>
              <w:rPr>
                <w:rFonts w:ascii="微軟正黑體" w:eastAsia="微軟正黑體" w:hAnsi="微軟正黑體" w:hint="eastAsia"/>
              </w:rPr>
              <w:t>II</w:t>
            </w:r>
            <w:r>
              <w:rPr>
                <w:rFonts w:ascii="微軟正黑體" w:eastAsia="微軟正黑體" w:hAnsi="微軟正黑體"/>
              </w:rPr>
              <w:t>)</w:t>
            </w:r>
          </w:p>
        </w:tc>
        <w:tc>
          <w:tcPr>
            <w:tcW w:w="1758" w:type="dxa"/>
            <w:vAlign w:val="center"/>
          </w:tcPr>
          <w:p w:rsidR="00A80D16" w:rsidRDefault="00A80D16" w:rsidP="00C36391">
            <w:pPr>
              <w:pStyle w:val="a3"/>
              <w:adjustRightInd w:val="0"/>
              <w:snapToGrid w:val="0"/>
              <w:ind w:leftChars="0" w:left="0"/>
              <w:jc w:val="center"/>
              <w:rPr>
                <w:rFonts w:ascii="微軟正黑體" w:eastAsia="微軟正黑體" w:hAnsi="微軟正黑體"/>
              </w:rPr>
            </w:pPr>
            <w:r>
              <w:rPr>
                <w:rFonts w:ascii="微軟正黑體" w:eastAsia="微軟正黑體" w:hAnsi="微軟正黑體" w:hint="eastAsia"/>
              </w:rPr>
              <w:t>巴賽爾資本協定(B</w:t>
            </w:r>
            <w:r>
              <w:rPr>
                <w:rFonts w:ascii="微軟正黑體" w:eastAsia="微軟正黑體" w:hAnsi="微軟正黑體"/>
              </w:rPr>
              <w:t xml:space="preserve">asel </w:t>
            </w:r>
            <w:r>
              <w:rPr>
                <w:rFonts w:ascii="微軟正黑體" w:eastAsia="微軟正黑體" w:hAnsi="微軟正黑體" w:hint="eastAsia"/>
              </w:rPr>
              <w:t>II</w:t>
            </w:r>
            <w:r>
              <w:rPr>
                <w:rFonts w:ascii="微軟正黑體" w:eastAsia="微軟正黑體" w:hAnsi="微軟正黑體"/>
              </w:rPr>
              <w:t>I)</w:t>
            </w:r>
          </w:p>
        </w:tc>
      </w:tr>
      <w:tr w:rsidR="00A80D16" w:rsidTr="00F21F02">
        <w:tc>
          <w:tcPr>
            <w:tcW w:w="2418"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資本適足率</w:t>
            </w:r>
          </w:p>
        </w:tc>
        <w:tc>
          <w:tcPr>
            <w:tcW w:w="3814" w:type="dxa"/>
          </w:tcPr>
          <w:p w:rsidR="00A80D16" w:rsidRDefault="00F21F02"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(一級資本+二級資本-扣除項)/風險加權資產</w:t>
            </w:r>
          </w:p>
        </w:tc>
        <w:tc>
          <w:tcPr>
            <w:tcW w:w="1757"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8%</w:t>
            </w:r>
          </w:p>
        </w:tc>
        <w:tc>
          <w:tcPr>
            <w:tcW w:w="1758" w:type="dxa"/>
          </w:tcPr>
          <w:p w:rsidR="00A80D16" w:rsidRPr="00553E9D"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8%</w:t>
            </w:r>
          </w:p>
        </w:tc>
      </w:tr>
      <w:tr w:rsidR="00A80D16" w:rsidTr="00F21F02">
        <w:tc>
          <w:tcPr>
            <w:tcW w:w="2418"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核心資本適足率</w:t>
            </w:r>
          </w:p>
        </w:tc>
        <w:tc>
          <w:tcPr>
            <w:tcW w:w="3814" w:type="dxa"/>
          </w:tcPr>
          <w:p w:rsidR="00A80D16" w:rsidRDefault="00F21F02"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(一級資本-扣除項)/風險加權資產</w:t>
            </w:r>
          </w:p>
        </w:tc>
        <w:tc>
          <w:tcPr>
            <w:tcW w:w="1757"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4%</w:t>
            </w:r>
          </w:p>
        </w:tc>
        <w:tc>
          <w:tcPr>
            <w:tcW w:w="1758"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6%</w:t>
            </w:r>
          </w:p>
        </w:tc>
      </w:tr>
      <w:tr w:rsidR="00A80D16" w:rsidTr="00F21F02">
        <w:tc>
          <w:tcPr>
            <w:tcW w:w="2418"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核心一級資本適足率</w:t>
            </w:r>
          </w:p>
        </w:tc>
        <w:tc>
          <w:tcPr>
            <w:tcW w:w="3814" w:type="dxa"/>
          </w:tcPr>
          <w:p w:rsidR="00A80D16" w:rsidRDefault="00F21F02"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股本/風險加權資產</w:t>
            </w:r>
          </w:p>
        </w:tc>
        <w:tc>
          <w:tcPr>
            <w:tcW w:w="1757"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4%</w:t>
            </w:r>
          </w:p>
        </w:tc>
        <w:tc>
          <w:tcPr>
            <w:tcW w:w="1758" w:type="dxa"/>
          </w:tcPr>
          <w:p w:rsidR="00A80D16" w:rsidRDefault="00553E9D" w:rsidP="00A80D16">
            <w:pPr>
              <w:pStyle w:val="a3"/>
              <w:adjustRightInd w:val="0"/>
              <w:snapToGrid w:val="0"/>
              <w:ind w:leftChars="0" w:left="0"/>
              <w:rPr>
                <w:rFonts w:ascii="微軟正黑體" w:eastAsia="微軟正黑體" w:hAnsi="微軟正黑體"/>
              </w:rPr>
            </w:pPr>
            <w:r>
              <w:rPr>
                <w:rFonts w:ascii="微軟正黑體" w:eastAsia="微軟正黑體" w:hAnsi="微軟正黑體" w:hint="eastAsia"/>
              </w:rPr>
              <w:t>4.5%</w:t>
            </w:r>
          </w:p>
        </w:tc>
      </w:tr>
    </w:tbl>
    <w:p w:rsidR="00A80D16" w:rsidRDefault="00A80D16"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市場風險</w:t>
      </w:r>
      <w:r w:rsidR="00101BFE">
        <w:rPr>
          <w:rFonts w:ascii="微軟正黑體" w:eastAsia="微軟正黑體" w:hAnsi="微軟正黑體" w:hint="eastAsia"/>
        </w:rPr>
        <w:t>的來源有:利率風險、外匯風險、價格風險等。</w:t>
      </w:r>
    </w:p>
    <w:p w:rsidR="00101BFE" w:rsidRDefault="00101BFE"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銀行可用</w:t>
      </w:r>
      <w:r w:rsidR="005A4C8B">
        <w:rPr>
          <w:rFonts w:ascii="微軟正黑體" w:eastAsia="微軟正黑體" w:hAnsi="微軟正黑體" w:hint="eastAsia"/>
        </w:rPr>
        <w:t>穩定資金(ASF)為銀行資金來源項目，越長期且穩定之資金來源係數越高；反之則越低。如資本適用最高係數100%。</w:t>
      </w:r>
    </w:p>
    <w:p w:rsidR="00CD22B0" w:rsidRDefault="00CD22B0"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新巴賽爾資本協定，2004年6月將「作業風險」的「最低資本需求」，納入資本適足率的第一支柱。</w:t>
      </w:r>
    </w:p>
    <w:p w:rsidR="00CD22B0" w:rsidRDefault="00CD22B0"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作業風險係起因於下列不當因素，造成銀行損失之風險:人員、系統、內部作業與外部事件。</w:t>
      </w:r>
    </w:p>
    <w:p w:rsidR="00CD22B0" w:rsidRDefault="00CD22B0" w:rsidP="005D7378">
      <w:pPr>
        <w:pStyle w:val="a3"/>
        <w:numPr>
          <w:ilvl w:val="0"/>
          <w:numId w:val="12"/>
        </w:numPr>
        <w:adjustRightInd w:val="0"/>
        <w:snapToGrid w:val="0"/>
        <w:ind w:leftChars="0" w:left="709" w:hanging="142"/>
        <w:rPr>
          <w:rFonts w:ascii="微軟正黑體" w:eastAsia="微軟正黑體" w:hAnsi="微軟正黑體"/>
        </w:rPr>
      </w:pPr>
      <w:r>
        <w:rPr>
          <w:rFonts w:ascii="微軟正黑體" w:eastAsia="微軟正黑體" w:hAnsi="微軟正黑體" w:hint="eastAsia"/>
        </w:rPr>
        <w:t>作業風險的資本計提方法有:</w:t>
      </w:r>
    </w:p>
    <w:p w:rsidR="00CD22B0" w:rsidRDefault="00CD22B0" w:rsidP="00CD22B0">
      <w:pPr>
        <w:pStyle w:val="a3"/>
        <w:numPr>
          <w:ilvl w:val="1"/>
          <w:numId w:val="12"/>
        </w:numPr>
        <w:adjustRightInd w:val="0"/>
        <w:snapToGrid w:val="0"/>
        <w:ind w:leftChars="0"/>
        <w:rPr>
          <w:rFonts w:ascii="微軟正黑體" w:eastAsia="微軟正黑體" w:hAnsi="微軟正黑體"/>
        </w:rPr>
      </w:pPr>
      <w:r>
        <w:rPr>
          <w:rFonts w:ascii="微軟正黑體" w:eastAsia="微軟正黑體" w:hAnsi="微軟正黑體" w:hint="eastAsia"/>
        </w:rPr>
        <w:t>進階衡量法。</w:t>
      </w:r>
    </w:p>
    <w:p w:rsidR="00CD22B0" w:rsidRDefault="00CD22B0" w:rsidP="00CD22B0">
      <w:pPr>
        <w:pStyle w:val="a3"/>
        <w:numPr>
          <w:ilvl w:val="1"/>
          <w:numId w:val="12"/>
        </w:numPr>
        <w:adjustRightInd w:val="0"/>
        <w:snapToGrid w:val="0"/>
        <w:ind w:leftChars="0"/>
        <w:rPr>
          <w:rFonts w:ascii="微軟正黑體" w:eastAsia="微軟正黑體" w:hAnsi="微軟正黑體"/>
        </w:rPr>
      </w:pPr>
      <w:r>
        <w:rPr>
          <w:rFonts w:ascii="微軟正黑體" w:eastAsia="微軟正黑體" w:hAnsi="微軟正黑體" w:hint="eastAsia"/>
        </w:rPr>
        <w:t>標準法。</w:t>
      </w:r>
    </w:p>
    <w:p w:rsidR="00CD22B0" w:rsidRDefault="00CD22B0" w:rsidP="00CD22B0">
      <w:pPr>
        <w:pStyle w:val="a3"/>
        <w:numPr>
          <w:ilvl w:val="1"/>
          <w:numId w:val="12"/>
        </w:numPr>
        <w:adjustRightInd w:val="0"/>
        <w:snapToGrid w:val="0"/>
        <w:ind w:leftChars="0"/>
        <w:rPr>
          <w:rFonts w:ascii="微軟正黑體" w:eastAsia="微軟正黑體" w:hAnsi="微軟正黑體"/>
        </w:rPr>
      </w:pPr>
      <w:r>
        <w:rPr>
          <w:rFonts w:ascii="微軟正黑體" w:eastAsia="微軟正黑體" w:hAnsi="微軟正黑體" w:hint="eastAsia"/>
        </w:rPr>
        <w:t>基本指標法。</w:t>
      </w:r>
    </w:p>
    <w:p w:rsidR="00CD22B0" w:rsidRDefault="00FE03CC" w:rsidP="00CD22B0">
      <w:pPr>
        <w:pStyle w:val="a3"/>
        <w:numPr>
          <w:ilvl w:val="0"/>
          <w:numId w:val="12"/>
        </w:numPr>
        <w:adjustRightInd w:val="0"/>
        <w:snapToGrid w:val="0"/>
        <w:ind w:leftChars="0"/>
        <w:rPr>
          <w:rFonts w:ascii="微軟正黑體" w:eastAsia="微軟正黑體" w:hAnsi="微軟正黑體"/>
        </w:rPr>
      </w:pPr>
      <w:r>
        <w:rPr>
          <w:rFonts w:ascii="微軟正黑體" w:eastAsia="微軟正黑體" w:hAnsi="微軟正黑體" w:hint="eastAsia"/>
        </w:rPr>
        <w:t>表準法係將銀行之營業毛利分為八大業務別(business line)後，依規定之對應風險係數(</w:t>
      </w:r>
      <w:r>
        <w:rPr>
          <w:rFonts w:ascii="微軟正黑體" w:eastAsia="微軟正黑體" w:hAnsi="微軟正黑體"/>
        </w:rPr>
        <w:t>Beta</w:t>
      </w:r>
      <w:r>
        <w:rPr>
          <w:rFonts w:ascii="微軟正黑體" w:eastAsia="微軟正黑體" w:hAnsi="微軟正黑體" w:hint="eastAsia"/>
        </w:rPr>
        <w:t>係數)，計算各業務之作業風險資本計提額。銀行整體之作業風險額度計提額，則為各業務別作業風險資本計提額之合計值。</w:t>
      </w:r>
    </w:p>
    <w:p w:rsidR="00FE03CC" w:rsidRDefault="00320551" w:rsidP="00CD22B0">
      <w:pPr>
        <w:pStyle w:val="a3"/>
        <w:numPr>
          <w:ilvl w:val="0"/>
          <w:numId w:val="12"/>
        </w:numPr>
        <w:adjustRightInd w:val="0"/>
        <w:snapToGrid w:val="0"/>
        <w:ind w:leftChars="0"/>
        <w:rPr>
          <w:rFonts w:ascii="微軟正黑體" w:eastAsia="微軟正黑體" w:hAnsi="微軟正黑體"/>
        </w:rPr>
      </w:pPr>
      <w:r>
        <w:rPr>
          <w:rFonts w:ascii="微軟正黑體" w:eastAsia="微軟正黑體" w:hAnsi="微軟正黑體" w:hint="eastAsia"/>
        </w:rPr>
        <w:t>衡量市場風險時，有關主要部位或個別金融商品的「價格波動」，是指市場因素在特定時間內，上下偏離平均水準，導致部位價值產生變動的程度。</w:t>
      </w:r>
    </w:p>
    <w:p w:rsidR="00320551" w:rsidRDefault="00320551" w:rsidP="00CD22B0">
      <w:pPr>
        <w:pStyle w:val="a3"/>
        <w:numPr>
          <w:ilvl w:val="0"/>
          <w:numId w:val="12"/>
        </w:numPr>
        <w:adjustRightInd w:val="0"/>
        <w:snapToGrid w:val="0"/>
        <w:ind w:leftChars="0"/>
        <w:rPr>
          <w:rFonts w:ascii="微軟正黑體" w:eastAsia="微軟正黑體" w:hAnsi="微軟正黑體"/>
        </w:rPr>
      </w:pPr>
      <w:r>
        <w:rPr>
          <w:rFonts w:ascii="微軟正黑體" w:eastAsia="微軟正黑體" w:hAnsi="微軟正黑體" w:hint="eastAsia"/>
        </w:rPr>
        <w:t>依據Basel委員會規範，與市場風險有關的「主要部位」包含:外匯部位、權益證券部位、固定收益證券部位等。</w:t>
      </w:r>
    </w:p>
    <w:p w:rsidR="00320551" w:rsidRDefault="00320551" w:rsidP="00CD22B0">
      <w:pPr>
        <w:pStyle w:val="a3"/>
        <w:numPr>
          <w:ilvl w:val="0"/>
          <w:numId w:val="12"/>
        </w:numPr>
        <w:adjustRightInd w:val="0"/>
        <w:snapToGrid w:val="0"/>
        <w:ind w:leftChars="0"/>
        <w:rPr>
          <w:rFonts w:ascii="微軟正黑體" w:eastAsia="微軟正黑體" w:hAnsi="微軟正黑體"/>
        </w:rPr>
      </w:pPr>
      <w:r>
        <w:rPr>
          <w:rFonts w:ascii="微軟正黑體" w:eastAsia="微軟正黑體" w:hAnsi="微軟正黑體" w:hint="eastAsia"/>
        </w:rPr>
        <w:t>國際清算銀行之巴賽爾委員會透過內部評等法開始重視之風險量化指標，包含:違約風險、暴露風險、回收風險等。</w:t>
      </w:r>
    </w:p>
    <w:p w:rsidR="00320551" w:rsidRDefault="00320551" w:rsidP="00CD22B0">
      <w:pPr>
        <w:pStyle w:val="a3"/>
        <w:numPr>
          <w:ilvl w:val="0"/>
          <w:numId w:val="12"/>
        </w:numPr>
        <w:adjustRightInd w:val="0"/>
        <w:snapToGrid w:val="0"/>
        <w:ind w:leftChars="0"/>
        <w:rPr>
          <w:rFonts w:ascii="微軟正黑體" w:eastAsia="微軟正黑體" w:hAnsi="微軟正黑體"/>
        </w:rPr>
      </w:pPr>
      <w:r>
        <w:rPr>
          <w:rFonts w:ascii="微軟正黑體" w:eastAsia="微軟正黑體" w:hAnsi="微軟正黑體" w:hint="eastAsia"/>
        </w:rPr>
        <w:t>銀行的作業</w:t>
      </w:r>
      <w:r w:rsidR="005D7B9D">
        <w:rPr>
          <w:rFonts w:ascii="微軟正黑體" w:eastAsia="微軟正黑體" w:hAnsi="微軟正黑體" w:hint="eastAsia"/>
        </w:rPr>
        <w:t>風險管理</w:t>
      </w:r>
      <w:r w:rsidR="007A3E00">
        <w:rPr>
          <w:rFonts w:ascii="微軟正黑體" w:eastAsia="微軟正黑體" w:hAnsi="微軟正黑體" w:hint="eastAsia"/>
        </w:rPr>
        <w:t>，從監督管理層面觀察有三道防線，第一道防線，包含海內外分子行、總行部級的營業單位；第二道防線，總行業務管理單位、風險控管及法律遵循部門；第三道防線，銀行董事會轄下的稽核處或稽核室。</w:t>
      </w:r>
    </w:p>
    <w:p w:rsidR="002A631F" w:rsidRDefault="002A631F" w:rsidP="002A631F">
      <w:pPr>
        <w:adjustRightInd w:val="0"/>
        <w:snapToGrid w:val="0"/>
        <w:ind w:left="480"/>
        <w:rPr>
          <w:rFonts w:ascii="微軟正黑體" w:eastAsia="微軟正黑體" w:hAnsi="微軟正黑體"/>
        </w:rPr>
      </w:pPr>
    </w:p>
    <w:p w:rsidR="002A631F" w:rsidRDefault="002A631F" w:rsidP="002A631F">
      <w:pPr>
        <w:adjustRightInd w:val="0"/>
        <w:snapToGrid w:val="0"/>
        <w:ind w:left="480"/>
        <w:rPr>
          <w:rFonts w:ascii="微軟正黑體" w:eastAsia="微軟正黑體" w:hAnsi="微軟正黑體"/>
        </w:rPr>
      </w:pPr>
    </w:p>
    <w:p w:rsidR="002A631F" w:rsidRDefault="002A631F" w:rsidP="002A631F">
      <w:pPr>
        <w:adjustRightInd w:val="0"/>
        <w:snapToGrid w:val="0"/>
        <w:ind w:left="480"/>
        <w:rPr>
          <w:rFonts w:ascii="微軟正黑體" w:eastAsia="微軟正黑體" w:hAnsi="微軟正黑體"/>
        </w:rPr>
      </w:pPr>
    </w:p>
    <w:p w:rsidR="002A631F" w:rsidRDefault="002A631F" w:rsidP="002A631F">
      <w:pPr>
        <w:adjustRightInd w:val="0"/>
        <w:snapToGrid w:val="0"/>
        <w:ind w:left="480"/>
        <w:rPr>
          <w:rFonts w:ascii="微軟正黑體" w:eastAsia="微軟正黑體" w:hAnsi="微軟正黑體"/>
        </w:rPr>
      </w:pPr>
    </w:p>
    <w:p w:rsidR="002A631F" w:rsidRDefault="002A631F" w:rsidP="002A631F">
      <w:pPr>
        <w:adjustRightInd w:val="0"/>
        <w:snapToGrid w:val="0"/>
        <w:ind w:left="480"/>
        <w:rPr>
          <w:rFonts w:ascii="微軟正黑體" w:eastAsia="微軟正黑體" w:hAnsi="微軟正黑體" w:hint="eastAsia"/>
        </w:rPr>
      </w:pPr>
    </w:p>
    <w:p w:rsidR="002A631F" w:rsidRDefault="002A631F" w:rsidP="002A631F">
      <w:pPr>
        <w:adjustRightInd w:val="0"/>
        <w:snapToGrid w:val="0"/>
        <w:rPr>
          <w:rFonts w:ascii="微軟正黑體" w:eastAsia="微軟正黑體" w:hAnsi="微軟正黑體"/>
        </w:rPr>
      </w:pPr>
      <w:r>
        <w:rPr>
          <w:rFonts w:ascii="微軟正黑體" w:eastAsia="微軟正黑體" w:hAnsi="微軟正黑體" w:hint="eastAsia"/>
        </w:rPr>
        <w:lastRenderedPageBreak/>
        <w:t>巴賽爾資本協定原則</w:t>
      </w:r>
    </w:p>
    <w:tbl>
      <w:tblPr>
        <w:tblStyle w:val="af"/>
        <w:tblW w:w="0" w:type="auto"/>
        <w:tblLook w:val="04A0" w:firstRow="1" w:lastRow="0" w:firstColumn="1" w:lastColumn="0" w:noHBand="0" w:noVBand="1"/>
      </w:tblPr>
      <w:tblGrid>
        <w:gridCol w:w="2091"/>
        <w:gridCol w:w="2091"/>
        <w:gridCol w:w="1342"/>
        <w:gridCol w:w="3827"/>
        <w:gridCol w:w="1105"/>
      </w:tblGrid>
      <w:tr w:rsidR="00D07989" w:rsidTr="00ED1802">
        <w:tc>
          <w:tcPr>
            <w:tcW w:w="2091" w:type="dxa"/>
            <w:vMerge w:val="restart"/>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支柱一</w:t>
            </w:r>
          </w:p>
        </w:tc>
        <w:tc>
          <w:tcPr>
            <w:tcW w:w="2091" w:type="dxa"/>
            <w:vMerge w:val="restart"/>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最低資本要求:定義適足資本及其對銀行風險性資產最低比率的原則。</w:t>
            </w:r>
          </w:p>
        </w:tc>
        <w:tc>
          <w:tcPr>
            <w:tcW w:w="1342" w:type="dxa"/>
            <w:vMerge w:val="restart"/>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信用風險</w:t>
            </w: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標準法(</w:t>
            </w:r>
            <w:r>
              <w:rPr>
                <w:rFonts w:ascii="微軟正黑體" w:eastAsia="微軟正黑體" w:hAnsi="微軟正黑體"/>
              </w:rPr>
              <w:t>SA)</w:t>
            </w:r>
          </w:p>
        </w:tc>
        <w:tc>
          <w:tcPr>
            <w:tcW w:w="1105" w:type="dxa"/>
            <w:vMerge w:val="restart"/>
            <w:vAlign w:val="center"/>
          </w:tcPr>
          <w:p w:rsidR="00D07989" w:rsidRDefault="00ED1802" w:rsidP="00ED1802">
            <w:pPr>
              <w:adjustRightInd w:val="0"/>
              <w:snapToGrid w:val="0"/>
              <w:rPr>
                <w:rFonts w:ascii="微軟正黑體" w:eastAsia="微軟正黑體" w:hAnsi="微軟正黑體" w:hint="eastAsia"/>
              </w:rPr>
            </w:pPr>
            <w:r>
              <w:rPr>
                <w:rFonts w:ascii="微軟正黑體" w:eastAsia="微軟正黑體" w:hAnsi="微軟正黑體" w:hint="eastAsia"/>
              </w:rPr>
              <w:t>資產證券化風險沖抵</w:t>
            </w:r>
          </w:p>
        </w:tc>
      </w:tr>
      <w:tr w:rsidR="00D07989" w:rsidTr="00ED1802">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基礎內部評等法(FIRB)</w:t>
            </w:r>
          </w:p>
        </w:tc>
        <w:tc>
          <w:tcPr>
            <w:tcW w:w="1105" w:type="dxa"/>
            <w:vMerge/>
            <w:vAlign w:val="center"/>
          </w:tcPr>
          <w:p w:rsidR="00D07989" w:rsidRDefault="00D07989" w:rsidP="00ED1802">
            <w:pPr>
              <w:adjustRightInd w:val="0"/>
              <w:snapToGrid w:val="0"/>
              <w:jc w:val="center"/>
              <w:rPr>
                <w:rFonts w:ascii="微軟正黑體" w:eastAsia="微軟正黑體" w:hAnsi="微軟正黑體" w:hint="eastAsia"/>
              </w:rPr>
            </w:pPr>
          </w:p>
        </w:tc>
      </w:tr>
      <w:tr w:rsidR="00D07989" w:rsidTr="00ED1802">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進階內部評等法(AIRB)</w:t>
            </w:r>
          </w:p>
        </w:tc>
        <w:tc>
          <w:tcPr>
            <w:tcW w:w="1105" w:type="dxa"/>
            <w:vMerge/>
            <w:vAlign w:val="center"/>
          </w:tcPr>
          <w:p w:rsidR="00D07989" w:rsidRDefault="00D07989" w:rsidP="00ED1802">
            <w:pPr>
              <w:adjustRightInd w:val="0"/>
              <w:snapToGrid w:val="0"/>
              <w:jc w:val="center"/>
              <w:rPr>
                <w:rFonts w:ascii="微軟正黑體" w:eastAsia="微軟正黑體" w:hAnsi="微軟正黑體" w:hint="eastAsia"/>
              </w:rPr>
            </w:pPr>
          </w:p>
        </w:tc>
      </w:tr>
      <w:tr w:rsidR="00D07989" w:rsidTr="00ED1802">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restart"/>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市場風險</w:t>
            </w: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標準法(SA)</w:t>
            </w:r>
          </w:p>
        </w:tc>
        <w:tc>
          <w:tcPr>
            <w:tcW w:w="1105" w:type="dxa"/>
            <w:vMerge w:val="restart"/>
            <w:vAlign w:val="center"/>
          </w:tcPr>
          <w:p w:rsidR="00D07989" w:rsidRDefault="00ED1802" w:rsidP="00ED1802">
            <w:pPr>
              <w:adjustRightInd w:val="0"/>
              <w:snapToGrid w:val="0"/>
              <w:jc w:val="center"/>
              <w:rPr>
                <w:rFonts w:ascii="微軟正黑體" w:eastAsia="微軟正黑體" w:hAnsi="微軟正黑體" w:hint="eastAsia"/>
              </w:rPr>
            </w:pPr>
            <w:r>
              <w:rPr>
                <w:rFonts w:ascii="微軟正黑體" w:eastAsia="微軟正黑體" w:hAnsi="微軟正黑體" w:hint="eastAsia"/>
              </w:rPr>
              <w:t>風險沖抵</w:t>
            </w:r>
          </w:p>
        </w:tc>
      </w:tr>
      <w:tr w:rsidR="00D07989" w:rsidTr="00D07989">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內部模型法(IMA)</w:t>
            </w:r>
          </w:p>
        </w:tc>
        <w:tc>
          <w:tcPr>
            <w:tcW w:w="1105" w:type="dxa"/>
            <w:vMerge/>
          </w:tcPr>
          <w:p w:rsidR="00D07989" w:rsidRDefault="00D07989" w:rsidP="002A631F">
            <w:pPr>
              <w:adjustRightInd w:val="0"/>
              <w:snapToGrid w:val="0"/>
              <w:rPr>
                <w:rFonts w:ascii="微軟正黑體" w:eastAsia="微軟正黑體" w:hAnsi="微軟正黑體" w:hint="eastAsia"/>
              </w:rPr>
            </w:pPr>
          </w:p>
        </w:tc>
      </w:tr>
      <w:tr w:rsidR="00D07989" w:rsidTr="00D07989">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restart"/>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作業風險</w:t>
            </w: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基礎指標法(BIA)</w:t>
            </w:r>
          </w:p>
        </w:tc>
        <w:tc>
          <w:tcPr>
            <w:tcW w:w="1105" w:type="dxa"/>
            <w:vMerge/>
          </w:tcPr>
          <w:p w:rsidR="00D07989" w:rsidRDefault="00D07989" w:rsidP="002A631F">
            <w:pPr>
              <w:adjustRightInd w:val="0"/>
              <w:snapToGrid w:val="0"/>
              <w:rPr>
                <w:rFonts w:ascii="微軟正黑體" w:eastAsia="微軟正黑體" w:hAnsi="微軟正黑體" w:hint="eastAsia"/>
              </w:rPr>
            </w:pPr>
          </w:p>
        </w:tc>
      </w:tr>
      <w:tr w:rsidR="00D07989" w:rsidTr="00D07989">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標準法(SA)或選擇性標準法(ASA)</w:t>
            </w:r>
          </w:p>
        </w:tc>
        <w:tc>
          <w:tcPr>
            <w:tcW w:w="1105" w:type="dxa"/>
            <w:vMerge/>
          </w:tcPr>
          <w:p w:rsidR="00D07989" w:rsidRDefault="00D07989" w:rsidP="002A631F">
            <w:pPr>
              <w:adjustRightInd w:val="0"/>
              <w:snapToGrid w:val="0"/>
              <w:rPr>
                <w:rFonts w:ascii="微軟正黑體" w:eastAsia="微軟正黑體" w:hAnsi="微軟正黑體" w:hint="eastAsia"/>
              </w:rPr>
            </w:pPr>
          </w:p>
        </w:tc>
      </w:tr>
      <w:tr w:rsidR="00D07989" w:rsidTr="00D07989">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2091"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1342" w:type="dxa"/>
            <w:vMerge/>
            <w:vAlign w:val="center"/>
          </w:tcPr>
          <w:p w:rsidR="00D07989" w:rsidRDefault="00D07989" w:rsidP="002A631F">
            <w:pPr>
              <w:adjustRightInd w:val="0"/>
              <w:snapToGrid w:val="0"/>
              <w:jc w:val="center"/>
              <w:rPr>
                <w:rFonts w:ascii="微軟正黑體" w:eastAsia="微軟正黑體" w:hAnsi="微軟正黑體" w:hint="eastAsia"/>
              </w:rPr>
            </w:pPr>
          </w:p>
        </w:tc>
        <w:tc>
          <w:tcPr>
            <w:tcW w:w="3827" w:type="dxa"/>
            <w:vAlign w:val="center"/>
          </w:tcPr>
          <w:p w:rsidR="00D07989" w:rsidRDefault="00D07989"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進階衡量法(AMA)</w:t>
            </w:r>
          </w:p>
        </w:tc>
        <w:tc>
          <w:tcPr>
            <w:tcW w:w="1105" w:type="dxa"/>
            <w:vMerge/>
          </w:tcPr>
          <w:p w:rsidR="00D07989" w:rsidRDefault="00D07989" w:rsidP="002A631F">
            <w:pPr>
              <w:adjustRightInd w:val="0"/>
              <w:snapToGrid w:val="0"/>
              <w:rPr>
                <w:rFonts w:ascii="微軟正黑體" w:eastAsia="微軟正黑體" w:hAnsi="微軟正黑體" w:hint="eastAsia"/>
              </w:rPr>
            </w:pPr>
          </w:p>
        </w:tc>
      </w:tr>
      <w:tr w:rsidR="002A631F" w:rsidTr="002A631F">
        <w:tc>
          <w:tcPr>
            <w:tcW w:w="2091" w:type="dxa"/>
            <w:vAlign w:val="center"/>
          </w:tcPr>
          <w:p w:rsidR="002A631F" w:rsidRDefault="00ED1802"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支柱二</w:t>
            </w:r>
          </w:p>
        </w:tc>
        <w:tc>
          <w:tcPr>
            <w:tcW w:w="8365" w:type="dxa"/>
            <w:gridSpan w:val="4"/>
            <w:vAlign w:val="center"/>
          </w:tcPr>
          <w:p w:rsidR="002A631F" w:rsidRDefault="00BD5B7E"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監理審查:要求監理機關對銀行適足資本計提級資本分配是否符合相關標準進行定性</w:t>
            </w:r>
            <w:r w:rsidR="0079212F">
              <w:rPr>
                <w:rFonts w:ascii="微軟正黑體" w:eastAsia="微軟正黑體" w:hAnsi="微軟正黑體" w:hint="eastAsia"/>
              </w:rPr>
              <w:t>及計量評估，並作必要之早期干預。</w:t>
            </w:r>
          </w:p>
        </w:tc>
      </w:tr>
      <w:tr w:rsidR="002A631F" w:rsidTr="002A631F">
        <w:tc>
          <w:tcPr>
            <w:tcW w:w="2091" w:type="dxa"/>
            <w:vAlign w:val="center"/>
          </w:tcPr>
          <w:p w:rsidR="002A631F" w:rsidRDefault="00ED1802"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支柱三</w:t>
            </w:r>
          </w:p>
        </w:tc>
        <w:tc>
          <w:tcPr>
            <w:tcW w:w="8365" w:type="dxa"/>
            <w:gridSpan w:val="4"/>
            <w:vAlign w:val="center"/>
          </w:tcPr>
          <w:p w:rsidR="002A631F" w:rsidRDefault="0079212F" w:rsidP="002A631F">
            <w:pPr>
              <w:adjustRightInd w:val="0"/>
              <w:snapToGrid w:val="0"/>
              <w:jc w:val="center"/>
              <w:rPr>
                <w:rFonts w:ascii="微軟正黑體" w:eastAsia="微軟正黑體" w:hAnsi="微軟正黑體" w:hint="eastAsia"/>
              </w:rPr>
            </w:pPr>
            <w:r>
              <w:rPr>
                <w:rFonts w:ascii="微軟正黑體" w:eastAsia="微軟正黑體" w:hAnsi="微軟正黑體" w:hint="eastAsia"/>
              </w:rPr>
              <w:t>市場紀律:規定資訊公開揭露條件，提高資訊透明度，以增進市場紀律。</w:t>
            </w:r>
          </w:p>
        </w:tc>
      </w:tr>
    </w:tbl>
    <w:p w:rsidR="002A631F" w:rsidRDefault="002A631F" w:rsidP="002A631F">
      <w:pPr>
        <w:adjustRightInd w:val="0"/>
        <w:snapToGrid w:val="0"/>
        <w:rPr>
          <w:rFonts w:ascii="微軟正黑體" w:eastAsia="微軟正黑體" w:hAnsi="微軟正黑體"/>
        </w:rPr>
      </w:pPr>
    </w:p>
    <w:p w:rsidR="00202ADF" w:rsidRDefault="00202ADF" w:rsidP="002A631F">
      <w:pPr>
        <w:adjustRightInd w:val="0"/>
        <w:snapToGrid w:val="0"/>
        <w:rPr>
          <w:rFonts w:ascii="微軟正黑體" w:eastAsia="微軟正黑體" w:hAnsi="微軟正黑體"/>
        </w:rPr>
      </w:pPr>
      <w:r>
        <w:rPr>
          <w:rFonts w:ascii="微軟正黑體" w:eastAsia="微軟正黑體" w:hAnsi="微軟正黑體" w:hint="eastAsia"/>
        </w:rPr>
        <w:t>資本型態</w:t>
      </w:r>
    </w:p>
    <w:tbl>
      <w:tblPr>
        <w:tblStyle w:val="af"/>
        <w:tblW w:w="0" w:type="auto"/>
        <w:tblLook w:val="04A0" w:firstRow="1" w:lastRow="0" w:firstColumn="1" w:lastColumn="0" w:noHBand="0" w:noVBand="1"/>
      </w:tblPr>
      <w:tblGrid>
        <w:gridCol w:w="1555"/>
        <w:gridCol w:w="4110"/>
        <w:gridCol w:w="4791"/>
      </w:tblGrid>
      <w:tr w:rsidR="00202ADF" w:rsidTr="00202ADF">
        <w:tc>
          <w:tcPr>
            <w:tcW w:w="1555"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類別</w:t>
            </w:r>
          </w:p>
        </w:tc>
        <w:tc>
          <w:tcPr>
            <w:tcW w:w="4110"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限制</w:t>
            </w:r>
          </w:p>
        </w:tc>
        <w:tc>
          <w:tcPr>
            <w:tcW w:w="4791"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組成型態</w:t>
            </w:r>
          </w:p>
        </w:tc>
      </w:tr>
      <w:tr w:rsidR="00202ADF" w:rsidTr="00202ADF">
        <w:tc>
          <w:tcPr>
            <w:tcW w:w="1555"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一</w:t>
            </w:r>
          </w:p>
        </w:tc>
        <w:tc>
          <w:tcPr>
            <w:tcW w:w="4110"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最少為風險性資產之4%(核心資本)</w:t>
            </w:r>
          </w:p>
        </w:tc>
        <w:tc>
          <w:tcPr>
            <w:tcW w:w="4791"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普通股、永續非累積特別股、公債、預收資本、累積盈虧、少數股權及權益調整之合計數減除商譽與庫藏股(永續非累積特別股要小於第一類資本的15%)</w:t>
            </w:r>
            <w:r w:rsidR="0005150B">
              <w:rPr>
                <w:rFonts w:ascii="微軟正黑體" w:eastAsia="微軟正黑體" w:hAnsi="微軟正黑體" w:hint="eastAsia"/>
              </w:rPr>
              <w:t>。</w:t>
            </w:r>
          </w:p>
        </w:tc>
      </w:tr>
      <w:tr w:rsidR="00202ADF" w:rsidRPr="000E31F5" w:rsidTr="00202ADF">
        <w:tc>
          <w:tcPr>
            <w:tcW w:w="1555"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二</w:t>
            </w:r>
          </w:p>
        </w:tc>
        <w:tc>
          <w:tcPr>
            <w:tcW w:w="4110"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&lt;=第一類資本(輔助資本)</w:t>
            </w:r>
          </w:p>
        </w:tc>
        <w:tc>
          <w:tcPr>
            <w:tcW w:w="4791" w:type="dxa"/>
          </w:tcPr>
          <w:p w:rsidR="00202ADF" w:rsidRDefault="0005150B" w:rsidP="002A631F">
            <w:pPr>
              <w:adjustRightInd w:val="0"/>
              <w:snapToGrid w:val="0"/>
              <w:rPr>
                <w:rFonts w:ascii="微軟正黑體" w:eastAsia="微軟正黑體" w:hAnsi="微軟正黑體"/>
              </w:rPr>
            </w:pPr>
            <w:r>
              <w:rPr>
                <w:rFonts w:ascii="微軟正黑體" w:eastAsia="微軟正黑體" w:hAnsi="微軟正黑體" w:hint="eastAsia"/>
              </w:rPr>
              <w:t>永續累積特別股</w:t>
            </w:r>
            <w:r w:rsidR="000E31F5">
              <w:rPr>
                <w:rFonts w:ascii="微軟正黑體" w:eastAsia="微軟正黑體" w:hAnsi="微軟正黑體" w:hint="eastAsia"/>
              </w:rPr>
              <w:t>、固定資產增值公債、未實現長期股權投資資本曾億之45%、可轉換債券、營業準備及備抵呆帳(不包括特別提列者，不超過風險性資產總額1.25%)、及已發行長期(五年以上)次順位債券、非永續特別股之合計數。</w:t>
            </w:r>
          </w:p>
          <w:p w:rsidR="000E31F5" w:rsidRDefault="000E31F5" w:rsidP="002A631F">
            <w:pPr>
              <w:adjustRightInd w:val="0"/>
              <w:snapToGrid w:val="0"/>
              <w:rPr>
                <w:rFonts w:ascii="微軟正黑體" w:eastAsia="微軟正黑體" w:hAnsi="微軟正黑體" w:hint="eastAsia"/>
              </w:rPr>
            </w:pPr>
            <w:r>
              <w:rPr>
                <w:rFonts w:ascii="微軟正黑體" w:eastAsia="微軟正黑體" w:hAnsi="微軟正黑體" w:hint="eastAsia"/>
              </w:rPr>
              <w:t>長期次順位債券及非永續特別股之合計數不得逾第一類資本的50%。</w:t>
            </w:r>
          </w:p>
        </w:tc>
      </w:tr>
      <w:tr w:rsidR="00202ADF" w:rsidTr="00202ADF">
        <w:tc>
          <w:tcPr>
            <w:tcW w:w="1555"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三</w:t>
            </w:r>
          </w:p>
        </w:tc>
        <w:tc>
          <w:tcPr>
            <w:tcW w:w="4110"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&lt;=第一類資本250%(</w:t>
            </w:r>
            <w:r>
              <w:rPr>
                <w:rFonts w:ascii="微軟正黑體" w:eastAsia="微軟正黑體" w:hAnsi="微軟正黑體" w:hint="eastAsia"/>
              </w:rPr>
              <w:t>支應市場風險</w:t>
            </w:r>
            <w:r>
              <w:rPr>
                <w:rFonts w:ascii="微軟正黑體" w:eastAsia="微軟正黑體" w:hAnsi="微軟正黑體" w:hint="eastAsia"/>
              </w:rPr>
              <w:t>)</w:t>
            </w:r>
          </w:p>
        </w:tc>
        <w:tc>
          <w:tcPr>
            <w:tcW w:w="4791" w:type="dxa"/>
          </w:tcPr>
          <w:p w:rsidR="00202ADF" w:rsidRDefault="000E31F5" w:rsidP="002A631F">
            <w:pPr>
              <w:adjustRightInd w:val="0"/>
              <w:snapToGrid w:val="0"/>
              <w:rPr>
                <w:rFonts w:ascii="微軟正黑體" w:eastAsia="微軟正黑體" w:hAnsi="微軟正黑體" w:hint="eastAsia"/>
              </w:rPr>
            </w:pPr>
            <w:r>
              <w:rPr>
                <w:rFonts w:ascii="微軟正黑體" w:eastAsia="微軟正黑體" w:hAnsi="微軟正黑體" w:hint="eastAsia"/>
              </w:rPr>
              <w:t>已發行短期(2年以上)次順位債券、非永續特別股。</w:t>
            </w:r>
          </w:p>
        </w:tc>
      </w:tr>
      <w:tr w:rsidR="00202ADF" w:rsidTr="00202ADF">
        <w:tc>
          <w:tcPr>
            <w:tcW w:w="1555" w:type="dxa"/>
          </w:tcPr>
          <w:p w:rsidR="00202ADF" w:rsidRDefault="00202ADF" w:rsidP="002A631F">
            <w:pPr>
              <w:adjustRightInd w:val="0"/>
              <w:snapToGrid w:val="0"/>
              <w:rPr>
                <w:rFonts w:ascii="微軟正黑體" w:eastAsia="微軟正黑體" w:hAnsi="微軟正黑體" w:hint="eastAsia"/>
              </w:rPr>
            </w:pPr>
            <w:r>
              <w:rPr>
                <w:rFonts w:ascii="微軟正黑體" w:eastAsia="微軟正黑體" w:hAnsi="微軟正黑體" w:hint="eastAsia"/>
              </w:rPr>
              <w:t>資本減除項目</w:t>
            </w:r>
          </w:p>
        </w:tc>
        <w:tc>
          <w:tcPr>
            <w:tcW w:w="4110" w:type="dxa"/>
          </w:tcPr>
          <w:p w:rsidR="00202ADF" w:rsidRDefault="00202ADF" w:rsidP="002A631F">
            <w:pPr>
              <w:adjustRightInd w:val="0"/>
              <w:snapToGrid w:val="0"/>
              <w:rPr>
                <w:rFonts w:ascii="微軟正黑體" w:eastAsia="微軟正黑體" w:hAnsi="微軟正黑體" w:hint="eastAsia"/>
              </w:rPr>
            </w:pPr>
          </w:p>
        </w:tc>
        <w:tc>
          <w:tcPr>
            <w:tcW w:w="4791" w:type="dxa"/>
          </w:tcPr>
          <w:p w:rsidR="00202ADF" w:rsidRDefault="000E31F5" w:rsidP="002A631F">
            <w:pPr>
              <w:adjustRightInd w:val="0"/>
              <w:snapToGrid w:val="0"/>
              <w:rPr>
                <w:rFonts w:ascii="微軟正黑體" w:eastAsia="微軟正黑體" w:hAnsi="微軟正黑體" w:hint="eastAsia"/>
              </w:rPr>
            </w:pPr>
            <w:r>
              <w:rPr>
                <w:rFonts w:ascii="微軟正黑體" w:eastAsia="微軟正黑體" w:hAnsi="微軟正黑體" w:hint="eastAsia"/>
              </w:rPr>
              <w:t>對其他同業持股超過一年之帳列金額；經核准轉投資之其他事業</w:t>
            </w:r>
            <w:r w:rsidR="00865B98">
              <w:rPr>
                <w:rFonts w:ascii="微軟正黑體" w:eastAsia="微軟正黑體" w:hAnsi="微軟正黑體" w:hint="eastAsia"/>
              </w:rPr>
              <w:t>。</w:t>
            </w:r>
            <w:bookmarkStart w:id="0" w:name="_GoBack"/>
            <w:bookmarkEnd w:id="0"/>
          </w:p>
        </w:tc>
      </w:tr>
    </w:tbl>
    <w:p w:rsidR="00202ADF" w:rsidRPr="002A631F" w:rsidRDefault="00202ADF" w:rsidP="002A631F">
      <w:pPr>
        <w:adjustRightInd w:val="0"/>
        <w:snapToGrid w:val="0"/>
        <w:rPr>
          <w:rFonts w:ascii="微軟正黑體" w:eastAsia="微軟正黑體" w:hAnsi="微軟正黑體" w:hint="eastAsia"/>
        </w:rPr>
      </w:pPr>
    </w:p>
    <w:sectPr w:rsidR="00202ADF" w:rsidRPr="002A631F" w:rsidSect="009013CD">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04C0" w:rsidRDefault="006B04C0" w:rsidP="00CA6D79">
      <w:r>
        <w:separator/>
      </w:r>
    </w:p>
  </w:endnote>
  <w:endnote w:type="continuationSeparator" w:id="0">
    <w:p w:rsidR="006B04C0" w:rsidRDefault="006B04C0" w:rsidP="00CA6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04C0" w:rsidRDefault="006B04C0" w:rsidP="00CA6D79">
      <w:r>
        <w:separator/>
      </w:r>
    </w:p>
  </w:footnote>
  <w:footnote w:type="continuationSeparator" w:id="0">
    <w:p w:rsidR="006B04C0" w:rsidRDefault="006B04C0" w:rsidP="00CA6D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326DE"/>
    <w:multiLevelType w:val="hybridMultilevel"/>
    <w:tmpl w:val="D24A17F6"/>
    <w:lvl w:ilvl="0" w:tplc="712C3606">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AD12637"/>
    <w:multiLevelType w:val="hybridMultilevel"/>
    <w:tmpl w:val="1B62FF8E"/>
    <w:lvl w:ilvl="0" w:tplc="D570D102">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 w15:restartNumberingAfterBreak="0">
    <w:nsid w:val="21B008D8"/>
    <w:multiLevelType w:val="hybridMultilevel"/>
    <w:tmpl w:val="26001068"/>
    <w:lvl w:ilvl="0" w:tplc="6D6E78E4">
      <w:start w:val="1"/>
      <w:numFmt w:val="decimal"/>
      <w:suff w:val="nothing"/>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15:restartNumberingAfterBreak="0">
    <w:nsid w:val="22F83F0E"/>
    <w:multiLevelType w:val="hybridMultilevel"/>
    <w:tmpl w:val="365E270C"/>
    <w:lvl w:ilvl="0" w:tplc="EA3E1294">
      <w:start w:val="1"/>
      <w:numFmt w:val="decimal"/>
      <w:suff w:val="nothing"/>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2A4433F0"/>
    <w:multiLevelType w:val="hybridMultilevel"/>
    <w:tmpl w:val="C0865860"/>
    <w:lvl w:ilvl="0" w:tplc="68889954">
      <w:start w:val="1"/>
      <w:numFmt w:val="decimal"/>
      <w:suff w:val="nothing"/>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4265717A"/>
    <w:multiLevelType w:val="hybridMultilevel"/>
    <w:tmpl w:val="3738A83C"/>
    <w:lvl w:ilvl="0" w:tplc="8D94FD22">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484C53E9"/>
    <w:multiLevelType w:val="hybridMultilevel"/>
    <w:tmpl w:val="B600A878"/>
    <w:lvl w:ilvl="0" w:tplc="6D6E78E4">
      <w:start w:val="1"/>
      <w:numFmt w:val="decimal"/>
      <w:suff w:val="nothing"/>
      <w:lvlText w:val="%1."/>
      <w:lvlJc w:val="left"/>
      <w:pPr>
        <w:ind w:left="960" w:hanging="480"/>
      </w:pPr>
      <w:rPr>
        <w:rFonts w:hint="eastAsia"/>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BCD4AA6"/>
    <w:multiLevelType w:val="hybridMultilevel"/>
    <w:tmpl w:val="27AA2022"/>
    <w:lvl w:ilvl="0" w:tplc="6E566FBE">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60346F95"/>
    <w:multiLevelType w:val="hybridMultilevel"/>
    <w:tmpl w:val="F6D4A34A"/>
    <w:lvl w:ilvl="0" w:tplc="EA3E1294">
      <w:start w:val="1"/>
      <w:numFmt w:val="decimal"/>
      <w:suff w:val="nothing"/>
      <w:lvlText w:val="%1."/>
      <w:lvlJc w:val="left"/>
      <w:pPr>
        <w:ind w:left="960" w:hanging="480"/>
      </w:pPr>
      <w:rPr>
        <w:rFonts w:hint="eastAsia"/>
      </w:rPr>
    </w:lvl>
    <w:lvl w:ilvl="1" w:tplc="04090019">
      <w:start w:val="1"/>
      <w:numFmt w:val="ideographTraditional"/>
      <w:lvlText w:val="%2、"/>
      <w:lvlJc w:val="left"/>
      <w:pPr>
        <w:ind w:left="960" w:hanging="480"/>
      </w:pPr>
    </w:lvl>
    <w:lvl w:ilvl="2" w:tplc="766447D2">
      <w:start w:val="1"/>
      <w:numFmt w:val="decimal"/>
      <w:lvlText w:val="(%3)."/>
      <w:lvlJc w:val="left"/>
      <w:pPr>
        <w:ind w:left="1440" w:hanging="480"/>
      </w:pPr>
      <w:rPr>
        <w:rFonts w:hint="eastAsia"/>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04F4AFF"/>
    <w:multiLevelType w:val="hybridMultilevel"/>
    <w:tmpl w:val="5B92668E"/>
    <w:lvl w:ilvl="0" w:tplc="114CE8E2">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76863236"/>
    <w:multiLevelType w:val="hybridMultilevel"/>
    <w:tmpl w:val="065C51F8"/>
    <w:lvl w:ilvl="0" w:tplc="FA4A8DA2">
      <w:start w:val="1"/>
      <w:numFmt w:val="decimal"/>
      <w:suff w:val="nothing"/>
      <w:lvlText w:val="%1."/>
      <w:lvlJc w:val="left"/>
      <w:pPr>
        <w:ind w:left="960" w:hanging="480"/>
      </w:pPr>
      <w:rPr>
        <w:rFonts w:hint="eastAsia"/>
      </w:rPr>
    </w:lvl>
    <w:lvl w:ilvl="1" w:tplc="766447D2">
      <w:start w:val="1"/>
      <w:numFmt w:val="decimal"/>
      <w:lvlText w:val="(%2)."/>
      <w:lvlJc w:val="left"/>
      <w:pPr>
        <w:ind w:left="1440" w:hanging="480"/>
      </w:pPr>
      <w:rPr>
        <w:rFonts w:hint="eastAsia"/>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1" w15:restartNumberingAfterBreak="0">
    <w:nsid w:val="7E8F7508"/>
    <w:multiLevelType w:val="hybridMultilevel"/>
    <w:tmpl w:val="2AE88B12"/>
    <w:lvl w:ilvl="0" w:tplc="6D6E78E4">
      <w:start w:val="1"/>
      <w:numFmt w:val="decimal"/>
      <w:suff w:val="nothing"/>
      <w:lvlText w:val="%1."/>
      <w:lvlJc w:val="left"/>
      <w:pPr>
        <w:ind w:left="960" w:hanging="480"/>
      </w:pPr>
      <w:rPr>
        <w:rFonts w:hint="eastAsia"/>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
  </w:num>
  <w:num w:numId="2">
    <w:abstractNumId w:val="6"/>
  </w:num>
  <w:num w:numId="3">
    <w:abstractNumId w:val="11"/>
  </w:num>
  <w:num w:numId="4">
    <w:abstractNumId w:val="0"/>
  </w:num>
  <w:num w:numId="5">
    <w:abstractNumId w:val="4"/>
  </w:num>
  <w:num w:numId="6">
    <w:abstractNumId w:val="9"/>
  </w:num>
  <w:num w:numId="7">
    <w:abstractNumId w:val="3"/>
  </w:num>
  <w:num w:numId="8">
    <w:abstractNumId w:val="8"/>
  </w:num>
  <w:num w:numId="9">
    <w:abstractNumId w:val="7"/>
  </w:num>
  <w:num w:numId="10">
    <w:abstractNumId w:val="5"/>
  </w:num>
  <w:num w:numId="11">
    <w:abstractNumId w:val="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3CD"/>
    <w:rsid w:val="0005150B"/>
    <w:rsid w:val="00067020"/>
    <w:rsid w:val="000D7920"/>
    <w:rsid w:val="000E31F5"/>
    <w:rsid w:val="000E61BA"/>
    <w:rsid w:val="00101BFE"/>
    <w:rsid w:val="00104D68"/>
    <w:rsid w:val="00123505"/>
    <w:rsid w:val="001322AA"/>
    <w:rsid w:val="00156A96"/>
    <w:rsid w:val="001645EA"/>
    <w:rsid w:val="00186EC0"/>
    <w:rsid w:val="001D49B3"/>
    <w:rsid w:val="001E1C1E"/>
    <w:rsid w:val="001E225C"/>
    <w:rsid w:val="00202ADF"/>
    <w:rsid w:val="00203209"/>
    <w:rsid w:val="002125D8"/>
    <w:rsid w:val="002138A4"/>
    <w:rsid w:val="00236ED6"/>
    <w:rsid w:val="0024338D"/>
    <w:rsid w:val="002671F8"/>
    <w:rsid w:val="00273CD5"/>
    <w:rsid w:val="00286926"/>
    <w:rsid w:val="002A631F"/>
    <w:rsid w:val="003027CA"/>
    <w:rsid w:val="00313C5B"/>
    <w:rsid w:val="00320551"/>
    <w:rsid w:val="00323E71"/>
    <w:rsid w:val="00337790"/>
    <w:rsid w:val="0036741E"/>
    <w:rsid w:val="00425180"/>
    <w:rsid w:val="00442CCD"/>
    <w:rsid w:val="00462424"/>
    <w:rsid w:val="00481411"/>
    <w:rsid w:val="004A6B89"/>
    <w:rsid w:val="00553E9D"/>
    <w:rsid w:val="005A4C8B"/>
    <w:rsid w:val="005D7378"/>
    <w:rsid w:val="005D7B9D"/>
    <w:rsid w:val="006369CC"/>
    <w:rsid w:val="00645C7F"/>
    <w:rsid w:val="00645EB6"/>
    <w:rsid w:val="006535AA"/>
    <w:rsid w:val="006542DC"/>
    <w:rsid w:val="00683655"/>
    <w:rsid w:val="006B04C0"/>
    <w:rsid w:val="007038DC"/>
    <w:rsid w:val="00765C26"/>
    <w:rsid w:val="007766E3"/>
    <w:rsid w:val="0079212F"/>
    <w:rsid w:val="007A3E00"/>
    <w:rsid w:val="007A4294"/>
    <w:rsid w:val="007C6370"/>
    <w:rsid w:val="008630D8"/>
    <w:rsid w:val="00865B98"/>
    <w:rsid w:val="00875AA3"/>
    <w:rsid w:val="008B0951"/>
    <w:rsid w:val="009013CD"/>
    <w:rsid w:val="00922C68"/>
    <w:rsid w:val="009A109E"/>
    <w:rsid w:val="009B7ACF"/>
    <w:rsid w:val="009C555E"/>
    <w:rsid w:val="009E5A0D"/>
    <w:rsid w:val="00A013F0"/>
    <w:rsid w:val="00A80D16"/>
    <w:rsid w:val="00A9295A"/>
    <w:rsid w:val="00AC1F2D"/>
    <w:rsid w:val="00AE3646"/>
    <w:rsid w:val="00AF1B4D"/>
    <w:rsid w:val="00B4670D"/>
    <w:rsid w:val="00BD5B7E"/>
    <w:rsid w:val="00C15CF2"/>
    <w:rsid w:val="00C36391"/>
    <w:rsid w:val="00C903DE"/>
    <w:rsid w:val="00CA6D79"/>
    <w:rsid w:val="00CB40CC"/>
    <w:rsid w:val="00CC3E0D"/>
    <w:rsid w:val="00CD22B0"/>
    <w:rsid w:val="00D05FB7"/>
    <w:rsid w:val="00D07989"/>
    <w:rsid w:val="00D621D6"/>
    <w:rsid w:val="00D645B7"/>
    <w:rsid w:val="00D7038C"/>
    <w:rsid w:val="00DB16EE"/>
    <w:rsid w:val="00DC298A"/>
    <w:rsid w:val="00ED1802"/>
    <w:rsid w:val="00ED33C3"/>
    <w:rsid w:val="00EE192E"/>
    <w:rsid w:val="00EF6492"/>
    <w:rsid w:val="00F16A34"/>
    <w:rsid w:val="00F21E7D"/>
    <w:rsid w:val="00F21F02"/>
    <w:rsid w:val="00F809F8"/>
    <w:rsid w:val="00F9216B"/>
    <w:rsid w:val="00FE03C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829267"/>
  <w15:chartTrackingRefBased/>
  <w15:docId w15:val="{9D997C73-E300-4962-A1E8-30240F8D3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013CD"/>
    <w:pPr>
      <w:ind w:leftChars="200" w:left="480"/>
    </w:pPr>
  </w:style>
  <w:style w:type="paragraph" w:styleId="a4">
    <w:name w:val="header"/>
    <w:basedOn w:val="a"/>
    <w:link w:val="a5"/>
    <w:uiPriority w:val="99"/>
    <w:unhideWhenUsed/>
    <w:rsid w:val="00CA6D79"/>
    <w:pPr>
      <w:tabs>
        <w:tab w:val="center" w:pos="4153"/>
        <w:tab w:val="right" w:pos="8306"/>
      </w:tabs>
      <w:snapToGrid w:val="0"/>
    </w:pPr>
    <w:rPr>
      <w:sz w:val="20"/>
      <w:szCs w:val="20"/>
    </w:rPr>
  </w:style>
  <w:style w:type="character" w:customStyle="1" w:styleId="a5">
    <w:name w:val="頁首 字元"/>
    <w:basedOn w:val="a0"/>
    <w:link w:val="a4"/>
    <w:uiPriority w:val="99"/>
    <w:rsid w:val="00CA6D79"/>
    <w:rPr>
      <w:sz w:val="20"/>
      <w:szCs w:val="20"/>
    </w:rPr>
  </w:style>
  <w:style w:type="paragraph" w:styleId="a6">
    <w:name w:val="footer"/>
    <w:basedOn w:val="a"/>
    <w:link w:val="a7"/>
    <w:uiPriority w:val="99"/>
    <w:unhideWhenUsed/>
    <w:rsid w:val="00CA6D79"/>
    <w:pPr>
      <w:tabs>
        <w:tab w:val="center" w:pos="4153"/>
        <w:tab w:val="right" w:pos="8306"/>
      </w:tabs>
      <w:snapToGrid w:val="0"/>
    </w:pPr>
    <w:rPr>
      <w:sz w:val="20"/>
      <w:szCs w:val="20"/>
    </w:rPr>
  </w:style>
  <w:style w:type="character" w:customStyle="1" w:styleId="a7">
    <w:name w:val="頁尾 字元"/>
    <w:basedOn w:val="a0"/>
    <w:link w:val="a6"/>
    <w:uiPriority w:val="99"/>
    <w:rsid w:val="00CA6D79"/>
    <w:rPr>
      <w:sz w:val="20"/>
      <w:szCs w:val="20"/>
    </w:rPr>
  </w:style>
  <w:style w:type="character" w:styleId="a8">
    <w:name w:val="annotation reference"/>
    <w:basedOn w:val="a0"/>
    <w:uiPriority w:val="99"/>
    <w:semiHidden/>
    <w:unhideWhenUsed/>
    <w:rsid w:val="00645EB6"/>
    <w:rPr>
      <w:sz w:val="18"/>
      <w:szCs w:val="18"/>
    </w:rPr>
  </w:style>
  <w:style w:type="paragraph" w:styleId="a9">
    <w:name w:val="annotation text"/>
    <w:basedOn w:val="a"/>
    <w:link w:val="aa"/>
    <w:uiPriority w:val="99"/>
    <w:semiHidden/>
    <w:unhideWhenUsed/>
    <w:rsid w:val="00645EB6"/>
  </w:style>
  <w:style w:type="character" w:customStyle="1" w:styleId="aa">
    <w:name w:val="註解文字 字元"/>
    <w:basedOn w:val="a0"/>
    <w:link w:val="a9"/>
    <w:uiPriority w:val="99"/>
    <w:semiHidden/>
    <w:rsid w:val="00645EB6"/>
  </w:style>
  <w:style w:type="paragraph" w:styleId="ab">
    <w:name w:val="annotation subject"/>
    <w:basedOn w:val="a9"/>
    <w:next w:val="a9"/>
    <w:link w:val="ac"/>
    <w:uiPriority w:val="99"/>
    <w:semiHidden/>
    <w:unhideWhenUsed/>
    <w:rsid w:val="00645EB6"/>
    <w:rPr>
      <w:b/>
      <w:bCs/>
    </w:rPr>
  </w:style>
  <w:style w:type="character" w:customStyle="1" w:styleId="ac">
    <w:name w:val="註解主旨 字元"/>
    <w:basedOn w:val="aa"/>
    <w:link w:val="ab"/>
    <w:uiPriority w:val="99"/>
    <w:semiHidden/>
    <w:rsid w:val="00645EB6"/>
    <w:rPr>
      <w:b/>
      <w:bCs/>
    </w:rPr>
  </w:style>
  <w:style w:type="paragraph" w:styleId="ad">
    <w:name w:val="Balloon Text"/>
    <w:basedOn w:val="a"/>
    <w:link w:val="ae"/>
    <w:uiPriority w:val="99"/>
    <w:semiHidden/>
    <w:unhideWhenUsed/>
    <w:rsid w:val="00645EB6"/>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645EB6"/>
    <w:rPr>
      <w:rFonts w:asciiTheme="majorHAnsi" w:eastAsiaTheme="majorEastAsia" w:hAnsiTheme="majorHAnsi" w:cstheme="majorBidi"/>
      <w:sz w:val="18"/>
      <w:szCs w:val="18"/>
    </w:rPr>
  </w:style>
  <w:style w:type="table" w:styleId="af">
    <w:name w:val="Table Grid"/>
    <w:basedOn w:val="a1"/>
    <w:uiPriority w:val="39"/>
    <w:rsid w:val="00A80D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TotalTime>
  <Pages>8</Pages>
  <Words>1059</Words>
  <Characters>6037</Characters>
  <Application>Microsoft Office Word</Application>
  <DocSecurity>0</DocSecurity>
  <Lines>50</Lines>
  <Paragraphs>14</Paragraphs>
  <ScaleCrop>false</ScaleCrop>
  <Company/>
  <LinksUpToDate>false</LinksUpToDate>
  <CharactersWithSpaces>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簡孝竑(142476)</dc:creator>
  <cp:keywords/>
  <dc:description/>
  <cp:lastModifiedBy>簡孝竑(142476)</cp:lastModifiedBy>
  <cp:revision>74</cp:revision>
  <dcterms:created xsi:type="dcterms:W3CDTF">2021-02-22T03:08:00Z</dcterms:created>
  <dcterms:modified xsi:type="dcterms:W3CDTF">2021-03-05T02:44:00Z</dcterms:modified>
</cp:coreProperties>
</file>