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23505" w:rsidRDefault="00123505" w:rsidP="009013CD">
      <w:pPr>
        <w:adjustRightInd w:val="0"/>
        <w:snapToGrid w:val="0"/>
        <w:rPr>
          <w:rFonts w:ascii="微軟正黑體" w:eastAsia="微軟正黑體" w:hAnsi="微軟正黑體"/>
        </w:rPr>
      </w:pPr>
    </w:p>
    <w:p w:rsidR="00D05FB7" w:rsidRDefault="009013CD" w:rsidP="009013CD">
      <w:pPr>
        <w:adjustRightInd w:val="0"/>
        <w:snapToGrid w:val="0"/>
        <w:rPr>
          <w:rFonts w:ascii="微軟正黑體" w:eastAsia="微軟正黑體" w:hAnsi="微軟正黑體"/>
        </w:rPr>
      </w:pPr>
      <w:r>
        <w:rPr>
          <w:rFonts w:ascii="微軟正黑體" w:eastAsia="微軟正黑體" w:hAnsi="微軟正黑體" w:hint="eastAsia"/>
        </w:rPr>
        <w:t>風險管理的價值體系、功能及組織運作</w:t>
      </w:r>
    </w:p>
    <w:p w:rsidR="009013CD" w:rsidRDefault="009013CD" w:rsidP="009013CD">
      <w:pPr>
        <w:pStyle w:val="a3"/>
        <w:numPr>
          <w:ilvl w:val="0"/>
          <w:numId w:val="1"/>
        </w:numPr>
        <w:adjustRightInd w:val="0"/>
        <w:snapToGrid w:val="0"/>
        <w:ind w:leftChars="0"/>
        <w:rPr>
          <w:rFonts w:ascii="微軟正黑體" w:eastAsia="微軟正黑體" w:hAnsi="微軟正黑體"/>
        </w:rPr>
      </w:pPr>
      <w:r>
        <w:rPr>
          <w:rFonts w:ascii="微軟正黑體" w:eastAsia="微軟正黑體" w:hAnsi="微軟正黑體" w:hint="eastAsia"/>
        </w:rPr>
        <w:t>風險管理是一個管理過程，包含對風險的定義、測量、評估和發展因應風險的策略。</w:t>
      </w:r>
    </w:p>
    <w:p w:rsidR="009013CD" w:rsidRDefault="009013CD" w:rsidP="009013CD">
      <w:pPr>
        <w:pStyle w:val="a3"/>
        <w:numPr>
          <w:ilvl w:val="0"/>
          <w:numId w:val="1"/>
        </w:numPr>
        <w:adjustRightInd w:val="0"/>
        <w:snapToGrid w:val="0"/>
        <w:ind w:leftChars="0"/>
        <w:rPr>
          <w:rFonts w:ascii="微軟正黑體" w:eastAsia="微軟正黑體" w:hAnsi="微軟正黑體"/>
        </w:rPr>
      </w:pPr>
      <w:r>
        <w:rPr>
          <w:rFonts w:ascii="微軟正黑體" w:eastAsia="微軟正黑體" w:hAnsi="微軟正黑體" w:hint="eastAsia"/>
        </w:rPr>
        <w:t>風險管理的目的是將可避免的風險、成本及損失極小化。</w:t>
      </w:r>
    </w:p>
    <w:p w:rsidR="009013CD" w:rsidRDefault="009013CD" w:rsidP="009013CD">
      <w:pPr>
        <w:pStyle w:val="a3"/>
        <w:numPr>
          <w:ilvl w:val="0"/>
          <w:numId w:val="1"/>
        </w:numPr>
        <w:adjustRightInd w:val="0"/>
        <w:snapToGrid w:val="0"/>
        <w:ind w:leftChars="0"/>
        <w:rPr>
          <w:rFonts w:ascii="微軟正黑體" w:eastAsia="微軟正黑體" w:hAnsi="微軟正黑體"/>
        </w:rPr>
      </w:pPr>
      <w:r>
        <w:rPr>
          <w:rFonts w:ascii="微軟正黑體" w:eastAsia="微軟正黑體" w:hAnsi="微軟正黑體" w:hint="eastAsia"/>
        </w:rPr>
        <w:t>如果銀行有效發揮「風險分散效應」，則銀行的總風險小於個別業務的風險相加。</w:t>
      </w:r>
    </w:p>
    <w:p w:rsidR="009013CD" w:rsidRDefault="009013CD" w:rsidP="009013CD">
      <w:pPr>
        <w:pStyle w:val="a3"/>
        <w:numPr>
          <w:ilvl w:val="0"/>
          <w:numId w:val="1"/>
        </w:numPr>
        <w:adjustRightInd w:val="0"/>
        <w:snapToGrid w:val="0"/>
        <w:ind w:leftChars="0"/>
        <w:rPr>
          <w:rFonts w:ascii="微軟正黑體" w:eastAsia="微軟正黑體" w:hAnsi="微軟正黑體"/>
        </w:rPr>
      </w:pPr>
      <w:r>
        <w:rPr>
          <w:rFonts w:ascii="微軟正黑體" w:eastAsia="微軟正黑體" w:hAnsi="微軟正黑體" w:hint="eastAsia"/>
        </w:rPr>
        <w:t>風險管理應合理、客觀地「量化」風險，並兼顧「定性」標準的管理，以提供決策資訊。</w:t>
      </w:r>
    </w:p>
    <w:p w:rsidR="00123505" w:rsidRDefault="00123505" w:rsidP="00123505">
      <w:pPr>
        <w:adjustRightInd w:val="0"/>
        <w:snapToGrid w:val="0"/>
        <w:rPr>
          <w:rFonts w:ascii="微軟正黑體" w:eastAsia="微軟正黑體" w:hAnsi="微軟正黑體"/>
        </w:rPr>
      </w:pPr>
    </w:p>
    <w:p w:rsidR="00123505" w:rsidRDefault="002125D8" w:rsidP="00123505">
      <w:pPr>
        <w:adjustRightInd w:val="0"/>
        <w:snapToGrid w:val="0"/>
        <w:rPr>
          <w:rFonts w:ascii="微軟正黑體" w:eastAsia="微軟正黑體" w:hAnsi="微軟正黑體"/>
        </w:rPr>
      </w:pPr>
      <w:r>
        <w:rPr>
          <w:rFonts w:ascii="微軟正黑體" w:eastAsia="微軟正黑體" w:hAnsi="微軟正黑體" w:hint="eastAsia"/>
        </w:rPr>
        <w:t>責任中心</w:t>
      </w:r>
      <w:r w:rsidR="00425180">
        <w:rPr>
          <w:rFonts w:ascii="微軟正黑體" w:eastAsia="微軟正黑體" w:hAnsi="微軟正黑體" w:hint="eastAsia"/>
        </w:rPr>
        <w:t>制度</w:t>
      </w:r>
      <w:r>
        <w:rPr>
          <w:rFonts w:ascii="微軟正黑體" w:eastAsia="微軟正黑體" w:hAnsi="微軟正黑體" w:hint="eastAsia"/>
        </w:rPr>
        <w:t>、作業成本與轉撥價格</w:t>
      </w:r>
    </w:p>
    <w:p w:rsidR="002125D8" w:rsidRDefault="00DB16EE" w:rsidP="00DB16EE">
      <w:pPr>
        <w:pStyle w:val="a3"/>
        <w:numPr>
          <w:ilvl w:val="0"/>
          <w:numId w:val="2"/>
        </w:numPr>
        <w:adjustRightInd w:val="0"/>
        <w:snapToGrid w:val="0"/>
        <w:ind w:leftChars="0" w:left="709" w:hanging="229"/>
        <w:rPr>
          <w:rFonts w:ascii="微軟正黑體" w:eastAsia="微軟正黑體" w:hAnsi="微軟正黑體"/>
        </w:rPr>
      </w:pPr>
      <w:r>
        <w:rPr>
          <w:rFonts w:ascii="微軟正黑體" w:eastAsia="微軟正黑體" w:hAnsi="微軟正黑體" w:hint="eastAsia"/>
        </w:rPr>
        <w:t>責任中心(</w:t>
      </w:r>
      <w:r>
        <w:rPr>
          <w:rFonts w:ascii="微軟正黑體" w:eastAsia="微軟正黑體" w:hAnsi="微軟正黑體"/>
        </w:rPr>
        <w:t>Responsibility Center)</w:t>
      </w:r>
      <w:r>
        <w:rPr>
          <w:rFonts w:ascii="微軟正黑體" w:eastAsia="微軟正黑體" w:hAnsi="微軟正黑體" w:hint="eastAsia"/>
        </w:rPr>
        <w:t>是指承擔一定經濟責任，並享有一定權力的企業內部(責任)中心。</w:t>
      </w:r>
    </w:p>
    <w:p w:rsidR="00DB16EE" w:rsidRDefault="00DB16EE" w:rsidP="00DB16EE">
      <w:pPr>
        <w:pStyle w:val="a3"/>
        <w:numPr>
          <w:ilvl w:val="0"/>
          <w:numId w:val="2"/>
        </w:numPr>
        <w:adjustRightInd w:val="0"/>
        <w:snapToGrid w:val="0"/>
        <w:ind w:leftChars="0" w:left="709" w:hanging="229"/>
        <w:rPr>
          <w:rFonts w:ascii="微軟正黑體" w:eastAsia="微軟正黑體" w:hAnsi="微軟正黑體"/>
        </w:rPr>
      </w:pPr>
      <w:r>
        <w:rPr>
          <w:rFonts w:ascii="微軟正黑體" w:eastAsia="微軟正黑體" w:hAnsi="微軟正黑體" w:hint="eastAsia"/>
        </w:rPr>
        <w:t>成本中心主管有權參與選擇各項投入資源的標準及來源。</w:t>
      </w:r>
    </w:p>
    <w:p w:rsidR="00DB16EE" w:rsidRDefault="00DB16EE" w:rsidP="00DB16EE">
      <w:pPr>
        <w:pStyle w:val="a3"/>
        <w:numPr>
          <w:ilvl w:val="0"/>
          <w:numId w:val="2"/>
        </w:numPr>
        <w:adjustRightInd w:val="0"/>
        <w:snapToGrid w:val="0"/>
        <w:ind w:leftChars="0" w:left="709" w:hanging="229"/>
        <w:rPr>
          <w:rFonts w:ascii="微軟正黑體" w:eastAsia="微軟正黑體" w:hAnsi="微軟正黑體"/>
        </w:rPr>
      </w:pPr>
      <w:r>
        <w:rPr>
          <w:rFonts w:ascii="微軟正黑體" w:eastAsia="微軟正黑體" w:hAnsi="微軟正黑體" w:hint="eastAsia"/>
        </w:rPr>
        <w:t>銀行若是按企業機能別劃分，部門主管較難成立「利潤中心」。</w:t>
      </w:r>
    </w:p>
    <w:p w:rsidR="00DB16EE" w:rsidRDefault="00DB16EE" w:rsidP="00DB16EE">
      <w:pPr>
        <w:pStyle w:val="a3"/>
        <w:numPr>
          <w:ilvl w:val="0"/>
          <w:numId w:val="2"/>
        </w:numPr>
        <w:adjustRightInd w:val="0"/>
        <w:snapToGrid w:val="0"/>
        <w:ind w:leftChars="0" w:left="709" w:hanging="229"/>
        <w:rPr>
          <w:rFonts w:ascii="微軟正黑體" w:eastAsia="微軟正黑體" w:hAnsi="微軟正黑體"/>
        </w:rPr>
      </w:pPr>
      <w:r>
        <w:rPr>
          <w:rFonts w:ascii="微軟正黑體" w:eastAsia="微軟正黑體" w:hAnsi="微軟正黑體" w:hint="eastAsia"/>
        </w:rPr>
        <w:t>投資中心宜使用投資報酬率當作績效衡量指標。</w:t>
      </w:r>
    </w:p>
    <w:p w:rsidR="00DB16EE" w:rsidRDefault="00DB16EE" w:rsidP="00DB16EE">
      <w:pPr>
        <w:pStyle w:val="a3"/>
        <w:numPr>
          <w:ilvl w:val="0"/>
          <w:numId w:val="2"/>
        </w:numPr>
        <w:adjustRightInd w:val="0"/>
        <w:snapToGrid w:val="0"/>
        <w:ind w:leftChars="0" w:left="709" w:hanging="229"/>
        <w:rPr>
          <w:rFonts w:ascii="微軟正黑體" w:eastAsia="微軟正黑體" w:hAnsi="微軟正黑體"/>
        </w:rPr>
      </w:pPr>
      <w:r>
        <w:rPr>
          <w:rFonts w:ascii="微軟正黑體" w:eastAsia="微軟正黑體" w:hAnsi="微軟正黑體" w:hint="eastAsia"/>
        </w:rPr>
        <w:t>財富管理處處長，每個月領取的薪資費用應歸屬於轄下各部門的間接成本。</w:t>
      </w:r>
    </w:p>
    <w:p w:rsidR="00DB16EE" w:rsidRDefault="00DB16EE" w:rsidP="00DB16EE">
      <w:pPr>
        <w:pStyle w:val="a3"/>
        <w:numPr>
          <w:ilvl w:val="0"/>
          <w:numId w:val="2"/>
        </w:numPr>
        <w:adjustRightInd w:val="0"/>
        <w:snapToGrid w:val="0"/>
        <w:ind w:leftChars="0" w:left="709" w:hanging="229"/>
        <w:rPr>
          <w:rFonts w:ascii="微軟正黑體" w:eastAsia="微軟正黑體" w:hAnsi="微軟正黑體"/>
        </w:rPr>
      </w:pPr>
      <w:r>
        <w:rPr>
          <w:rFonts w:ascii="微軟正黑體" w:eastAsia="微軟正黑體" w:hAnsi="微軟正黑體" w:hint="eastAsia"/>
        </w:rPr>
        <w:t>績效管理的良窳，端視管理者對「可控制成本」的掌控能力而定。</w:t>
      </w:r>
    </w:p>
    <w:p w:rsidR="00DB16EE" w:rsidRDefault="00DB16EE" w:rsidP="00DB16EE">
      <w:pPr>
        <w:pStyle w:val="a3"/>
        <w:numPr>
          <w:ilvl w:val="0"/>
          <w:numId w:val="2"/>
        </w:numPr>
        <w:adjustRightInd w:val="0"/>
        <w:snapToGrid w:val="0"/>
        <w:ind w:leftChars="0" w:left="709" w:hanging="229"/>
        <w:rPr>
          <w:rFonts w:ascii="微軟正黑體" w:eastAsia="微軟正黑體" w:hAnsi="微軟正黑體"/>
        </w:rPr>
      </w:pPr>
      <w:r>
        <w:rPr>
          <w:rFonts w:ascii="微軟正黑體" w:eastAsia="微軟正黑體" w:hAnsi="微軟正黑體" w:hint="eastAsia"/>
        </w:rPr>
        <w:t>沉沒</w:t>
      </w:r>
      <w:r w:rsidR="00EF6492">
        <w:rPr>
          <w:rFonts w:ascii="微軟正黑體" w:eastAsia="微軟正黑體" w:hAnsi="微軟正黑體" w:hint="eastAsia"/>
        </w:rPr>
        <w:t>成本指已經付出且不可收回的成本，為不可控制成本。</w:t>
      </w:r>
    </w:p>
    <w:p w:rsidR="00EF6492" w:rsidRDefault="00EF6492" w:rsidP="00DB16EE">
      <w:pPr>
        <w:pStyle w:val="a3"/>
        <w:numPr>
          <w:ilvl w:val="0"/>
          <w:numId w:val="2"/>
        </w:numPr>
        <w:adjustRightInd w:val="0"/>
        <w:snapToGrid w:val="0"/>
        <w:ind w:leftChars="0" w:left="709" w:hanging="229"/>
        <w:rPr>
          <w:rFonts w:ascii="微軟正黑體" w:eastAsia="微軟正黑體" w:hAnsi="微軟正黑體"/>
        </w:rPr>
      </w:pPr>
      <w:r>
        <w:rPr>
          <w:rFonts w:ascii="微軟正黑體" w:eastAsia="微軟正黑體" w:hAnsi="微軟正黑體" w:hint="eastAsia"/>
        </w:rPr>
        <w:t>「作業基礎成本制」(</w:t>
      </w:r>
      <w:r>
        <w:rPr>
          <w:rFonts w:ascii="微軟正黑體" w:eastAsia="微軟正黑體" w:hAnsi="微軟正黑體"/>
        </w:rPr>
        <w:t>Activity-based cast</w:t>
      </w:r>
      <w:r>
        <w:rPr>
          <w:rFonts w:ascii="微軟正黑體" w:eastAsia="微軟正黑體" w:hAnsi="微軟正黑體" w:hint="eastAsia"/>
        </w:rPr>
        <w:t>，ABC)的基本精神，就是把每個產品或服務，拆解成一個個最基本的作業活動，再利用精準的成本追溯及成本分攤方法，計算出合理的成本。</w:t>
      </w:r>
    </w:p>
    <w:p w:rsidR="00EF6492" w:rsidRDefault="00EF6492" w:rsidP="00DB16EE">
      <w:pPr>
        <w:pStyle w:val="a3"/>
        <w:numPr>
          <w:ilvl w:val="0"/>
          <w:numId w:val="2"/>
        </w:numPr>
        <w:adjustRightInd w:val="0"/>
        <w:snapToGrid w:val="0"/>
        <w:ind w:leftChars="0" w:left="709" w:hanging="229"/>
        <w:rPr>
          <w:rFonts w:ascii="微軟正黑體" w:eastAsia="微軟正黑體" w:hAnsi="微軟正黑體"/>
        </w:rPr>
      </w:pPr>
      <w:r>
        <w:rPr>
          <w:rFonts w:ascii="微軟正黑體" w:eastAsia="微軟正黑體" w:hAnsi="微軟正黑體"/>
        </w:rPr>
        <w:t>ABC</w:t>
      </w:r>
      <w:r>
        <w:rPr>
          <w:rFonts w:ascii="微軟正黑體" w:eastAsia="微軟正黑體" w:hAnsi="微軟正黑體" w:hint="eastAsia"/>
        </w:rPr>
        <w:t>的制度特色之一，在於能夠區分出個別業務及客戶的績效差異。</w:t>
      </w:r>
    </w:p>
    <w:p w:rsidR="00EF6492" w:rsidRDefault="00EF6492" w:rsidP="00DB16EE">
      <w:pPr>
        <w:pStyle w:val="a3"/>
        <w:numPr>
          <w:ilvl w:val="0"/>
          <w:numId w:val="2"/>
        </w:numPr>
        <w:adjustRightInd w:val="0"/>
        <w:snapToGrid w:val="0"/>
        <w:ind w:leftChars="0" w:left="709" w:hanging="229"/>
        <w:rPr>
          <w:rFonts w:ascii="微軟正黑體" w:eastAsia="微軟正黑體" w:hAnsi="微軟正黑體"/>
        </w:rPr>
      </w:pPr>
      <w:r>
        <w:rPr>
          <w:rFonts w:ascii="微軟正黑體" w:eastAsia="微軟正黑體" w:hAnsi="微軟正黑體" w:hint="eastAsia"/>
        </w:rPr>
        <w:t xml:space="preserve">經濟轉移價格(Economic </w:t>
      </w:r>
      <w:r>
        <w:rPr>
          <w:rFonts w:ascii="微軟正黑體" w:eastAsia="微軟正黑體" w:hAnsi="微軟正黑體"/>
        </w:rPr>
        <w:t>Transfer Prices)</w:t>
      </w:r>
      <w:r>
        <w:rPr>
          <w:rFonts w:ascii="微軟正黑體" w:eastAsia="微軟正黑體" w:hAnsi="微軟正黑體" w:hint="eastAsia"/>
        </w:rPr>
        <w:t>包含資金來源有關的借款成本，與信用風險有關的備抵呆帳，與流動性風險有關的流動性貼水。</w:t>
      </w:r>
    </w:p>
    <w:p w:rsidR="00EF6492" w:rsidRDefault="00203209" w:rsidP="00DB16EE">
      <w:pPr>
        <w:pStyle w:val="a3"/>
        <w:numPr>
          <w:ilvl w:val="0"/>
          <w:numId w:val="2"/>
        </w:numPr>
        <w:adjustRightInd w:val="0"/>
        <w:snapToGrid w:val="0"/>
        <w:ind w:leftChars="0" w:left="709" w:hanging="229"/>
        <w:rPr>
          <w:rFonts w:ascii="微軟正黑體" w:eastAsia="微軟正黑體" w:hAnsi="微軟正黑體"/>
        </w:rPr>
      </w:pPr>
      <w:r>
        <w:rPr>
          <w:rFonts w:ascii="微軟正黑體" w:eastAsia="微軟正黑體" w:hAnsi="微軟正黑體" w:hint="eastAsia"/>
        </w:rPr>
        <w:t>銀行的營業單位遇到資金不足時，透過聯行取得資金適用的利率，係指「借用利率」。</w:t>
      </w:r>
    </w:p>
    <w:p w:rsidR="00203209" w:rsidRDefault="00203209" w:rsidP="00DB16EE">
      <w:pPr>
        <w:pStyle w:val="a3"/>
        <w:numPr>
          <w:ilvl w:val="0"/>
          <w:numId w:val="2"/>
        </w:numPr>
        <w:adjustRightInd w:val="0"/>
        <w:snapToGrid w:val="0"/>
        <w:ind w:leftChars="0" w:left="709" w:hanging="229"/>
        <w:rPr>
          <w:rFonts w:ascii="微軟正黑體" w:eastAsia="微軟正黑體" w:hAnsi="微軟正黑體"/>
        </w:rPr>
      </w:pPr>
      <w:r>
        <w:rPr>
          <w:rFonts w:ascii="微軟正黑體" w:eastAsia="微軟正黑體" w:hAnsi="微軟正黑體" w:hint="eastAsia"/>
        </w:rPr>
        <w:t>直接材料與人工屬於直接成本。</w:t>
      </w:r>
    </w:p>
    <w:p w:rsidR="00203209" w:rsidRDefault="00203209" w:rsidP="00DB16EE">
      <w:pPr>
        <w:pStyle w:val="a3"/>
        <w:numPr>
          <w:ilvl w:val="0"/>
          <w:numId w:val="2"/>
        </w:numPr>
        <w:adjustRightInd w:val="0"/>
        <w:snapToGrid w:val="0"/>
        <w:ind w:leftChars="0" w:left="709" w:hanging="229"/>
        <w:rPr>
          <w:rFonts w:ascii="微軟正黑體" w:eastAsia="微軟正黑體" w:hAnsi="微軟正黑體"/>
        </w:rPr>
      </w:pPr>
      <w:r>
        <w:rPr>
          <w:rFonts w:ascii="微軟正黑體" w:eastAsia="微軟正黑體" w:hAnsi="微軟正黑體" w:hint="eastAsia"/>
        </w:rPr>
        <w:t>利潤中心制度最好能使用「可控制利益」當作績效衡量指標。</w:t>
      </w:r>
    </w:p>
    <w:p w:rsidR="00203209" w:rsidRDefault="00203209" w:rsidP="00DB16EE">
      <w:pPr>
        <w:pStyle w:val="a3"/>
        <w:numPr>
          <w:ilvl w:val="0"/>
          <w:numId w:val="2"/>
        </w:numPr>
        <w:adjustRightInd w:val="0"/>
        <w:snapToGrid w:val="0"/>
        <w:ind w:leftChars="0" w:left="709" w:hanging="229"/>
        <w:rPr>
          <w:rFonts w:ascii="微軟正黑體" w:eastAsia="微軟正黑體" w:hAnsi="微軟正黑體"/>
        </w:rPr>
      </w:pPr>
      <w:r>
        <w:rPr>
          <w:rFonts w:ascii="微軟正黑體" w:eastAsia="微軟正黑體" w:hAnsi="微軟正黑體" w:hint="eastAsia"/>
        </w:rPr>
        <w:t>作業基礎成本制度相對傳統成本制度更能清楚浮現各項金融業務的獲利情形。</w:t>
      </w:r>
    </w:p>
    <w:p w:rsidR="00203209" w:rsidRDefault="00203209" w:rsidP="00203209">
      <w:pPr>
        <w:adjustRightInd w:val="0"/>
        <w:snapToGrid w:val="0"/>
        <w:rPr>
          <w:rFonts w:ascii="微軟正黑體" w:eastAsia="微軟正黑體" w:hAnsi="微軟正黑體"/>
        </w:rPr>
      </w:pPr>
    </w:p>
    <w:p w:rsidR="00203209" w:rsidRDefault="00CA6D79" w:rsidP="00203209">
      <w:pPr>
        <w:adjustRightInd w:val="0"/>
        <w:snapToGrid w:val="0"/>
        <w:rPr>
          <w:rFonts w:ascii="微軟正黑體" w:eastAsia="微軟正黑體" w:hAnsi="微軟正黑體"/>
        </w:rPr>
      </w:pPr>
      <w:r>
        <w:rPr>
          <w:rFonts w:ascii="微軟正黑體" w:eastAsia="微軟正黑體" w:hAnsi="微軟正黑體" w:hint="eastAsia"/>
        </w:rPr>
        <w:t>風險類別概述</w:t>
      </w:r>
    </w:p>
    <w:p w:rsidR="007C6370" w:rsidRDefault="007C6370" w:rsidP="007C6370">
      <w:pPr>
        <w:pStyle w:val="a3"/>
        <w:numPr>
          <w:ilvl w:val="0"/>
          <w:numId w:val="3"/>
        </w:numPr>
        <w:adjustRightInd w:val="0"/>
        <w:snapToGrid w:val="0"/>
        <w:ind w:leftChars="0" w:left="709" w:hanging="283"/>
        <w:rPr>
          <w:rFonts w:ascii="微軟正黑體" w:eastAsia="微軟正黑體" w:hAnsi="微軟正黑體"/>
        </w:rPr>
      </w:pPr>
      <w:r>
        <w:rPr>
          <w:rFonts w:ascii="微軟正黑體" w:eastAsia="微軟正黑體" w:hAnsi="微軟正黑體" w:hint="eastAsia"/>
        </w:rPr>
        <w:t>利率風險係指當利率變動時，資產價值亦隨之變動的風險，當銀行的資產與負債，呈現到期期別及流動性不同時，可能造成利率風險。</w:t>
      </w:r>
    </w:p>
    <w:p w:rsidR="00683655" w:rsidRDefault="00683655" w:rsidP="007C6370">
      <w:pPr>
        <w:pStyle w:val="a3"/>
        <w:numPr>
          <w:ilvl w:val="0"/>
          <w:numId w:val="3"/>
        </w:numPr>
        <w:adjustRightInd w:val="0"/>
        <w:snapToGrid w:val="0"/>
        <w:ind w:leftChars="0" w:left="709" w:hanging="283"/>
        <w:rPr>
          <w:rFonts w:ascii="微軟正黑體" w:eastAsia="微軟正黑體" w:hAnsi="微軟正黑體"/>
        </w:rPr>
      </w:pPr>
      <w:r>
        <w:rPr>
          <w:rFonts w:ascii="微軟正黑體" w:eastAsia="微軟正黑體" w:hAnsi="微軟正黑體" w:hint="eastAsia"/>
        </w:rPr>
        <w:t>重新訂價的缺口又稱資金缺口，敏感性資產減敏感性負債大於0時，稱為「正」資金缺口。敏感性資產減敏感性負債小於0時，稱為「負」資金缺口。</w:t>
      </w:r>
    </w:p>
    <w:p w:rsidR="00683655" w:rsidRDefault="00683655" w:rsidP="007C6370">
      <w:pPr>
        <w:pStyle w:val="a3"/>
        <w:numPr>
          <w:ilvl w:val="0"/>
          <w:numId w:val="3"/>
        </w:numPr>
        <w:adjustRightInd w:val="0"/>
        <w:snapToGrid w:val="0"/>
        <w:ind w:leftChars="0" w:left="709" w:hanging="283"/>
        <w:rPr>
          <w:rFonts w:ascii="微軟正黑體" w:eastAsia="微軟正黑體" w:hAnsi="微軟正黑體"/>
        </w:rPr>
      </w:pPr>
      <w:r>
        <w:rPr>
          <w:rFonts w:ascii="微軟正黑體" w:eastAsia="微軟正黑體" w:hAnsi="微軟正黑體" w:hint="eastAsia"/>
        </w:rPr>
        <w:t>銀行利率風險包含:再融資風險、再投資風險、市場價值變化的風險等。</w:t>
      </w:r>
    </w:p>
    <w:p w:rsidR="00683655" w:rsidRDefault="00683655" w:rsidP="007C6370">
      <w:pPr>
        <w:pStyle w:val="a3"/>
        <w:numPr>
          <w:ilvl w:val="0"/>
          <w:numId w:val="3"/>
        </w:numPr>
        <w:adjustRightInd w:val="0"/>
        <w:snapToGrid w:val="0"/>
        <w:ind w:leftChars="0" w:left="709" w:hanging="283"/>
        <w:rPr>
          <w:rFonts w:ascii="微軟正黑體" w:eastAsia="微軟正黑體" w:hAnsi="微軟正黑體"/>
        </w:rPr>
      </w:pPr>
      <w:r>
        <w:rPr>
          <w:rFonts w:ascii="微軟正黑體" w:eastAsia="微軟正黑體" w:hAnsi="微軟正黑體" w:hint="eastAsia"/>
        </w:rPr>
        <w:t>再融資風險是指由於金融市場上的金融工具品種，融資方式的變動，導致企業再次融資產生不確定性，或企業本身的籌資結構的不合理導致再融資產生困難。「借短貸長」的資金部位，可能存在再融資風險。</w:t>
      </w:r>
    </w:p>
    <w:p w:rsidR="00683655" w:rsidRDefault="00AF1B4D" w:rsidP="007C6370">
      <w:pPr>
        <w:pStyle w:val="a3"/>
        <w:numPr>
          <w:ilvl w:val="0"/>
          <w:numId w:val="3"/>
        </w:numPr>
        <w:adjustRightInd w:val="0"/>
        <w:snapToGrid w:val="0"/>
        <w:ind w:leftChars="0" w:left="709" w:hanging="283"/>
        <w:rPr>
          <w:rFonts w:ascii="微軟正黑體" w:eastAsia="微軟正黑體" w:hAnsi="微軟正黑體"/>
        </w:rPr>
      </w:pPr>
      <w:r>
        <w:rPr>
          <w:rFonts w:ascii="微軟正黑體" w:eastAsia="微軟正黑體" w:hAnsi="微軟正黑體" w:hint="eastAsia"/>
        </w:rPr>
        <w:t>市場利率變動，導致資產負債之經濟價值跟著變動的風險，係稱為「市場價值風險」。</w:t>
      </w:r>
    </w:p>
    <w:p w:rsidR="00AF1B4D" w:rsidRDefault="00AF1B4D" w:rsidP="007C6370">
      <w:pPr>
        <w:pStyle w:val="a3"/>
        <w:numPr>
          <w:ilvl w:val="0"/>
          <w:numId w:val="3"/>
        </w:numPr>
        <w:adjustRightInd w:val="0"/>
        <w:snapToGrid w:val="0"/>
        <w:ind w:leftChars="0" w:left="709" w:hanging="283"/>
        <w:rPr>
          <w:rFonts w:ascii="微軟正黑體" w:eastAsia="微軟正黑體" w:hAnsi="微軟正黑體"/>
        </w:rPr>
      </w:pPr>
      <w:r>
        <w:rPr>
          <w:rFonts w:ascii="微軟正黑體" w:eastAsia="微軟正黑體" w:hAnsi="微軟正黑體" w:hint="eastAsia"/>
        </w:rPr>
        <w:t>匯率風險又稱外匯風險或外匯暴露，是指一定時期的國際經濟交易當中以外幣計價的資產(或</w:t>
      </w:r>
      <w:r>
        <w:rPr>
          <w:rFonts w:ascii="微軟正黑體" w:eastAsia="微軟正黑體" w:hAnsi="微軟正黑體" w:hint="eastAsia"/>
        </w:rPr>
        <w:lastRenderedPageBreak/>
        <w:t>債權)與負債(或債務)由於匯率的波動，而引起因價值漲跌的可能性。</w:t>
      </w:r>
    </w:p>
    <w:p w:rsidR="00AF1B4D" w:rsidRDefault="000E61BA" w:rsidP="007C6370">
      <w:pPr>
        <w:pStyle w:val="a3"/>
        <w:numPr>
          <w:ilvl w:val="0"/>
          <w:numId w:val="3"/>
        </w:numPr>
        <w:adjustRightInd w:val="0"/>
        <w:snapToGrid w:val="0"/>
        <w:ind w:leftChars="0" w:left="709" w:hanging="283"/>
        <w:rPr>
          <w:rFonts w:ascii="微軟正黑體" w:eastAsia="微軟正黑體" w:hAnsi="微軟正黑體"/>
        </w:rPr>
      </w:pPr>
      <w:r>
        <w:rPr>
          <w:rFonts w:ascii="微軟正黑體" w:eastAsia="微軟正黑體" w:hAnsi="微軟正黑體" w:hint="eastAsia"/>
        </w:rPr>
        <w:t>信用卡之違冒詐欺事件應歸類為作業風險型態。</w:t>
      </w:r>
    </w:p>
    <w:p w:rsidR="000E61BA" w:rsidRDefault="000E61BA" w:rsidP="007C6370">
      <w:pPr>
        <w:pStyle w:val="a3"/>
        <w:numPr>
          <w:ilvl w:val="0"/>
          <w:numId w:val="3"/>
        </w:numPr>
        <w:adjustRightInd w:val="0"/>
        <w:snapToGrid w:val="0"/>
        <w:ind w:leftChars="0" w:left="709" w:hanging="283"/>
        <w:rPr>
          <w:rFonts w:ascii="微軟正黑體" w:eastAsia="微軟正黑體" w:hAnsi="微軟正黑體"/>
        </w:rPr>
      </w:pPr>
      <w:r>
        <w:rPr>
          <w:rFonts w:ascii="微軟正黑體" w:eastAsia="微軟正黑體" w:hAnsi="微軟正黑體" w:hint="eastAsia"/>
        </w:rPr>
        <w:t>市場風險的來源有:利率風險，外匯風險，價格風險等。</w:t>
      </w:r>
    </w:p>
    <w:p w:rsidR="000E61BA" w:rsidRDefault="000E61BA" w:rsidP="007C6370">
      <w:pPr>
        <w:pStyle w:val="a3"/>
        <w:numPr>
          <w:ilvl w:val="0"/>
          <w:numId w:val="3"/>
        </w:numPr>
        <w:adjustRightInd w:val="0"/>
        <w:snapToGrid w:val="0"/>
        <w:ind w:leftChars="0" w:left="709" w:hanging="283"/>
        <w:rPr>
          <w:rFonts w:ascii="微軟正黑體" w:eastAsia="微軟正黑體" w:hAnsi="微軟正黑體"/>
        </w:rPr>
      </w:pPr>
      <w:r>
        <w:rPr>
          <w:rFonts w:ascii="微軟正黑體" w:eastAsia="微軟正黑體" w:hAnsi="微軟正黑體" w:hint="eastAsia"/>
        </w:rPr>
        <w:t>銀行的存款負債瀰漫著鉅額且異常地提領，可能帶來流動性風險。</w:t>
      </w:r>
    </w:p>
    <w:p w:rsidR="000E61BA" w:rsidRDefault="000E61BA" w:rsidP="000E61BA">
      <w:pPr>
        <w:pStyle w:val="a3"/>
        <w:numPr>
          <w:ilvl w:val="0"/>
          <w:numId w:val="3"/>
        </w:numPr>
        <w:adjustRightInd w:val="0"/>
        <w:snapToGrid w:val="0"/>
        <w:ind w:leftChars="0" w:left="709" w:hanging="283"/>
        <w:rPr>
          <w:rFonts w:ascii="微軟正黑體" w:eastAsia="微軟正黑體" w:hAnsi="微軟正黑體"/>
        </w:rPr>
      </w:pPr>
      <w:r>
        <w:rPr>
          <w:rFonts w:ascii="微軟正黑體" w:eastAsia="微軟正黑體" w:hAnsi="微軟正黑體" w:hint="eastAsia"/>
        </w:rPr>
        <w:t>信用風險的產生，主要係因借款人或交易對手的經營體質出現惡化或發生其他不利因素(如企業與往來對象發生糾紛)，導致客戶不依契約內容履行付款義務，而使銀行產生違約損失的風險。</w:t>
      </w:r>
    </w:p>
    <w:p w:rsidR="000E61BA" w:rsidRDefault="000E61BA" w:rsidP="000E61BA">
      <w:pPr>
        <w:pStyle w:val="a3"/>
        <w:numPr>
          <w:ilvl w:val="0"/>
          <w:numId w:val="3"/>
        </w:numPr>
        <w:adjustRightInd w:val="0"/>
        <w:snapToGrid w:val="0"/>
        <w:ind w:leftChars="0" w:left="709" w:hanging="283"/>
        <w:rPr>
          <w:rFonts w:ascii="微軟正黑體" w:eastAsia="微軟正黑體" w:hAnsi="微軟正黑體"/>
        </w:rPr>
      </w:pPr>
      <w:r>
        <w:rPr>
          <w:rFonts w:ascii="微軟正黑體" w:eastAsia="微軟正黑體" w:hAnsi="微軟正黑體" w:hint="eastAsia"/>
        </w:rPr>
        <w:t>衡量市場風險時，有關主要部位或個別金融商品的「價格波動」，是指市場因素在特定的時間內上下偏離平均水準，導致部位價值產生變動的程度，在統計學上稱為部分價值的變動率波動之衡量包含</w:t>
      </w:r>
      <w:r w:rsidR="00A9295A">
        <w:rPr>
          <w:rFonts w:ascii="微軟正黑體" w:eastAsia="微軟正黑體" w:hAnsi="微軟正黑體" w:hint="eastAsia"/>
        </w:rPr>
        <w:t>:標準差、變異數、變異係數等。</w:t>
      </w:r>
    </w:p>
    <w:p w:rsidR="00A9295A" w:rsidRDefault="00A9295A" w:rsidP="000E61BA">
      <w:pPr>
        <w:pStyle w:val="a3"/>
        <w:numPr>
          <w:ilvl w:val="0"/>
          <w:numId w:val="3"/>
        </w:numPr>
        <w:adjustRightInd w:val="0"/>
        <w:snapToGrid w:val="0"/>
        <w:ind w:leftChars="0" w:left="709" w:hanging="283"/>
        <w:rPr>
          <w:rFonts w:ascii="微軟正黑體" w:eastAsia="微軟正黑體" w:hAnsi="微軟正黑體"/>
        </w:rPr>
      </w:pPr>
      <w:r>
        <w:rPr>
          <w:rFonts w:ascii="微軟正黑體" w:eastAsia="微軟正黑體" w:hAnsi="微軟正黑體" w:hint="eastAsia"/>
        </w:rPr>
        <w:t>市場風險的衡量指標有:利率敏感係數、匯率敏感係數、利率波動的敏感係數。</w:t>
      </w:r>
    </w:p>
    <w:p w:rsidR="001E225C" w:rsidRDefault="001E225C" w:rsidP="001E225C">
      <w:pPr>
        <w:adjustRightInd w:val="0"/>
        <w:snapToGrid w:val="0"/>
        <w:rPr>
          <w:rFonts w:ascii="微軟正黑體" w:eastAsia="微軟正黑體" w:hAnsi="微軟正黑體"/>
        </w:rPr>
      </w:pPr>
    </w:p>
    <w:p w:rsidR="001E225C" w:rsidRDefault="001E225C" w:rsidP="001E225C">
      <w:pPr>
        <w:adjustRightInd w:val="0"/>
        <w:snapToGrid w:val="0"/>
        <w:rPr>
          <w:rFonts w:ascii="微軟正黑體" w:eastAsia="微軟正黑體" w:hAnsi="微軟正黑體"/>
        </w:rPr>
      </w:pPr>
      <w:r>
        <w:rPr>
          <w:rFonts w:ascii="微軟正黑體" w:eastAsia="微軟正黑體" w:hAnsi="微軟正黑體" w:hint="eastAsia"/>
        </w:rPr>
        <w:t>企業金融業務與信用評等制度</w:t>
      </w:r>
    </w:p>
    <w:p w:rsidR="001E225C" w:rsidRDefault="00067020" w:rsidP="00067020">
      <w:pPr>
        <w:pStyle w:val="a3"/>
        <w:numPr>
          <w:ilvl w:val="0"/>
          <w:numId w:val="4"/>
        </w:numPr>
        <w:adjustRightInd w:val="0"/>
        <w:snapToGrid w:val="0"/>
        <w:ind w:leftChars="0" w:left="709" w:hanging="229"/>
        <w:rPr>
          <w:rFonts w:ascii="微軟正黑體" w:eastAsia="微軟正黑體" w:hAnsi="微軟正黑體"/>
        </w:rPr>
      </w:pPr>
      <w:r>
        <w:rPr>
          <w:rFonts w:ascii="微軟正黑體" w:eastAsia="微軟正黑體" w:hAnsi="微軟正黑體" w:hint="eastAsia"/>
        </w:rPr>
        <w:t>銀行的自有資本對風險性資產的比率越高時，其承擔的資本風險將越小。</w:t>
      </w:r>
    </w:p>
    <w:p w:rsidR="00067020" w:rsidRDefault="00067020" w:rsidP="00067020">
      <w:pPr>
        <w:pStyle w:val="a3"/>
        <w:numPr>
          <w:ilvl w:val="0"/>
          <w:numId w:val="4"/>
        </w:numPr>
        <w:adjustRightInd w:val="0"/>
        <w:snapToGrid w:val="0"/>
        <w:ind w:leftChars="0" w:left="709" w:hanging="229"/>
        <w:rPr>
          <w:rFonts w:ascii="微軟正黑體" w:eastAsia="微軟正黑體" w:hAnsi="微軟正黑體"/>
        </w:rPr>
      </w:pPr>
      <w:r>
        <w:rPr>
          <w:rFonts w:ascii="微軟正黑體" w:eastAsia="微軟正黑體" w:hAnsi="微軟正黑體" w:hint="eastAsia"/>
        </w:rPr>
        <w:t>企業發行新債務憑證時，儘管金融環境不變，仍被要求比較高的息票利率，意謂該企業的信用等級降低。</w:t>
      </w:r>
    </w:p>
    <w:p w:rsidR="00067020" w:rsidRDefault="00067020" w:rsidP="00067020">
      <w:pPr>
        <w:pStyle w:val="a3"/>
        <w:numPr>
          <w:ilvl w:val="0"/>
          <w:numId w:val="4"/>
        </w:numPr>
        <w:adjustRightInd w:val="0"/>
        <w:snapToGrid w:val="0"/>
        <w:ind w:leftChars="0" w:left="709" w:hanging="229"/>
        <w:rPr>
          <w:rFonts w:ascii="微軟正黑體" w:eastAsia="微軟正黑體" w:hAnsi="微軟正黑體"/>
        </w:rPr>
      </w:pPr>
      <w:r>
        <w:rPr>
          <w:rFonts w:ascii="微軟正黑體" w:eastAsia="微軟正黑體" w:hAnsi="微軟正黑體" w:hint="eastAsia"/>
        </w:rPr>
        <w:t>企業跨足陌生產業，不但不能風散經營風險，反而增加經營風險。</w:t>
      </w:r>
    </w:p>
    <w:p w:rsidR="00067020" w:rsidRDefault="00067020" w:rsidP="00067020">
      <w:pPr>
        <w:pStyle w:val="a3"/>
        <w:numPr>
          <w:ilvl w:val="0"/>
          <w:numId w:val="4"/>
        </w:numPr>
        <w:adjustRightInd w:val="0"/>
        <w:snapToGrid w:val="0"/>
        <w:ind w:leftChars="0" w:left="709" w:hanging="229"/>
        <w:rPr>
          <w:rFonts w:ascii="微軟正黑體" w:eastAsia="微軟正黑體" w:hAnsi="微軟正黑體"/>
        </w:rPr>
      </w:pPr>
      <w:r>
        <w:rPr>
          <w:rFonts w:ascii="微軟正黑體" w:eastAsia="微軟正黑體" w:hAnsi="微軟正黑體" w:hint="eastAsia"/>
        </w:rPr>
        <w:t>買方業者基於資金調度考量，進口貨物時開發「遠期信用狀」取代「即期信用狀」。</w:t>
      </w:r>
    </w:p>
    <w:p w:rsidR="00067020" w:rsidRDefault="00067020" w:rsidP="00067020">
      <w:pPr>
        <w:pStyle w:val="a3"/>
        <w:numPr>
          <w:ilvl w:val="0"/>
          <w:numId w:val="4"/>
        </w:numPr>
        <w:adjustRightInd w:val="0"/>
        <w:snapToGrid w:val="0"/>
        <w:ind w:leftChars="0" w:left="709" w:hanging="229"/>
        <w:rPr>
          <w:rFonts w:ascii="微軟正黑體" w:eastAsia="微軟正黑體" w:hAnsi="微軟正黑體"/>
        </w:rPr>
      </w:pPr>
      <w:r>
        <w:rPr>
          <w:rFonts w:ascii="微軟正黑體" w:eastAsia="微軟正黑體" w:hAnsi="微軟正黑體" w:hint="eastAsia"/>
        </w:rPr>
        <w:t>所謂「應收帳款承購」係企業將出貨所收取之應收帳款債權，轉讓給銀行。透過應收帳款承購，可將信用風險轉嫁給銀行籌單，減少逾期帳款損失，提高公司資金周轉能力。</w:t>
      </w:r>
    </w:p>
    <w:p w:rsidR="00067020" w:rsidRDefault="00067020" w:rsidP="00067020">
      <w:pPr>
        <w:pStyle w:val="a3"/>
        <w:numPr>
          <w:ilvl w:val="0"/>
          <w:numId w:val="4"/>
        </w:numPr>
        <w:adjustRightInd w:val="0"/>
        <w:snapToGrid w:val="0"/>
        <w:ind w:leftChars="0" w:left="709" w:hanging="229"/>
        <w:rPr>
          <w:rFonts w:ascii="微軟正黑體" w:eastAsia="微軟正黑體" w:hAnsi="微軟正黑體"/>
        </w:rPr>
      </w:pPr>
      <w:r>
        <w:rPr>
          <w:rFonts w:ascii="微軟正黑體" w:eastAsia="微軟正黑體" w:hAnsi="微軟正黑體" w:hint="eastAsia"/>
        </w:rPr>
        <w:t>銀行與客戶簽訂承諾協議書，對於額度範圍內尚未動用部分，應收取「承諾費用」。</w:t>
      </w:r>
    </w:p>
    <w:p w:rsidR="00067020" w:rsidRDefault="00067020" w:rsidP="00067020">
      <w:pPr>
        <w:pStyle w:val="a3"/>
        <w:numPr>
          <w:ilvl w:val="0"/>
          <w:numId w:val="4"/>
        </w:numPr>
        <w:adjustRightInd w:val="0"/>
        <w:snapToGrid w:val="0"/>
        <w:ind w:leftChars="0" w:left="709" w:hanging="229"/>
        <w:rPr>
          <w:rFonts w:ascii="微軟正黑體" w:eastAsia="微軟正黑體" w:hAnsi="微軟正黑體"/>
        </w:rPr>
      </w:pPr>
      <w:r>
        <w:rPr>
          <w:rFonts w:ascii="微軟正黑體" w:eastAsia="微軟正黑體" w:hAnsi="微軟正黑體" w:hint="eastAsia"/>
        </w:rPr>
        <w:t>所謂本國銀行以「內保外貸」方式承作陸資企業之運作模式，係指借款企業需提供外資銀行開立的擔保信用狀，以擔保借款人履行合約之義務或責任。</w:t>
      </w:r>
    </w:p>
    <w:p w:rsidR="00067020" w:rsidRDefault="000D7920" w:rsidP="00067020">
      <w:pPr>
        <w:pStyle w:val="a3"/>
        <w:numPr>
          <w:ilvl w:val="0"/>
          <w:numId w:val="4"/>
        </w:numPr>
        <w:adjustRightInd w:val="0"/>
        <w:snapToGrid w:val="0"/>
        <w:ind w:leftChars="0" w:left="709" w:hanging="229"/>
        <w:rPr>
          <w:rFonts w:ascii="微軟正黑體" w:eastAsia="微軟正黑體" w:hAnsi="微軟正黑體"/>
        </w:rPr>
      </w:pPr>
      <w:r>
        <w:rPr>
          <w:rFonts w:ascii="微軟正黑體" w:eastAsia="微軟正黑體" w:hAnsi="微軟正黑體" w:hint="eastAsia"/>
        </w:rPr>
        <w:t>應付</w:t>
      </w:r>
      <w:r w:rsidR="00067020">
        <w:rPr>
          <w:rFonts w:ascii="微軟正黑體" w:eastAsia="微軟正黑體" w:hAnsi="微軟正黑體" w:hint="eastAsia"/>
        </w:rPr>
        <w:t>帳款週轉率越高，說明付款條款越不利</w:t>
      </w:r>
      <w:r w:rsidR="00645EB6">
        <w:rPr>
          <w:rFonts w:ascii="微軟正黑體" w:eastAsia="微軟正黑體" w:hAnsi="微軟正黑體" w:hint="eastAsia"/>
        </w:rPr>
        <w:t>，公司總是逼迫需要盡快付清欠款。</w:t>
      </w:r>
    </w:p>
    <w:p w:rsidR="00645EB6" w:rsidRDefault="00645EB6" w:rsidP="00067020">
      <w:pPr>
        <w:pStyle w:val="a3"/>
        <w:numPr>
          <w:ilvl w:val="0"/>
          <w:numId w:val="4"/>
        </w:numPr>
        <w:adjustRightInd w:val="0"/>
        <w:snapToGrid w:val="0"/>
        <w:ind w:leftChars="0" w:left="709" w:hanging="229"/>
        <w:rPr>
          <w:rFonts w:ascii="微軟正黑體" w:eastAsia="微軟正黑體" w:hAnsi="微軟正黑體"/>
        </w:rPr>
      </w:pPr>
      <w:r>
        <w:rPr>
          <w:rFonts w:ascii="微軟正黑體" w:eastAsia="微軟正黑體" w:hAnsi="微軟正黑體" w:hint="eastAsia"/>
        </w:rPr>
        <w:t>有利的財務槓桿，淨利會增加，淨值報酬率將上升。</w:t>
      </w:r>
    </w:p>
    <w:p w:rsidR="00645EB6" w:rsidRDefault="00645EB6" w:rsidP="00067020">
      <w:pPr>
        <w:pStyle w:val="a3"/>
        <w:numPr>
          <w:ilvl w:val="0"/>
          <w:numId w:val="4"/>
        </w:numPr>
        <w:adjustRightInd w:val="0"/>
        <w:snapToGrid w:val="0"/>
        <w:ind w:leftChars="0" w:left="709" w:hanging="229"/>
        <w:rPr>
          <w:rFonts w:ascii="微軟正黑體" w:eastAsia="微軟正黑體" w:hAnsi="微軟正黑體"/>
        </w:rPr>
      </w:pPr>
      <w:r>
        <w:rPr>
          <w:rFonts w:ascii="微軟正黑體" w:eastAsia="微軟正黑體" w:hAnsi="微軟正黑體" w:hint="eastAsia"/>
        </w:rPr>
        <w:t>企業之存貨周轉率越高，反映其庫存管理能力越好。</w:t>
      </w:r>
    </w:p>
    <w:p w:rsidR="00645EB6" w:rsidRDefault="00645EB6" w:rsidP="00067020">
      <w:pPr>
        <w:pStyle w:val="a3"/>
        <w:numPr>
          <w:ilvl w:val="0"/>
          <w:numId w:val="4"/>
        </w:numPr>
        <w:adjustRightInd w:val="0"/>
        <w:snapToGrid w:val="0"/>
        <w:ind w:leftChars="0" w:left="709" w:hanging="229"/>
        <w:rPr>
          <w:rFonts w:ascii="微軟正黑體" w:eastAsia="微軟正黑體" w:hAnsi="微軟正黑體"/>
        </w:rPr>
      </w:pPr>
      <w:r>
        <w:rPr>
          <w:rFonts w:ascii="微軟正黑體" w:eastAsia="微軟正黑體" w:hAnsi="微軟正黑體" w:hint="eastAsia"/>
        </w:rPr>
        <w:t>有關授信案件之定價原則，應考慮下列風險貼水因子:</w:t>
      </w:r>
    </w:p>
    <w:p w:rsidR="00645EB6" w:rsidRDefault="008B0951" w:rsidP="00645EB6">
      <w:pPr>
        <w:pStyle w:val="a3"/>
        <w:numPr>
          <w:ilvl w:val="1"/>
          <w:numId w:val="4"/>
        </w:numPr>
        <w:adjustRightInd w:val="0"/>
        <w:snapToGrid w:val="0"/>
        <w:ind w:leftChars="0"/>
        <w:rPr>
          <w:rFonts w:ascii="微軟正黑體" w:eastAsia="微軟正黑體" w:hAnsi="微軟正黑體"/>
        </w:rPr>
      </w:pPr>
      <w:r>
        <w:rPr>
          <w:rFonts w:ascii="微軟正黑體" w:eastAsia="微軟正黑體" w:hAnsi="微軟正黑體" w:hint="eastAsia"/>
        </w:rPr>
        <w:t>信用等級加減碼</w:t>
      </w:r>
    </w:p>
    <w:p w:rsidR="008B0951" w:rsidRDefault="008B0951" w:rsidP="00645EB6">
      <w:pPr>
        <w:pStyle w:val="a3"/>
        <w:numPr>
          <w:ilvl w:val="1"/>
          <w:numId w:val="4"/>
        </w:numPr>
        <w:adjustRightInd w:val="0"/>
        <w:snapToGrid w:val="0"/>
        <w:ind w:leftChars="0"/>
        <w:rPr>
          <w:rFonts w:ascii="微軟正黑體" w:eastAsia="微軟正黑體" w:hAnsi="微軟正黑體"/>
        </w:rPr>
      </w:pPr>
      <w:r>
        <w:rPr>
          <w:rFonts w:ascii="微軟正黑體" w:eastAsia="微軟正黑體" w:hAnsi="微軟正黑體" w:hint="eastAsia"/>
        </w:rPr>
        <w:t>借款期別</w:t>
      </w:r>
    </w:p>
    <w:p w:rsidR="008B0951" w:rsidRDefault="008B0951" w:rsidP="00645EB6">
      <w:pPr>
        <w:pStyle w:val="a3"/>
        <w:numPr>
          <w:ilvl w:val="1"/>
          <w:numId w:val="4"/>
        </w:numPr>
        <w:adjustRightInd w:val="0"/>
        <w:snapToGrid w:val="0"/>
        <w:ind w:leftChars="0"/>
        <w:rPr>
          <w:rFonts w:ascii="微軟正黑體" w:eastAsia="微軟正黑體" w:hAnsi="微軟正黑體"/>
        </w:rPr>
      </w:pPr>
      <w:r>
        <w:rPr>
          <w:rFonts w:ascii="微軟正黑體" w:eastAsia="微軟正黑體" w:hAnsi="微軟正黑體" w:hint="eastAsia"/>
        </w:rPr>
        <w:t>擔保品成數或比例</w:t>
      </w:r>
    </w:p>
    <w:p w:rsidR="008B0951" w:rsidRDefault="008B0951" w:rsidP="00645EB6">
      <w:pPr>
        <w:pStyle w:val="a3"/>
        <w:numPr>
          <w:ilvl w:val="1"/>
          <w:numId w:val="4"/>
        </w:numPr>
        <w:adjustRightInd w:val="0"/>
        <w:snapToGrid w:val="0"/>
        <w:ind w:leftChars="0"/>
        <w:rPr>
          <w:rFonts w:ascii="微軟正黑體" w:eastAsia="微軟正黑體" w:hAnsi="微軟正黑體"/>
        </w:rPr>
      </w:pPr>
      <w:r>
        <w:rPr>
          <w:rFonts w:ascii="微軟正黑體" w:eastAsia="微軟正黑體" w:hAnsi="微軟正黑體" w:hint="eastAsia"/>
        </w:rPr>
        <w:t>授信展望加減碼</w:t>
      </w:r>
    </w:p>
    <w:p w:rsidR="008B0951" w:rsidRDefault="008B0951" w:rsidP="008B0951">
      <w:pPr>
        <w:pStyle w:val="a3"/>
        <w:numPr>
          <w:ilvl w:val="0"/>
          <w:numId w:val="4"/>
        </w:numPr>
        <w:adjustRightInd w:val="0"/>
        <w:snapToGrid w:val="0"/>
        <w:ind w:leftChars="0"/>
        <w:rPr>
          <w:rFonts w:ascii="微軟正黑體" w:eastAsia="微軟正黑體" w:hAnsi="微軟正黑體"/>
        </w:rPr>
      </w:pPr>
      <w:r>
        <w:rPr>
          <w:rFonts w:ascii="微軟正黑體" w:eastAsia="微軟正黑體" w:hAnsi="微軟正黑體" w:hint="eastAsia"/>
        </w:rPr>
        <w:t>經常性融資分下列三類:</w:t>
      </w:r>
    </w:p>
    <w:p w:rsidR="008B0951" w:rsidRDefault="008B0951" w:rsidP="008B0951">
      <w:pPr>
        <w:pStyle w:val="a3"/>
        <w:numPr>
          <w:ilvl w:val="1"/>
          <w:numId w:val="4"/>
        </w:numPr>
        <w:adjustRightInd w:val="0"/>
        <w:snapToGrid w:val="0"/>
        <w:ind w:leftChars="0"/>
        <w:rPr>
          <w:rFonts w:ascii="微軟正黑體" w:eastAsia="微軟正黑體" w:hAnsi="微軟正黑體"/>
        </w:rPr>
      </w:pPr>
      <w:r>
        <w:rPr>
          <w:rFonts w:ascii="微軟正黑體" w:eastAsia="微軟正黑體" w:hAnsi="微軟正黑體" w:hint="eastAsia"/>
        </w:rPr>
        <w:t>票據融通</w:t>
      </w:r>
    </w:p>
    <w:p w:rsidR="008B0951" w:rsidRDefault="008B0951" w:rsidP="008B0951">
      <w:pPr>
        <w:pStyle w:val="a3"/>
        <w:numPr>
          <w:ilvl w:val="1"/>
          <w:numId w:val="4"/>
        </w:numPr>
        <w:adjustRightInd w:val="0"/>
        <w:snapToGrid w:val="0"/>
        <w:ind w:leftChars="0"/>
        <w:rPr>
          <w:rFonts w:ascii="微軟正黑體" w:eastAsia="微軟正黑體" w:hAnsi="微軟正黑體"/>
        </w:rPr>
      </w:pPr>
      <w:r>
        <w:rPr>
          <w:rFonts w:ascii="微軟正黑體" w:eastAsia="微軟正黑體" w:hAnsi="微軟正黑體" w:hint="eastAsia"/>
        </w:rPr>
        <w:t>短期放款</w:t>
      </w:r>
    </w:p>
    <w:p w:rsidR="008B0951" w:rsidRDefault="008B0951" w:rsidP="008B0951">
      <w:pPr>
        <w:pStyle w:val="a3"/>
        <w:numPr>
          <w:ilvl w:val="1"/>
          <w:numId w:val="4"/>
        </w:numPr>
        <w:adjustRightInd w:val="0"/>
        <w:snapToGrid w:val="0"/>
        <w:ind w:leftChars="0"/>
        <w:rPr>
          <w:rFonts w:ascii="微軟正黑體" w:eastAsia="微軟正黑體" w:hAnsi="微軟正黑體"/>
        </w:rPr>
      </w:pPr>
      <w:r>
        <w:rPr>
          <w:rFonts w:ascii="微軟正黑體" w:eastAsia="微軟正黑體" w:hAnsi="微軟正黑體" w:hint="eastAsia"/>
        </w:rPr>
        <w:t>透支</w:t>
      </w:r>
    </w:p>
    <w:p w:rsidR="008B0951" w:rsidRDefault="008B0951" w:rsidP="008B0951">
      <w:pPr>
        <w:pStyle w:val="a3"/>
        <w:numPr>
          <w:ilvl w:val="0"/>
          <w:numId w:val="4"/>
        </w:numPr>
        <w:adjustRightInd w:val="0"/>
        <w:snapToGrid w:val="0"/>
        <w:ind w:leftChars="0"/>
        <w:rPr>
          <w:rFonts w:ascii="微軟正黑體" w:eastAsia="微軟正黑體" w:hAnsi="微軟正黑體"/>
        </w:rPr>
      </w:pPr>
      <w:r>
        <w:rPr>
          <w:rFonts w:ascii="微軟正黑體" w:eastAsia="微軟正黑體" w:hAnsi="微軟正黑體" w:hint="eastAsia"/>
        </w:rPr>
        <w:t>經常性融資之還款來源仰賴營業收入。</w:t>
      </w:r>
    </w:p>
    <w:p w:rsidR="008B0951" w:rsidRDefault="008B0951" w:rsidP="008B0951">
      <w:pPr>
        <w:pStyle w:val="a3"/>
        <w:numPr>
          <w:ilvl w:val="0"/>
          <w:numId w:val="4"/>
        </w:numPr>
        <w:adjustRightInd w:val="0"/>
        <w:snapToGrid w:val="0"/>
        <w:ind w:leftChars="0"/>
        <w:rPr>
          <w:rFonts w:ascii="微軟正黑體" w:eastAsia="微軟正黑體" w:hAnsi="微軟正黑體"/>
        </w:rPr>
      </w:pPr>
      <w:r>
        <w:rPr>
          <w:rFonts w:ascii="微軟正黑體" w:eastAsia="微軟正黑體" w:hAnsi="微軟正黑體" w:hint="eastAsia"/>
        </w:rPr>
        <w:t>銀行發行票券或債券商品，迄今仍流通在外的餘額，係稱「金融負債」。</w:t>
      </w:r>
    </w:p>
    <w:p w:rsidR="00236ED6" w:rsidRDefault="00236ED6" w:rsidP="00236ED6">
      <w:pPr>
        <w:adjustRightInd w:val="0"/>
        <w:snapToGrid w:val="0"/>
        <w:rPr>
          <w:rFonts w:ascii="微軟正黑體" w:eastAsia="微軟正黑體" w:hAnsi="微軟正黑體"/>
        </w:rPr>
      </w:pPr>
    </w:p>
    <w:p w:rsidR="00236ED6" w:rsidRDefault="00236ED6" w:rsidP="00236ED6">
      <w:pPr>
        <w:adjustRightInd w:val="0"/>
        <w:snapToGrid w:val="0"/>
        <w:rPr>
          <w:rFonts w:ascii="微軟正黑體" w:eastAsia="微軟正黑體" w:hAnsi="微軟正黑體"/>
        </w:rPr>
      </w:pPr>
      <w:r>
        <w:rPr>
          <w:rFonts w:ascii="微軟正黑體" w:eastAsia="微軟正黑體" w:hAnsi="微軟正黑體" w:hint="eastAsia"/>
        </w:rPr>
        <w:t>消費金融業務與信用評等制度</w:t>
      </w:r>
    </w:p>
    <w:p w:rsidR="00236ED6" w:rsidRDefault="00236ED6" w:rsidP="00236ED6">
      <w:pPr>
        <w:pStyle w:val="a3"/>
        <w:numPr>
          <w:ilvl w:val="0"/>
          <w:numId w:val="5"/>
        </w:numPr>
        <w:adjustRightInd w:val="0"/>
        <w:snapToGrid w:val="0"/>
        <w:ind w:leftChars="0" w:left="426" w:hanging="142"/>
        <w:rPr>
          <w:rFonts w:ascii="微軟正黑體" w:eastAsia="微軟正黑體" w:hAnsi="微軟正黑體"/>
        </w:rPr>
      </w:pPr>
      <w:r>
        <w:rPr>
          <w:rFonts w:ascii="微軟正黑體" w:eastAsia="微軟正黑體" w:hAnsi="微軟正黑體" w:hint="eastAsia"/>
        </w:rPr>
        <w:t>逾期放款，指積欠本金或利息超過清償期三個月，或雖未超過三個月，但已向主、債務人訴追或處分擔保品者。</w:t>
      </w:r>
    </w:p>
    <w:p w:rsidR="00236ED6" w:rsidRDefault="00236ED6" w:rsidP="00236ED6">
      <w:pPr>
        <w:pStyle w:val="a3"/>
        <w:numPr>
          <w:ilvl w:val="0"/>
          <w:numId w:val="5"/>
        </w:numPr>
        <w:adjustRightInd w:val="0"/>
        <w:snapToGrid w:val="0"/>
        <w:ind w:leftChars="0" w:left="426" w:hanging="142"/>
        <w:rPr>
          <w:rFonts w:ascii="微軟正黑體" w:eastAsia="微軟正黑體" w:hAnsi="微軟正黑體"/>
        </w:rPr>
      </w:pPr>
      <w:r>
        <w:rPr>
          <w:rFonts w:ascii="微軟正黑體" w:eastAsia="微軟正黑體" w:hAnsi="微軟正黑體" w:hint="eastAsia"/>
        </w:rPr>
        <w:t>金融資產是一種廣義的無形資產，是一種索取實務資產的無形的權利，並能為持有者帶來貨幣收入流量的資產。金融資產包含銀行存款、債券、股票以及衍生金融工具等。</w:t>
      </w:r>
    </w:p>
    <w:p w:rsidR="00236ED6" w:rsidRDefault="00236ED6" w:rsidP="00236ED6">
      <w:pPr>
        <w:pStyle w:val="a3"/>
        <w:numPr>
          <w:ilvl w:val="0"/>
          <w:numId w:val="5"/>
        </w:numPr>
        <w:adjustRightInd w:val="0"/>
        <w:snapToGrid w:val="0"/>
        <w:ind w:leftChars="0" w:left="426" w:hanging="142"/>
        <w:rPr>
          <w:rFonts w:ascii="微軟正黑體" w:eastAsia="微軟正黑體" w:hAnsi="微軟正黑體"/>
        </w:rPr>
      </w:pPr>
      <w:r>
        <w:rPr>
          <w:rFonts w:ascii="微軟正黑體" w:eastAsia="微軟正黑體" w:hAnsi="微軟正黑體" w:hint="eastAsia"/>
        </w:rPr>
        <w:t>發卡銀行辦理信用卡業務，主要三種收入來源，包含:利息收入、手續費收入、向特約商店收取折扣費用。</w:t>
      </w:r>
    </w:p>
    <w:p w:rsidR="00236ED6" w:rsidRDefault="00236ED6" w:rsidP="00236ED6">
      <w:pPr>
        <w:pStyle w:val="a3"/>
        <w:numPr>
          <w:ilvl w:val="0"/>
          <w:numId w:val="5"/>
        </w:numPr>
        <w:adjustRightInd w:val="0"/>
        <w:snapToGrid w:val="0"/>
        <w:ind w:leftChars="0" w:left="426" w:hanging="142"/>
        <w:rPr>
          <w:rFonts w:ascii="微軟正黑體" w:eastAsia="微軟正黑體" w:hAnsi="微軟正黑體"/>
        </w:rPr>
      </w:pPr>
      <w:r>
        <w:rPr>
          <w:rFonts w:ascii="微軟正黑體" w:eastAsia="微軟正黑體" w:hAnsi="微軟正黑體" w:hint="eastAsia"/>
        </w:rPr>
        <w:t>房屋淨值係指房屋估值減去房屋債務餘額。</w:t>
      </w:r>
    </w:p>
    <w:p w:rsidR="00236ED6" w:rsidRDefault="00236ED6" w:rsidP="00236ED6">
      <w:pPr>
        <w:pStyle w:val="a3"/>
        <w:numPr>
          <w:ilvl w:val="0"/>
          <w:numId w:val="5"/>
        </w:numPr>
        <w:adjustRightInd w:val="0"/>
        <w:snapToGrid w:val="0"/>
        <w:ind w:leftChars="0" w:left="426" w:hanging="142"/>
        <w:rPr>
          <w:rFonts w:ascii="微軟正黑體" w:eastAsia="微軟正黑體" w:hAnsi="微軟正黑體"/>
        </w:rPr>
      </w:pPr>
      <w:r>
        <w:rPr>
          <w:rFonts w:ascii="微軟正黑體" w:eastAsia="微軟正黑體" w:hAnsi="微軟正黑體" w:hint="eastAsia"/>
        </w:rPr>
        <w:t>全職學生申請現金卡以2家發卡機構為限。</w:t>
      </w:r>
    </w:p>
    <w:p w:rsidR="00236ED6" w:rsidRDefault="00236ED6" w:rsidP="00236ED6">
      <w:pPr>
        <w:pStyle w:val="a3"/>
        <w:numPr>
          <w:ilvl w:val="0"/>
          <w:numId w:val="5"/>
        </w:numPr>
        <w:adjustRightInd w:val="0"/>
        <w:snapToGrid w:val="0"/>
        <w:ind w:leftChars="0" w:left="426" w:hanging="142"/>
        <w:rPr>
          <w:rFonts w:ascii="微軟正黑體" w:eastAsia="微軟正黑體" w:hAnsi="微軟正黑體"/>
        </w:rPr>
      </w:pPr>
      <w:r>
        <w:rPr>
          <w:rFonts w:ascii="微軟正黑體" w:eastAsia="微軟正黑體" w:hAnsi="微軟正黑體" w:hint="eastAsia"/>
        </w:rPr>
        <w:t>建築物投保火險金額以保障建物，投保火險金額以建物之重置成本為宜。</w:t>
      </w:r>
    </w:p>
    <w:p w:rsidR="00236ED6" w:rsidRDefault="00236ED6" w:rsidP="00236ED6">
      <w:pPr>
        <w:pStyle w:val="a3"/>
        <w:numPr>
          <w:ilvl w:val="0"/>
          <w:numId w:val="5"/>
        </w:numPr>
        <w:adjustRightInd w:val="0"/>
        <w:snapToGrid w:val="0"/>
        <w:ind w:leftChars="0" w:left="426" w:hanging="142"/>
        <w:rPr>
          <w:rFonts w:ascii="微軟正黑體" w:eastAsia="微軟正黑體" w:hAnsi="微軟正黑體"/>
        </w:rPr>
      </w:pPr>
      <w:r>
        <w:rPr>
          <w:rFonts w:ascii="微軟正黑體" w:eastAsia="微軟正黑體" w:hAnsi="微軟正黑體" w:hint="eastAsia"/>
        </w:rPr>
        <w:t>消費者貸款如係撥入借款人以外之第三者帳戶時，基於保障借款人的權益，應先取得借款人之同意書。</w:t>
      </w:r>
    </w:p>
    <w:p w:rsidR="00236ED6" w:rsidRDefault="00236ED6" w:rsidP="00236ED6">
      <w:pPr>
        <w:pStyle w:val="a3"/>
        <w:numPr>
          <w:ilvl w:val="0"/>
          <w:numId w:val="5"/>
        </w:numPr>
        <w:adjustRightInd w:val="0"/>
        <w:snapToGrid w:val="0"/>
        <w:ind w:leftChars="0" w:left="426" w:hanging="142"/>
        <w:rPr>
          <w:rFonts w:ascii="微軟正黑體" w:eastAsia="微軟正黑體" w:hAnsi="微軟正黑體"/>
        </w:rPr>
      </w:pPr>
      <w:r>
        <w:rPr>
          <w:rFonts w:ascii="微軟正黑體" w:eastAsia="微軟正黑體" w:hAnsi="微軟正黑體" w:hint="eastAsia"/>
        </w:rPr>
        <w:t>有關影響交易性金融業務之因素有競爭壓力、成本考量、客戶要求多功能及全方位的產品解決方案</w:t>
      </w:r>
      <w:r w:rsidR="00323E71">
        <w:rPr>
          <w:rFonts w:ascii="微軟正黑體" w:eastAsia="微軟正黑體" w:hAnsi="微軟正黑體" w:hint="eastAsia"/>
        </w:rPr>
        <w:t>等。</w:t>
      </w:r>
    </w:p>
    <w:p w:rsidR="00323E71" w:rsidRDefault="00323E71" w:rsidP="00236ED6">
      <w:pPr>
        <w:pStyle w:val="a3"/>
        <w:numPr>
          <w:ilvl w:val="0"/>
          <w:numId w:val="5"/>
        </w:numPr>
        <w:adjustRightInd w:val="0"/>
        <w:snapToGrid w:val="0"/>
        <w:ind w:leftChars="0" w:left="426" w:hanging="142"/>
        <w:rPr>
          <w:rFonts w:ascii="微軟正黑體" w:eastAsia="微軟正黑體" w:hAnsi="微軟正黑體"/>
        </w:rPr>
      </w:pPr>
      <w:r>
        <w:rPr>
          <w:rFonts w:ascii="微軟正黑體" w:eastAsia="微軟正黑體" w:hAnsi="微軟正黑體" w:hint="eastAsia"/>
        </w:rPr>
        <w:t>購置住宅貸款之借款借款客戶要降低還本付息的壓力時，</w:t>
      </w:r>
      <w:r w:rsidR="007A4294">
        <w:rPr>
          <w:rFonts w:ascii="微軟正黑體" w:eastAsia="微軟正黑體" w:hAnsi="微軟正黑體" w:hint="eastAsia"/>
        </w:rPr>
        <w:t>可以在最初幾年申請「寬限期」，辦理付息不還本。</w:t>
      </w:r>
    </w:p>
    <w:p w:rsidR="007A4294" w:rsidRDefault="007A4294" w:rsidP="00236ED6">
      <w:pPr>
        <w:pStyle w:val="a3"/>
        <w:numPr>
          <w:ilvl w:val="0"/>
          <w:numId w:val="5"/>
        </w:numPr>
        <w:adjustRightInd w:val="0"/>
        <w:snapToGrid w:val="0"/>
        <w:ind w:leftChars="0" w:left="426" w:hanging="142"/>
        <w:rPr>
          <w:rFonts w:ascii="微軟正黑體" w:eastAsia="微軟正黑體" w:hAnsi="微軟正黑體"/>
        </w:rPr>
      </w:pPr>
      <w:r>
        <w:rPr>
          <w:rFonts w:ascii="微軟正黑體" w:eastAsia="微軟正黑體" w:hAnsi="微軟正黑體" w:hint="eastAsia"/>
        </w:rPr>
        <w:t>消費性放款之信用評分制度，系統量化評分後，可在執行額外人為補助之加減分異動。</w:t>
      </w:r>
    </w:p>
    <w:p w:rsidR="007A4294" w:rsidRDefault="007A4294" w:rsidP="00236ED6">
      <w:pPr>
        <w:pStyle w:val="a3"/>
        <w:numPr>
          <w:ilvl w:val="0"/>
          <w:numId w:val="5"/>
        </w:numPr>
        <w:adjustRightInd w:val="0"/>
        <w:snapToGrid w:val="0"/>
        <w:ind w:leftChars="0" w:left="426" w:hanging="142"/>
        <w:rPr>
          <w:rFonts w:ascii="微軟正黑體" w:eastAsia="微軟正黑體" w:hAnsi="微軟正黑體"/>
        </w:rPr>
      </w:pPr>
      <w:r>
        <w:rPr>
          <w:rFonts w:ascii="微軟正黑體" w:eastAsia="微軟正黑體" w:hAnsi="微軟正黑體" w:hint="eastAsia"/>
        </w:rPr>
        <w:t>關</w:t>
      </w:r>
      <w:r w:rsidR="00CC3E0D">
        <w:rPr>
          <w:rFonts w:ascii="微軟正黑體" w:eastAsia="微軟正黑體" w:hAnsi="微軟正黑體" w:hint="eastAsia"/>
        </w:rPr>
        <w:t>於房屋貸款之本息平均每月攤還，每月償還總額固定，但越往後本金償還的部分越多，代表前面還的本金越少，則利息的部份越多。</w:t>
      </w:r>
    </w:p>
    <w:p w:rsidR="00CC3E0D" w:rsidRDefault="00CC3E0D" w:rsidP="00236ED6">
      <w:pPr>
        <w:pStyle w:val="a3"/>
        <w:numPr>
          <w:ilvl w:val="0"/>
          <w:numId w:val="5"/>
        </w:numPr>
        <w:adjustRightInd w:val="0"/>
        <w:snapToGrid w:val="0"/>
        <w:ind w:leftChars="0" w:left="426" w:hanging="142"/>
        <w:rPr>
          <w:rFonts w:ascii="微軟正黑體" w:eastAsia="微軟正黑體" w:hAnsi="微軟正黑體"/>
        </w:rPr>
      </w:pPr>
      <w:r>
        <w:rPr>
          <w:rFonts w:ascii="微軟正黑體" w:eastAsia="微軟正黑體" w:hAnsi="微軟正黑體" w:hint="eastAsia"/>
        </w:rPr>
        <w:t>借款人投保火險、地震險，為保障債權，保單正本由銀行保留，借款人保留附本。</w:t>
      </w:r>
    </w:p>
    <w:p w:rsidR="00CC3E0D" w:rsidRDefault="00CC3E0D" w:rsidP="00CC3E0D">
      <w:pPr>
        <w:pStyle w:val="a3"/>
        <w:numPr>
          <w:ilvl w:val="0"/>
          <w:numId w:val="5"/>
        </w:numPr>
        <w:adjustRightInd w:val="0"/>
        <w:snapToGrid w:val="0"/>
        <w:ind w:leftChars="0" w:left="426" w:hanging="142"/>
        <w:rPr>
          <w:rFonts w:ascii="微軟正黑體" w:eastAsia="微軟正黑體" w:hAnsi="微軟正黑體"/>
        </w:rPr>
      </w:pPr>
      <w:r>
        <w:rPr>
          <w:rFonts w:ascii="微軟正黑體" w:eastAsia="微軟正黑體" w:hAnsi="微軟正黑體" w:hint="eastAsia"/>
        </w:rPr>
        <w:t>一般而言，購車後至遲一月內提出貸款申請者，可視為購車貸款。</w:t>
      </w:r>
    </w:p>
    <w:p w:rsidR="00CC3E0D" w:rsidRDefault="00CC3E0D" w:rsidP="00CC3E0D">
      <w:pPr>
        <w:adjustRightInd w:val="0"/>
        <w:snapToGrid w:val="0"/>
        <w:rPr>
          <w:rFonts w:ascii="微軟正黑體" w:eastAsia="微軟正黑體" w:hAnsi="微軟正黑體"/>
        </w:rPr>
      </w:pPr>
    </w:p>
    <w:p w:rsidR="00CC3E0D" w:rsidRDefault="00CC3E0D" w:rsidP="00CC3E0D">
      <w:pPr>
        <w:adjustRightInd w:val="0"/>
        <w:snapToGrid w:val="0"/>
        <w:rPr>
          <w:rFonts w:ascii="微軟正黑體" w:eastAsia="微軟正黑體" w:hAnsi="微軟正黑體"/>
        </w:rPr>
      </w:pPr>
      <w:r>
        <w:rPr>
          <w:rFonts w:ascii="微軟正黑體" w:eastAsia="微軟正黑體" w:hAnsi="微軟正黑體" w:hint="eastAsia"/>
        </w:rPr>
        <w:t>信用評等機構的信用評等制度</w:t>
      </w:r>
    </w:p>
    <w:p w:rsidR="00CC3E0D" w:rsidRDefault="00CC3E0D" w:rsidP="00CC3E0D">
      <w:pPr>
        <w:pStyle w:val="a3"/>
        <w:numPr>
          <w:ilvl w:val="0"/>
          <w:numId w:val="6"/>
        </w:numPr>
        <w:adjustRightInd w:val="0"/>
        <w:snapToGrid w:val="0"/>
        <w:ind w:leftChars="0" w:left="567" w:hanging="87"/>
        <w:rPr>
          <w:rFonts w:ascii="微軟正黑體" w:eastAsia="微軟正黑體" w:hAnsi="微軟正黑體"/>
        </w:rPr>
      </w:pPr>
      <w:r>
        <w:rPr>
          <w:rFonts w:ascii="微軟正黑體" w:eastAsia="微軟正黑體" w:hAnsi="微軟正黑體" w:hint="eastAsia"/>
        </w:rPr>
        <w:t>健全的性用評等制度，應具備下列特質:</w:t>
      </w:r>
    </w:p>
    <w:p w:rsidR="00CC3E0D" w:rsidRDefault="00CC3E0D" w:rsidP="00CC3E0D">
      <w:pPr>
        <w:pStyle w:val="a3"/>
        <w:numPr>
          <w:ilvl w:val="1"/>
          <w:numId w:val="6"/>
        </w:numPr>
        <w:adjustRightInd w:val="0"/>
        <w:snapToGrid w:val="0"/>
        <w:ind w:leftChars="0"/>
        <w:rPr>
          <w:rFonts w:ascii="微軟正黑體" w:eastAsia="微軟正黑體" w:hAnsi="微軟正黑體"/>
        </w:rPr>
      </w:pPr>
      <w:r>
        <w:rPr>
          <w:rFonts w:ascii="微軟正黑體" w:eastAsia="微軟正黑體" w:hAnsi="微軟正黑體" w:hint="eastAsia"/>
        </w:rPr>
        <w:t>能降低信用損失。</w:t>
      </w:r>
    </w:p>
    <w:p w:rsidR="00CC3E0D" w:rsidRDefault="00CC3E0D" w:rsidP="00CC3E0D">
      <w:pPr>
        <w:pStyle w:val="a3"/>
        <w:numPr>
          <w:ilvl w:val="1"/>
          <w:numId w:val="6"/>
        </w:numPr>
        <w:adjustRightInd w:val="0"/>
        <w:snapToGrid w:val="0"/>
        <w:ind w:leftChars="0"/>
        <w:rPr>
          <w:rFonts w:ascii="微軟正黑體" w:eastAsia="微軟正黑體" w:hAnsi="微軟正黑體"/>
        </w:rPr>
      </w:pPr>
      <w:r>
        <w:rPr>
          <w:rFonts w:ascii="微軟正黑體" w:eastAsia="微軟正黑體" w:hAnsi="微軟正黑體" w:hint="eastAsia"/>
        </w:rPr>
        <w:t>了解顧客之人口統計特質。</w:t>
      </w:r>
    </w:p>
    <w:p w:rsidR="00CC3E0D" w:rsidRDefault="00CC3E0D" w:rsidP="00CC3E0D">
      <w:pPr>
        <w:pStyle w:val="a3"/>
        <w:numPr>
          <w:ilvl w:val="1"/>
          <w:numId w:val="6"/>
        </w:numPr>
        <w:adjustRightInd w:val="0"/>
        <w:snapToGrid w:val="0"/>
        <w:ind w:leftChars="0"/>
        <w:rPr>
          <w:rFonts w:ascii="微軟正黑體" w:eastAsia="微軟正黑體" w:hAnsi="微軟正黑體"/>
        </w:rPr>
      </w:pPr>
      <w:r>
        <w:rPr>
          <w:rFonts w:ascii="微軟正黑體" w:eastAsia="微軟正黑體" w:hAnsi="微軟正黑體" w:hint="eastAsia"/>
        </w:rPr>
        <w:t>增進處理效率。</w:t>
      </w:r>
    </w:p>
    <w:p w:rsidR="00CC3E0D" w:rsidRDefault="00CC3E0D" w:rsidP="00CC3E0D">
      <w:pPr>
        <w:pStyle w:val="a3"/>
        <w:numPr>
          <w:ilvl w:val="1"/>
          <w:numId w:val="6"/>
        </w:numPr>
        <w:adjustRightInd w:val="0"/>
        <w:snapToGrid w:val="0"/>
        <w:ind w:leftChars="0"/>
        <w:rPr>
          <w:rFonts w:ascii="微軟正黑體" w:eastAsia="微軟正黑體" w:hAnsi="微軟正黑體"/>
        </w:rPr>
      </w:pPr>
      <w:r>
        <w:rPr>
          <w:rFonts w:ascii="微軟正黑體" w:eastAsia="微軟正黑體" w:hAnsi="微軟正黑體" w:hint="eastAsia"/>
        </w:rPr>
        <w:t>可隨時檢視信用評分標準與授信準則是否適當。</w:t>
      </w:r>
    </w:p>
    <w:p w:rsidR="00CC3E0D" w:rsidRDefault="00A50CC3" w:rsidP="00CC3E0D">
      <w:pPr>
        <w:pStyle w:val="a3"/>
        <w:numPr>
          <w:ilvl w:val="0"/>
          <w:numId w:val="6"/>
        </w:numPr>
        <w:adjustRightInd w:val="0"/>
        <w:snapToGrid w:val="0"/>
        <w:ind w:leftChars="0"/>
        <w:rPr>
          <w:rFonts w:ascii="微軟正黑體" w:eastAsia="微軟正黑體" w:hAnsi="微軟正黑體"/>
        </w:rPr>
      </w:pPr>
      <w:r>
        <w:rPr>
          <w:rFonts w:ascii="微軟正黑體" w:eastAsia="微軟正黑體" w:hAnsi="微軟正黑體" w:hint="eastAsia"/>
        </w:rPr>
        <w:t>台灣本土第</w:t>
      </w:r>
      <w:r w:rsidR="00CC3E0D">
        <w:rPr>
          <w:rFonts w:ascii="微軟正黑體" w:eastAsia="微軟正黑體" w:hAnsi="微軟正黑體" w:hint="eastAsia"/>
        </w:rPr>
        <w:t>一家信用評等公司為「中華信用評等公司」。</w:t>
      </w:r>
    </w:p>
    <w:p w:rsidR="00CC3E0D" w:rsidRDefault="00CC3E0D" w:rsidP="00CC3E0D">
      <w:pPr>
        <w:pStyle w:val="a3"/>
        <w:numPr>
          <w:ilvl w:val="0"/>
          <w:numId w:val="6"/>
        </w:numPr>
        <w:adjustRightInd w:val="0"/>
        <w:snapToGrid w:val="0"/>
        <w:ind w:leftChars="0"/>
        <w:rPr>
          <w:rFonts w:ascii="微軟正黑體" w:eastAsia="微軟正黑體" w:hAnsi="微軟正黑體"/>
        </w:rPr>
      </w:pPr>
      <w:r>
        <w:rPr>
          <w:rFonts w:ascii="微軟正黑體" w:eastAsia="微軟正黑體" w:hAnsi="微軟正黑體" w:hint="eastAsia"/>
        </w:rPr>
        <w:t>在定量分析時，公司債等級之決定因素，「利息保障倍數」最為重要。</w:t>
      </w:r>
    </w:p>
    <w:p w:rsidR="00CC3E0D" w:rsidRDefault="00CC3E0D" w:rsidP="00186EC0">
      <w:pPr>
        <w:pStyle w:val="a3"/>
        <w:numPr>
          <w:ilvl w:val="0"/>
          <w:numId w:val="6"/>
        </w:numPr>
        <w:adjustRightInd w:val="0"/>
        <w:snapToGrid w:val="0"/>
        <w:ind w:leftChars="0" w:left="709" w:hanging="229"/>
        <w:rPr>
          <w:rFonts w:ascii="微軟正黑體" w:eastAsia="微軟正黑體" w:hAnsi="微軟正黑體"/>
        </w:rPr>
      </w:pPr>
      <w:r>
        <w:rPr>
          <w:rFonts w:ascii="微軟正黑體" w:eastAsia="微軟正黑體" w:hAnsi="微軟正黑體" w:hint="eastAsia"/>
        </w:rPr>
        <w:t>標準</w:t>
      </w:r>
      <w:r w:rsidR="00186EC0">
        <w:rPr>
          <w:rFonts w:ascii="微軟正黑體" w:eastAsia="微軟正黑體" w:hAnsi="微軟正黑體" w:hint="eastAsia"/>
        </w:rPr>
        <w:t>普爾公司(S&amp;P)</w:t>
      </w:r>
      <w:r w:rsidR="00A50CC3">
        <w:rPr>
          <w:rFonts w:ascii="微軟正黑體" w:eastAsia="微軟正黑體" w:hAnsi="微軟正黑體" w:hint="eastAsia"/>
        </w:rPr>
        <w:t>平等的次序，依等級由高至</w:t>
      </w:r>
      <w:r w:rsidR="00186EC0">
        <w:rPr>
          <w:rFonts w:ascii="微軟正黑體" w:eastAsia="微軟正黑體" w:hAnsi="微軟正黑體" w:hint="eastAsia"/>
        </w:rPr>
        <w:t>低依序為AAA、AA、A、BBB、BB、B、CCC、CC、C、D，AA至CC各級均可在以「+」、「-」號細分，以顯示主要評級內的相對高低。評等等級在BBB以上(含)為投資等級(</w:t>
      </w:r>
      <w:r w:rsidR="00186EC0">
        <w:rPr>
          <w:rFonts w:ascii="微軟正黑體" w:eastAsia="微軟正黑體" w:hAnsi="微軟正黑體"/>
        </w:rPr>
        <w:t>investment grade</w:t>
      </w:r>
      <w:r w:rsidR="00186EC0">
        <w:rPr>
          <w:rFonts w:ascii="微軟正黑體" w:eastAsia="微軟正黑體" w:hAnsi="微軟正黑體" w:hint="eastAsia"/>
        </w:rPr>
        <w:t>)，以下則為投機等級(如垃圾債券)。</w:t>
      </w:r>
    </w:p>
    <w:p w:rsidR="00A50CC3" w:rsidRDefault="00A50CC3" w:rsidP="00CC3E0D">
      <w:pPr>
        <w:pStyle w:val="a3"/>
        <w:numPr>
          <w:ilvl w:val="0"/>
          <w:numId w:val="6"/>
        </w:numPr>
        <w:adjustRightInd w:val="0"/>
        <w:snapToGrid w:val="0"/>
        <w:ind w:leftChars="0"/>
        <w:rPr>
          <w:rFonts w:ascii="微軟正黑體" w:eastAsia="微軟正黑體" w:hAnsi="微軟正黑體"/>
        </w:rPr>
      </w:pPr>
      <w:r>
        <w:rPr>
          <w:rFonts w:ascii="微軟正黑體" w:eastAsia="微軟正黑體" w:hAnsi="微軟正黑體" w:hint="eastAsia"/>
        </w:rPr>
        <w:t>標準普爾信用評等機構之觀點，可以衡量受評公司之現金流量是否充足的指標有: (1)營業利益營業收入；(2)長短期借款總資產…等。</w:t>
      </w:r>
    </w:p>
    <w:p w:rsidR="00186EC0" w:rsidRDefault="00186EC0" w:rsidP="00CC3E0D">
      <w:pPr>
        <w:pStyle w:val="a3"/>
        <w:numPr>
          <w:ilvl w:val="0"/>
          <w:numId w:val="6"/>
        </w:numPr>
        <w:adjustRightInd w:val="0"/>
        <w:snapToGrid w:val="0"/>
        <w:ind w:leftChars="0"/>
        <w:rPr>
          <w:rFonts w:ascii="微軟正黑體" w:eastAsia="微軟正黑體" w:hAnsi="微軟正黑體"/>
        </w:rPr>
      </w:pPr>
      <w:r>
        <w:rPr>
          <w:rFonts w:ascii="微軟正黑體" w:eastAsia="微軟正黑體" w:hAnsi="微軟正黑體" w:hint="eastAsia"/>
        </w:rPr>
        <w:lastRenderedPageBreak/>
        <w:t>穆迪(</w:t>
      </w:r>
      <w:r>
        <w:rPr>
          <w:rFonts w:ascii="微軟正黑體" w:eastAsia="微軟正黑體" w:hAnsi="微軟正黑體"/>
        </w:rPr>
        <w:t>Moody’s)</w:t>
      </w:r>
      <w:r>
        <w:rPr>
          <w:rFonts w:ascii="微軟正黑體" w:eastAsia="微軟正黑體" w:hAnsi="微軟正黑體" w:hint="eastAsia"/>
        </w:rPr>
        <w:t>將短期別債券之信用等級分為P</w:t>
      </w:r>
      <w:r>
        <w:rPr>
          <w:rFonts w:ascii="微軟正黑體" w:eastAsia="微軟正黑體" w:hAnsi="微軟正黑體"/>
        </w:rPr>
        <w:t>rime-1</w:t>
      </w:r>
      <w:r>
        <w:rPr>
          <w:rFonts w:ascii="微軟正黑體" w:eastAsia="微軟正黑體" w:hAnsi="微軟正黑體" w:hint="eastAsia"/>
        </w:rPr>
        <w:t>、</w:t>
      </w:r>
      <w:r w:rsidR="00A50CC3">
        <w:rPr>
          <w:rFonts w:ascii="微軟正黑體" w:eastAsia="微軟正黑體" w:hAnsi="微軟正黑體" w:hint="eastAsia"/>
        </w:rPr>
        <w:t>P</w:t>
      </w:r>
      <w:r w:rsidR="00A50CC3">
        <w:rPr>
          <w:rFonts w:ascii="微軟正黑體" w:eastAsia="微軟正黑體" w:hAnsi="微軟正黑體"/>
        </w:rPr>
        <w:t>rime</w:t>
      </w:r>
      <w:r>
        <w:rPr>
          <w:rFonts w:ascii="微軟正黑體" w:eastAsia="微軟正黑體" w:hAnsi="微軟正黑體" w:hint="eastAsia"/>
        </w:rPr>
        <w:t>-2、</w:t>
      </w:r>
      <w:r>
        <w:rPr>
          <w:rFonts w:ascii="微軟正黑體" w:eastAsia="微軟正黑體" w:hAnsi="微軟正黑體"/>
        </w:rPr>
        <w:t>Prime</w:t>
      </w:r>
      <w:r>
        <w:rPr>
          <w:rFonts w:ascii="微軟正黑體" w:eastAsia="微軟正黑體" w:hAnsi="微軟正黑體" w:hint="eastAsia"/>
        </w:rPr>
        <w:t>-3以及N</w:t>
      </w:r>
      <w:r>
        <w:rPr>
          <w:rFonts w:ascii="微軟正黑體" w:eastAsia="微軟正黑體" w:hAnsi="微軟正黑體"/>
        </w:rPr>
        <w:t>ot-prime</w:t>
      </w:r>
      <w:r>
        <w:rPr>
          <w:rFonts w:ascii="微軟正黑體" w:eastAsia="微軟正黑體" w:hAnsi="微軟正黑體" w:hint="eastAsia"/>
        </w:rPr>
        <w:t>。其中not</w:t>
      </w:r>
      <w:r>
        <w:rPr>
          <w:rFonts w:ascii="微軟正黑體" w:eastAsia="微軟正黑體" w:hAnsi="微軟正黑體"/>
        </w:rPr>
        <w:t>-prime</w:t>
      </w:r>
      <w:r>
        <w:rPr>
          <w:rFonts w:ascii="微軟正黑體" w:eastAsia="微軟正黑體" w:hAnsi="微軟正黑體" w:hint="eastAsia"/>
        </w:rPr>
        <w:t>類似於長期</w:t>
      </w:r>
      <w:r w:rsidR="00645C7F">
        <w:rPr>
          <w:rFonts w:ascii="微軟正黑體" w:eastAsia="微軟正黑體" w:hAnsi="微軟正黑體" w:hint="eastAsia"/>
        </w:rPr>
        <w:t>債券B</w:t>
      </w:r>
      <w:r w:rsidR="00645C7F">
        <w:rPr>
          <w:rFonts w:ascii="微軟正黑體" w:eastAsia="微軟正黑體" w:hAnsi="微軟正黑體"/>
        </w:rPr>
        <w:t>a1</w:t>
      </w:r>
      <w:r w:rsidR="00645C7F">
        <w:rPr>
          <w:rFonts w:ascii="微軟正黑體" w:eastAsia="微軟正黑體" w:hAnsi="微軟正黑體" w:hint="eastAsia"/>
        </w:rPr>
        <w:t>信用等級以下。</w:t>
      </w:r>
    </w:p>
    <w:p w:rsidR="00645C7F" w:rsidRDefault="00645C7F" w:rsidP="00CC3E0D">
      <w:pPr>
        <w:pStyle w:val="a3"/>
        <w:numPr>
          <w:ilvl w:val="0"/>
          <w:numId w:val="6"/>
        </w:numPr>
        <w:adjustRightInd w:val="0"/>
        <w:snapToGrid w:val="0"/>
        <w:ind w:leftChars="0"/>
        <w:rPr>
          <w:rFonts w:ascii="微軟正黑體" w:eastAsia="微軟正黑體" w:hAnsi="微軟正黑體"/>
        </w:rPr>
      </w:pPr>
      <w:r>
        <w:rPr>
          <w:rFonts w:ascii="微軟正黑體" w:eastAsia="微軟正黑體" w:hAnsi="微軟正黑體" w:hint="eastAsia"/>
        </w:rPr>
        <w:t>穆迪(</w:t>
      </w:r>
      <w:r>
        <w:rPr>
          <w:rFonts w:ascii="微軟正黑體" w:eastAsia="微軟正黑體" w:hAnsi="微軟正黑體"/>
        </w:rPr>
        <w:t>Moody’s)</w:t>
      </w:r>
      <w:r>
        <w:rPr>
          <w:rFonts w:ascii="微軟正黑體" w:eastAsia="微軟正黑體" w:hAnsi="微軟正黑體" w:hint="eastAsia"/>
        </w:rPr>
        <w:t>衡量受評公司信用風險之方法架構，係為由上而下涵蓋國家風險、產業風險和企業風險。</w:t>
      </w:r>
    </w:p>
    <w:p w:rsidR="00645C7F" w:rsidRDefault="00645C7F" w:rsidP="00645C7F">
      <w:pPr>
        <w:adjustRightInd w:val="0"/>
        <w:snapToGrid w:val="0"/>
        <w:rPr>
          <w:rFonts w:ascii="微軟正黑體" w:eastAsia="微軟正黑體" w:hAnsi="微軟正黑體"/>
        </w:rPr>
      </w:pPr>
    </w:p>
    <w:p w:rsidR="00645C7F" w:rsidRDefault="006542DC" w:rsidP="00645C7F">
      <w:pPr>
        <w:adjustRightInd w:val="0"/>
        <w:snapToGrid w:val="0"/>
        <w:rPr>
          <w:rFonts w:ascii="微軟正黑體" w:eastAsia="微軟正黑體" w:hAnsi="微軟正黑體"/>
        </w:rPr>
      </w:pPr>
      <w:r>
        <w:rPr>
          <w:rFonts w:ascii="微軟正黑體" w:eastAsia="微軟正黑體" w:hAnsi="微軟正黑體" w:hint="eastAsia"/>
        </w:rPr>
        <w:t>授信對象之風險限額及集中度風險</w:t>
      </w:r>
    </w:p>
    <w:p w:rsidR="006542DC" w:rsidRDefault="00104D68" w:rsidP="006542DC">
      <w:pPr>
        <w:pStyle w:val="a3"/>
        <w:numPr>
          <w:ilvl w:val="0"/>
          <w:numId w:val="7"/>
        </w:numPr>
        <w:adjustRightInd w:val="0"/>
        <w:snapToGrid w:val="0"/>
        <w:ind w:leftChars="0"/>
        <w:rPr>
          <w:rFonts w:ascii="微軟正黑體" w:eastAsia="微軟正黑體" w:hAnsi="微軟正黑體"/>
        </w:rPr>
      </w:pPr>
      <w:r>
        <w:rPr>
          <w:rFonts w:ascii="微軟正黑體" w:eastAsia="微軟正黑體" w:hAnsi="微軟正黑體" w:hint="eastAsia"/>
        </w:rPr>
        <w:t>市場風險值或限額=「損失波動幅度」*「波動倍數」。</w:t>
      </w:r>
    </w:p>
    <w:p w:rsidR="00104D68" w:rsidRDefault="00104D68" w:rsidP="006542DC">
      <w:pPr>
        <w:pStyle w:val="a3"/>
        <w:numPr>
          <w:ilvl w:val="0"/>
          <w:numId w:val="7"/>
        </w:numPr>
        <w:adjustRightInd w:val="0"/>
        <w:snapToGrid w:val="0"/>
        <w:ind w:leftChars="0"/>
        <w:rPr>
          <w:rFonts w:ascii="微軟正黑體" w:eastAsia="微軟正黑體" w:hAnsi="微軟正黑體"/>
        </w:rPr>
      </w:pPr>
      <w:r>
        <w:rPr>
          <w:rFonts w:ascii="微軟正黑體" w:eastAsia="微軟正黑體" w:hAnsi="微軟正黑體" w:hint="eastAsia"/>
        </w:rPr>
        <w:t>為避免承擔過高的信用風險，銀行會以客戶和產業為對象訂定風險限額。</w:t>
      </w:r>
    </w:p>
    <w:p w:rsidR="00104D68" w:rsidRDefault="00104D68" w:rsidP="006542DC">
      <w:pPr>
        <w:pStyle w:val="a3"/>
        <w:numPr>
          <w:ilvl w:val="0"/>
          <w:numId w:val="7"/>
        </w:numPr>
        <w:adjustRightInd w:val="0"/>
        <w:snapToGrid w:val="0"/>
        <w:ind w:leftChars="0"/>
        <w:rPr>
          <w:rFonts w:ascii="微軟正黑體" w:eastAsia="微軟正黑體" w:hAnsi="微軟正黑體"/>
        </w:rPr>
      </w:pPr>
      <w:r>
        <w:rPr>
          <w:rFonts w:ascii="微軟正黑體" w:eastAsia="微軟正黑體" w:hAnsi="微軟正黑體" w:hint="eastAsia"/>
        </w:rPr>
        <w:t>內部評等模型所計算出的風險限額稱為「風險值」。</w:t>
      </w:r>
    </w:p>
    <w:p w:rsidR="00104D68" w:rsidRDefault="00104D68" w:rsidP="006542DC">
      <w:pPr>
        <w:pStyle w:val="a3"/>
        <w:numPr>
          <w:ilvl w:val="0"/>
          <w:numId w:val="7"/>
        </w:numPr>
        <w:adjustRightInd w:val="0"/>
        <w:snapToGrid w:val="0"/>
        <w:ind w:leftChars="0"/>
        <w:rPr>
          <w:rFonts w:ascii="微軟正黑體" w:eastAsia="微軟正黑體" w:hAnsi="微軟正黑體"/>
        </w:rPr>
      </w:pPr>
      <w:r>
        <w:rPr>
          <w:rFonts w:ascii="微軟正黑體" w:eastAsia="微軟正黑體" w:hAnsi="微軟正黑體" w:hint="eastAsia"/>
        </w:rPr>
        <w:t>授信業務對同一關係企業之風險限額，投資總額不得超過投資時銀行淨值之40%，其中投資非金融相關事業之總額不得超過投資時銀行淨值之10%。</w:t>
      </w:r>
    </w:p>
    <w:p w:rsidR="00104D68" w:rsidRDefault="00104D68" w:rsidP="006542DC">
      <w:pPr>
        <w:pStyle w:val="a3"/>
        <w:numPr>
          <w:ilvl w:val="0"/>
          <w:numId w:val="7"/>
        </w:numPr>
        <w:adjustRightInd w:val="0"/>
        <w:snapToGrid w:val="0"/>
        <w:ind w:leftChars="0"/>
        <w:rPr>
          <w:rFonts w:ascii="微軟正黑體" w:eastAsia="微軟正黑體" w:hAnsi="微軟正黑體"/>
        </w:rPr>
      </w:pPr>
      <w:r>
        <w:rPr>
          <w:rFonts w:ascii="微軟正黑體" w:eastAsia="微軟正黑體" w:hAnsi="微軟正黑體" w:hint="eastAsia"/>
        </w:rPr>
        <w:t>主管機關為強化本國銀行對海外及大陸授信風險之控管，銀行授信風險管理部門應定期檢視相關授信限額之適當性，並提報董事會通過。</w:t>
      </w:r>
    </w:p>
    <w:p w:rsidR="008630D8" w:rsidRDefault="008630D8" w:rsidP="008630D8">
      <w:pPr>
        <w:adjustRightInd w:val="0"/>
        <w:snapToGrid w:val="0"/>
        <w:rPr>
          <w:rFonts w:ascii="微軟正黑體" w:eastAsia="微軟正黑體" w:hAnsi="微軟正黑體"/>
        </w:rPr>
      </w:pPr>
    </w:p>
    <w:p w:rsidR="008630D8" w:rsidRDefault="008630D8" w:rsidP="008630D8">
      <w:pPr>
        <w:adjustRightInd w:val="0"/>
        <w:snapToGrid w:val="0"/>
        <w:rPr>
          <w:rFonts w:ascii="微軟正黑體" w:eastAsia="微軟正黑體" w:hAnsi="微軟正黑體"/>
        </w:rPr>
      </w:pPr>
      <w:r>
        <w:rPr>
          <w:rFonts w:ascii="微軟正黑體" w:eastAsia="微軟正黑體" w:hAnsi="微軟正黑體" w:hint="eastAsia"/>
        </w:rPr>
        <w:t>國家風險與國家主權評等</w:t>
      </w:r>
    </w:p>
    <w:p w:rsidR="008630D8" w:rsidRDefault="009A109E" w:rsidP="008630D8">
      <w:pPr>
        <w:pStyle w:val="a3"/>
        <w:numPr>
          <w:ilvl w:val="0"/>
          <w:numId w:val="8"/>
        </w:numPr>
        <w:adjustRightInd w:val="0"/>
        <w:snapToGrid w:val="0"/>
        <w:ind w:leftChars="0"/>
        <w:rPr>
          <w:rFonts w:ascii="微軟正黑體" w:eastAsia="微軟正黑體" w:hAnsi="微軟正黑體"/>
        </w:rPr>
      </w:pPr>
      <w:r>
        <w:rPr>
          <w:rFonts w:ascii="微軟正黑體" w:eastAsia="微軟正黑體" w:hAnsi="微軟正黑體" w:hint="eastAsia"/>
        </w:rPr>
        <w:t>國家風險指在國際經濟活動中，由於國家的主權行為所引起所造成損失的可能性。國家風險是國家主權行為所引起的或與國家社會變動有關。</w:t>
      </w:r>
    </w:p>
    <w:p w:rsidR="009A109E" w:rsidRDefault="009A109E" w:rsidP="008630D8">
      <w:pPr>
        <w:pStyle w:val="a3"/>
        <w:numPr>
          <w:ilvl w:val="0"/>
          <w:numId w:val="8"/>
        </w:numPr>
        <w:adjustRightInd w:val="0"/>
        <w:snapToGrid w:val="0"/>
        <w:ind w:leftChars="0"/>
        <w:rPr>
          <w:rFonts w:ascii="微軟正黑體" w:eastAsia="微軟正黑體" w:hAnsi="微軟正黑體"/>
        </w:rPr>
      </w:pPr>
      <w:r>
        <w:rPr>
          <w:rFonts w:ascii="微軟正黑體" w:eastAsia="微軟正黑體" w:hAnsi="微軟正黑體" w:hint="eastAsia"/>
        </w:rPr>
        <w:t>下列因子會影響國家主權評等:</w:t>
      </w:r>
    </w:p>
    <w:p w:rsidR="009A109E" w:rsidRDefault="009A109E" w:rsidP="009A109E">
      <w:pPr>
        <w:pStyle w:val="a3"/>
        <w:numPr>
          <w:ilvl w:val="2"/>
          <w:numId w:val="8"/>
        </w:numPr>
        <w:adjustRightInd w:val="0"/>
        <w:snapToGrid w:val="0"/>
        <w:ind w:leftChars="0"/>
        <w:rPr>
          <w:rFonts w:ascii="微軟正黑體" w:eastAsia="微軟正黑體" w:hAnsi="微軟正黑體"/>
        </w:rPr>
      </w:pPr>
      <w:r>
        <w:rPr>
          <w:rFonts w:ascii="微軟正黑體" w:eastAsia="微軟正黑體" w:hAnsi="微軟正黑體" w:hint="eastAsia"/>
        </w:rPr>
        <w:t>對外淨資產部位規模。</w:t>
      </w:r>
    </w:p>
    <w:p w:rsidR="009A109E" w:rsidRDefault="009A109E" w:rsidP="009A109E">
      <w:pPr>
        <w:pStyle w:val="a3"/>
        <w:numPr>
          <w:ilvl w:val="2"/>
          <w:numId w:val="8"/>
        </w:numPr>
        <w:adjustRightInd w:val="0"/>
        <w:snapToGrid w:val="0"/>
        <w:ind w:leftChars="0"/>
        <w:rPr>
          <w:rFonts w:ascii="微軟正黑體" w:eastAsia="微軟正黑體" w:hAnsi="微軟正黑體"/>
        </w:rPr>
      </w:pPr>
      <w:r>
        <w:rPr>
          <w:rFonts w:ascii="微軟正黑體" w:eastAsia="微軟正黑體" w:hAnsi="微軟正黑體" w:hint="eastAsia"/>
        </w:rPr>
        <w:t>貨幣管理健全性。</w:t>
      </w:r>
    </w:p>
    <w:p w:rsidR="009A109E" w:rsidRDefault="009A109E" w:rsidP="009A109E">
      <w:pPr>
        <w:pStyle w:val="a3"/>
        <w:numPr>
          <w:ilvl w:val="2"/>
          <w:numId w:val="8"/>
        </w:numPr>
        <w:adjustRightInd w:val="0"/>
        <w:snapToGrid w:val="0"/>
        <w:ind w:leftChars="0"/>
        <w:rPr>
          <w:rFonts w:ascii="微軟正黑體" w:eastAsia="微軟正黑體" w:hAnsi="微軟正黑體"/>
        </w:rPr>
      </w:pPr>
      <w:r>
        <w:rPr>
          <w:rFonts w:ascii="微軟正黑體" w:eastAsia="微軟正黑體" w:hAnsi="微軟正黑體" w:hint="eastAsia"/>
        </w:rPr>
        <w:t>政府債務規模。</w:t>
      </w:r>
    </w:p>
    <w:p w:rsidR="009A109E" w:rsidRDefault="009A109E" w:rsidP="009A109E">
      <w:pPr>
        <w:pStyle w:val="a3"/>
        <w:numPr>
          <w:ilvl w:val="2"/>
          <w:numId w:val="8"/>
        </w:numPr>
        <w:adjustRightInd w:val="0"/>
        <w:snapToGrid w:val="0"/>
        <w:ind w:leftChars="0"/>
        <w:rPr>
          <w:rFonts w:ascii="微軟正黑體" w:eastAsia="微軟正黑體" w:hAnsi="微軟正黑體"/>
        </w:rPr>
      </w:pPr>
      <w:r>
        <w:rPr>
          <w:rFonts w:ascii="微軟正黑體" w:eastAsia="微軟正黑體" w:hAnsi="微軟正黑體" w:hint="eastAsia"/>
        </w:rPr>
        <w:t>人口結構改變或不佳的外部衝擊，導致財政赤字加劇。</w:t>
      </w:r>
    </w:p>
    <w:p w:rsidR="009A109E" w:rsidRDefault="009A109E" w:rsidP="009A109E">
      <w:pPr>
        <w:pStyle w:val="a3"/>
        <w:numPr>
          <w:ilvl w:val="0"/>
          <w:numId w:val="8"/>
        </w:numPr>
        <w:adjustRightInd w:val="0"/>
        <w:snapToGrid w:val="0"/>
        <w:ind w:leftChars="0"/>
        <w:rPr>
          <w:rFonts w:ascii="微軟正黑體" w:eastAsia="微軟正黑體" w:hAnsi="微軟正黑體"/>
        </w:rPr>
      </w:pPr>
      <w:r>
        <w:rPr>
          <w:rFonts w:ascii="微軟正黑體" w:eastAsia="微軟正黑體" w:hAnsi="微軟正黑體" w:hint="eastAsia"/>
        </w:rPr>
        <w:t>企業的信用等級得高於該國主權評等。</w:t>
      </w:r>
    </w:p>
    <w:p w:rsidR="009A109E" w:rsidRDefault="009A109E" w:rsidP="009A109E">
      <w:pPr>
        <w:pStyle w:val="a3"/>
        <w:numPr>
          <w:ilvl w:val="0"/>
          <w:numId w:val="8"/>
        </w:numPr>
        <w:adjustRightInd w:val="0"/>
        <w:snapToGrid w:val="0"/>
        <w:ind w:leftChars="0"/>
        <w:rPr>
          <w:rFonts w:ascii="微軟正黑體" w:eastAsia="微軟正黑體" w:hAnsi="微軟正黑體"/>
        </w:rPr>
      </w:pPr>
      <w:r>
        <w:rPr>
          <w:rFonts w:ascii="微軟正黑體" w:eastAsia="微軟正黑體" w:hAnsi="微軟正黑體" w:hint="eastAsia"/>
        </w:rPr>
        <w:t>信用違約交換的價格，原則上應每月檢查一次。</w:t>
      </w:r>
    </w:p>
    <w:p w:rsidR="009A109E" w:rsidRDefault="009A109E" w:rsidP="009A109E">
      <w:pPr>
        <w:pStyle w:val="a3"/>
        <w:numPr>
          <w:ilvl w:val="0"/>
          <w:numId w:val="8"/>
        </w:numPr>
        <w:adjustRightInd w:val="0"/>
        <w:snapToGrid w:val="0"/>
        <w:ind w:leftChars="0"/>
        <w:rPr>
          <w:rFonts w:ascii="微軟正黑體" w:eastAsia="微軟正黑體" w:hAnsi="微軟正黑體"/>
        </w:rPr>
      </w:pPr>
      <w:r>
        <w:rPr>
          <w:rFonts w:ascii="微軟正黑體" w:eastAsia="微軟正黑體" w:hAnsi="微軟正黑體" w:hint="eastAsia"/>
        </w:rPr>
        <w:t>銀行對中國的國家風險總額不得超過上一年度決算後資本額的一倍。</w:t>
      </w:r>
    </w:p>
    <w:p w:rsidR="009A109E" w:rsidRDefault="00481411" w:rsidP="009A109E">
      <w:pPr>
        <w:pStyle w:val="a3"/>
        <w:numPr>
          <w:ilvl w:val="0"/>
          <w:numId w:val="8"/>
        </w:numPr>
        <w:adjustRightInd w:val="0"/>
        <w:snapToGrid w:val="0"/>
        <w:ind w:leftChars="0"/>
        <w:rPr>
          <w:rFonts w:ascii="微軟正黑體" w:eastAsia="微軟正黑體" w:hAnsi="微軟正黑體"/>
        </w:rPr>
      </w:pPr>
      <w:r>
        <w:rPr>
          <w:rFonts w:ascii="微軟正黑體" w:eastAsia="微軟正黑體" w:hAnsi="微軟正黑體" w:hint="eastAsia"/>
        </w:rPr>
        <w:t>為國家風險統計需要，應以資金主要使用所在地之國別認列國家主權風險。</w:t>
      </w:r>
    </w:p>
    <w:p w:rsidR="00481411" w:rsidRDefault="00481411" w:rsidP="009A109E">
      <w:pPr>
        <w:pStyle w:val="a3"/>
        <w:numPr>
          <w:ilvl w:val="0"/>
          <w:numId w:val="8"/>
        </w:numPr>
        <w:adjustRightInd w:val="0"/>
        <w:snapToGrid w:val="0"/>
        <w:ind w:leftChars="0"/>
        <w:rPr>
          <w:rFonts w:ascii="微軟正黑體" w:eastAsia="微軟正黑體" w:hAnsi="微軟正黑體"/>
        </w:rPr>
      </w:pPr>
      <w:r>
        <w:rPr>
          <w:rFonts w:ascii="微軟正黑體" w:eastAsia="微軟正黑體" w:hAnsi="微軟正黑體" w:hint="eastAsia"/>
        </w:rPr>
        <w:t>「主權上限」係指任何企業之信用等級不得高於該國的主權評等。</w:t>
      </w:r>
    </w:p>
    <w:p w:rsidR="00462424" w:rsidRDefault="00462424" w:rsidP="00462424">
      <w:pPr>
        <w:adjustRightInd w:val="0"/>
        <w:snapToGrid w:val="0"/>
        <w:rPr>
          <w:rFonts w:ascii="微軟正黑體" w:eastAsia="微軟正黑體" w:hAnsi="微軟正黑體"/>
        </w:rPr>
      </w:pPr>
    </w:p>
    <w:p w:rsidR="00462424" w:rsidRDefault="00462424" w:rsidP="00462424">
      <w:pPr>
        <w:adjustRightInd w:val="0"/>
        <w:snapToGrid w:val="0"/>
        <w:rPr>
          <w:rFonts w:ascii="微軟正黑體" w:eastAsia="微軟正黑體" w:hAnsi="微軟正黑體"/>
        </w:rPr>
      </w:pPr>
      <w:r>
        <w:rPr>
          <w:rFonts w:ascii="微軟正黑體" w:eastAsia="微軟正黑體" w:hAnsi="微軟正黑體" w:hint="eastAsia"/>
        </w:rPr>
        <w:t>商業銀行與證券金融公司的資本適足率管理</w:t>
      </w:r>
    </w:p>
    <w:p w:rsidR="00462424" w:rsidRDefault="00D645B7" w:rsidP="009B7ACF">
      <w:pPr>
        <w:pStyle w:val="a3"/>
        <w:numPr>
          <w:ilvl w:val="0"/>
          <w:numId w:val="9"/>
        </w:numPr>
        <w:adjustRightInd w:val="0"/>
        <w:snapToGrid w:val="0"/>
        <w:ind w:leftChars="0" w:left="709" w:hanging="229"/>
        <w:rPr>
          <w:rFonts w:ascii="微軟正黑體" w:eastAsia="微軟正黑體" w:hAnsi="微軟正黑體"/>
        </w:rPr>
      </w:pPr>
      <w:r>
        <w:rPr>
          <w:rFonts w:ascii="微軟正黑體" w:eastAsia="微軟正黑體" w:hAnsi="微軟正黑體" w:hint="eastAsia"/>
        </w:rPr>
        <w:t>銀行對購買或建造住宅或企業用建築，得辦理中、長期放款，</w:t>
      </w:r>
      <w:r w:rsidR="00CB40CC">
        <w:rPr>
          <w:rFonts w:ascii="微軟正黑體" w:eastAsia="微軟正黑體" w:hAnsi="微軟正黑體" w:hint="eastAsia"/>
        </w:rPr>
        <w:t>其最長期限不得超過30年。</w:t>
      </w:r>
    </w:p>
    <w:p w:rsidR="00CB40CC" w:rsidRDefault="00CB40CC" w:rsidP="009B7ACF">
      <w:pPr>
        <w:pStyle w:val="a3"/>
        <w:numPr>
          <w:ilvl w:val="0"/>
          <w:numId w:val="9"/>
        </w:numPr>
        <w:adjustRightInd w:val="0"/>
        <w:snapToGrid w:val="0"/>
        <w:ind w:leftChars="0" w:left="709" w:hanging="229"/>
        <w:rPr>
          <w:rFonts w:ascii="微軟正黑體" w:eastAsia="微軟正黑體" w:hAnsi="微軟正黑體"/>
        </w:rPr>
      </w:pPr>
      <w:r>
        <w:rPr>
          <w:rFonts w:ascii="微軟正黑體" w:eastAsia="微軟正黑體" w:hAnsi="微軟正黑體" w:hint="eastAsia"/>
        </w:rPr>
        <w:t>銀行辦理自用住宅貸款及消費性貸款，不得要求借款人提供連帶保證人。銀行辦理</w:t>
      </w:r>
      <w:r w:rsidR="00765C26">
        <w:rPr>
          <w:rFonts w:ascii="微軟正黑體" w:eastAsia="微軟正黑體" w:hAnsi="微軟正黑體" w:hint="eastAsia"/>
        </w:rPr>
        <w:t>自用住宅貸款及消費性貸款，已取得銀行法所定之足額擔保時，不得要求借款人提供保證人。</w:t>
      </w:r>
    </w:p>
    <w:p w:rsidR="00765C26" w:rsidRDefault="00765C26" w:rsidP="009B7ACF">
      <w:pPr>
        <w:pStyle w:val="a3"/>
        <w:numPr>
          <w:ilvl w:val="0"/>
          <w:numId w:val="9"/>
        </w:numPr>
        <w:adjustRightInd w:val="0"/>
        <w:snapToGrid w:val="0"/>
        <w:ind w:leftChars="0" w:left="709" w:hanging="229"/>
        <w:rPr>
          <w:rFonts w:ascii="微軟正黑體" w:eastAsia="微軟正黑體" w:hAnsi="微軟正黑體"/>
        </w:rPr>
      </w:pPr>
      <w:r>
        <w:rPr>
          <w:rFonts w:ascii="微軟正黑體" w:eastAsia="微軟正黑體" w:hAnsi="微軟正黑體" w:hint="eastAsia"/>
        </w:rPr>
        <w:t>依據主管機關規定，台灣地區對大陸地區之授信、投資及資金拆存總額度，不得超過其上年度決算後淨值之一倍。</w:t>
      </w:r>
    </w:p>
    <w:p w:rsidR="00765C26" w:rsidRDefault="009B7ACF" w:rsidP="009B7ACF">
      <w:pPr>
        <w:pStyle w:val="a3"/>
        <w:numPr>
          <w:ilvl w:val="0"/>
          <w:numId w:val="9"/>
        </w:numPr>
        <w:adjustRightInd w:val="0"/>
        <w:snapToGrid w:val="0"/>
        <w:ind w:leftChars="0" w:left="709" w:hanging="229"/>
        <w:rPr>
          <w:rFonts w:ascii="微軟正黑體" w:eastAsia="微軟正黑體" w:hAnsi="微軟正黑體"/>
        </w:rPr>
      </w:pPr>
      <w:r>
        <w:rPr>
          <w:rFonts w:ascii="微軟正黑體" w:eastAsia="微軟正黑體" w:hAnsi="微軟正黑體" w:hint="eastAsia"/>
        </w:rPr>
        <w:t>銀行對本行負責人、職員或主要股東為擔保授信，應有十足擔保。對同一法人之擔保授信總餘額，不得超過銀行淨值10%。對同一自然人之擔保授信總餘額，不得超過銀行淨值2%。</w:t>
      </w:r>
    </w:p>
    <w:p w:rsidR="009B7ACF" w:rsidRDefault="006535AA" w:rsidP="006535AA">
      <w:pPr>
        <w:pStyle w:val="a3"/>
        <w:numPr>
          <w:ilvl w:val="0"/>
          <w:numId w:val="9"/>
        </w:numPr>
        <w:adjustRightInd w:val="0"/>
        <w:snapToGrid w:val="0"/>
        <w:ind w:leftChars="0" w:left="709" w:hanging="283"/>
        <w:rPr>
          <w:rFonts w:ascii="微軟正黑體" w:eastAsia="微軟正黑體" w:hAnsi="微軟正黑體"/>
        </w:rPr>
      </w:pPr>
      <w:r>
        <w:rPr>
          <w:rFonts w:ascii="微軟正黑體" w:eastAsia="微軟正黑體" w:hAnsi="微軟正黑體" w:hint="eastAsia"/>
        </w:rPr>
        <w:t>銀行對同一關係企業之授信總餘額不得超過該銀行淨值40%，其中無擔保授信總餘額不得超</w:t>
      </w:r>
      <w:r>
        <w:rPr>
          <w:rFonts w:ascii="微軟正黑體" w:eastAsia="微軟正黑體" w:hAnsi="微軟正黑體" w:hint="eastAsia"/>
        </w:rPr>
        <w:lastRenderedPageBreak/>
        <w:t>過該銀行淨值之15%。但對公營事業之授信不予併計。</w:t>
      </w:r>
    </w:p>
    <w:p w:rsidR="006535AA" w:rsidRDefault="001E1C1E" w:rsidP="001E1C1E">
      <w:pPr>
        <w:pStyle w:val="a3"/>
        <w:numPr>
          <w:ilvl w:val="0"/>
          <w:numId w:val="9"/>
        </w:numPr>
        <w:adjustRightInd w:val="0"/>
        <w:snapToGrid w:val="0"/>
        <w:ind w:leftChars="0" w:left="709" w:hanging="283"/>
        <w:rPr>
          <w:rFonts w:ascii="微軟正黑體" w:eastAsia="微軟正黑體" w:hAnsi="微軟正黑體"/>
        </w:rPr>
      </w:pPr>
      <w:r>
        <w:rPr>
          <w:rFonts w:ascii="微軟正黑體" w:eastAsia="微軟正黑體" w:hAnsi="微軟正黑體" w:hint="eastAsia"/>
        </w:rPr>
        <w:t>對同一授信客戶之每筆或累計擔保授信金額達1億元以上或淨值1%者，其條件不得優於其他同類授信對象。</w:t>
      </w:r>
    </w:p>
    <w:p w:rsidR="001E1C1E" w:rsidRDefault="002138A4" w:rsidP="001E1C1E">
      <w:pPr>
        <w:pStyle w:val="a3"/>
        <w:numPr>
          <w:ilvl w:val="0"/>
          <w:numId w:val="9"/>
        </w:numPr>
        <w:adjustRightInd w:val="0"/>
        <w:snapToGrid w:val="0"/>
        <w:ind w:leftChars="0" w:left="567" w:hanging="141"/>
        <w:rPr>
          <w:rFonts w:ascii="微軟正黑體" w:eastAsia="微軟正黑體" w:hAnsi="微軟正黑體"/>
        </w:rPr>
      </w:pPr>
      <w:r>
        <w:rPr>
          <w:rFonts w:ascii="微軟正黑體" w:eastAsia="微軟正黑體" w:hAnsi="微軟正黑體" w:hint="eastAsia"/>
        </w:rPr>
        <w:t>銀行對同一自然人之授信總餘額，不得超過該銀行淨值之3%，其中無擔保授信總餘額不得超過該銀行淨值1%。</w:t>
      </w:r>
    </w:p>
    <w:p w:rsidR="002138A4" w:rsidRDefault="002138A4" w:rsidP="001E1C1E">
      <w:pPr>
        <w:pStyle w:val="a3"/>
        <w:numPr>
          <w:ilvl w:val="0"/>
          <w:numId w:val="9"/>
        </w:numPr>
        <w:adjustRightInd w:val="0"/>
        <w:snapToGrid w:val="0"/>
        <w:ind w:leftChars="0" w:left="567" w:hanging="141"/>
        <w:rPr>
          <w:rFonts w:ascii="微軟正黑體" w:eastAsia="微軟正黑體" w:hAnsi="微軟正黑體"/>
        </w:rPr>
      </w:pPr>
      <w:r>
        <w:rPr>
          <w:rFonts w:ascii="微軟正黑體" w:eastAsia="微軟正黑體" w:hAnsi="微軟正黑體" w:hint="eastAsia"/>
        </w:rPr>
        <w:t>依據主管機關規定，</w:t>
      </w:r>
      <w:r w:rsidR="006369CC">
        <w:rPr>
          <w:rFonts w:ascii="微軟正黑體" w:eastAsia="微軟正黑體" w:hAnsi="微軟正黑體" w:hint="eastAsia"/>
        </w:rPr>
        <w:t>債務人於全體金融機構之無擔保債務歸戶後之總餘額除以平均月收入，不宜超過22倍。</w:t>
      </w:r>
    </w:p>
    <w:p w:rsidR="006369CC" w:rsidRDefault="006369CC" w:rsidP="001E1C1E">
      <w:pPr>
        <w:pStyle w:val="a3"/>
        <w:numPr>
          <w:ilvl w:val="0"/>
          <w:numId w:val="9"/>
        </w:numPr>
        <w:adjustRightInd w:val="0"/>
        <w:snapToGrid w:val="0"/>
        <w:ind w:leftChars="0" w:left="567" w:hanging="141"/>
        <w:rPr>
          <w:rFonts w:ascii="微軟正黑體" w:eastAsia="微軟正黑體" w:hAnsi="微軟正黑體"/>
        </w:rPr>
      </w:pPr>
      <w:r>
        <w:rPr>
          <w:rFonts w:ascii="微軟正黑體" w:eastAsia="微軟正黑體" w:hAnsi="微軟正黑體" w:hint="eastAsia"/>
        </w:rPr>
        <w:t>自民國108年起，國內銀行的資本適足率不得低於10.50%。</w:t>
      </w:r>
    </w:p>
    <w:p w:rsidR="006369CC" w:rsidRDefault="006369CC" w:rsidP="001E1C1E">
      <w:pPr>
        <w:pStyle w:val="a3"/>
        <w:numPr>
          <w:ilvl w:val="0"/>
          <w:numId w:val="9"/>
        </w:numPr>
        <w:adjustRightInd w:val="0"/>
        <w:snapToGrid w:val="0"/>
        <w:ind w:leftChars="0" w:left="567" w:hanging="141"/>
        <w:rPr>
          <w:rFonts w:ascii="微軟正黑體" w:eastAsia="微軟正黑體" w:hAnsi="微軟正黑體"/>
        </w:rPr>
      </w:pPr>
      <w:r>
        <w:rPr>
          <w:rFonts w:ascii="微軟正黑體" w:eastAsia="微軟正黑體" w:hAnsi="微軟正黑體" w:hint="eastAsia"/>
        </w:rPr>
        <w:t>在中國大陸設立代表人辦事處，則資本適足率須達到10%以上。</w:t>
      </w:r>
    </w:p>
    <w:p w:rsidR="00875AA3" w:rsidRDefault="00875AA3" w:rsidP="001E1C1E">
      <w:pPr>
        <w:pStyle w:val="a3"/>
        <w:numPr>
          <w:ilvl w:val="0"/>
          <w:numId w:val="9"/>
        </w:numPr>
        <w:adjustRightInd w:val="0"/>
        <w:snapToGrid w:val="0"/>
        <w:ind w:leftChars="0" w:left="567" w:hanging="141"/>
        <w:rPr>
          <w:rFonts w:ascii="微軟正黑體" w:eastAsia="微軟正黑體" w:hAnsi="微軟正黑體"/>
        </w:rPr>
      </w:pPr>
      <w:r>
        <w:rPr>
          <w:rFonts w:ascii="微軟正黑體" w:eastAsia="微軟正黑體" w:hAnsi="微軟正黑體" w:hint="eastAsia"/>
        </w:rPr>
        <w:t>槓桿比率:</w:t>
      </w:r>
      <w:r w:rsidR="00F9216B">
        <w:rPr>
          <w:rFonts w:ascii="微軟正黑體" w:eastAsia="微軟正黑體" w:hAnsi="微軟正黑體" w:hint="eastAsia"/>
        </w:rPr>
        <w:t>指第一類資本淨額除以</w:t>
      </w:r>
      <w:r>
        <w:rPr>
          <w:rFonts w:ascii="微軟正黑體" w:eastAsia="微軟正黑體" w:hAnsi="微軟正黑體" w:hint="eastAsia"/>
        </w:rPr>
        <w:t>曝險總額。</w:t>
      </w:r>
    </w:p>
    <w:p w:rsidR="00875AA3" w:rsidRDefault="00875AA3" w:rsidP="001E1C1E">
      <w:pPr>
        <w:pStyle w:val="a3"/>
        <w:numPr>
          <w:ilvl w:val="0"/>
          <w:numId w:val="9"/>
        </w:numPr>
        <w:adjustRightInd w:val="0"/>
        <w:snapToGrid w:val="0"/>
        <w:ind w:leftChars="0" w:left="567" w:hanging="141"/>
        <w:rPr>
          <w:rFonts w:ascii="微軟正黑體" w:eastAsia="微軟正黑體" w:hAnsi="微軟正黑體"/>
        </w:rPr>
      </w:pPr>
      <w:r>
        <w:rPr>
          <w:rFonts w:ascii="微軟正黑體" w:eastAsia="微軟正黑體" w:hAnsi="微軟正黑體" w:hint="eastAsia"/>
        </w:rPr>
        <w:t>銀行發行的「長期次順位債券」，在計算資本適足率時，屬於第二類資本。</w:t>
      </w:r>
    </w:p>
    <w:p w:rsidR="00875AA3" w:rsidRDefault="00875AA3" w:rsidP="001E1C1E">
      <w:pPr>
        <w:pStyle w:val="a3"/>
        <w:numPr>
          <w:ilvl w:val="0"/>
          <w:numId w:val="9"/>
        </w:numPr>
        <w:adjustRightInd w:val="0"/>
        <w:snapToGrid w:val="0"/>
        <w:ind w:leftChars="0" w:left="567" w:hanging="141"/>
        <w:rPr>
          <w:rFonts w:ascii="微軟正黑體" w:eastAsia="微軟正黑體" w:hAnsi="微軟正黑體"/>
        </w:rPr>
      </w:pPr>
      <w:r>
        <w:rPr>
          <w:rFonts w:ascii="微軟正黑體" w:eastAsia="微軟正黑體" w:hAnsi="微軟正黑體" w:hint="eastAsia"/>
        </w:rPr>
        <w:t>風險性資產總額，係指信用風險加權風險性資產總額，加計市場風險及作業風險應計提之資本乘以12.5之合計數。</w:t>
      </w:r>
    </w:p>
    <w:p w:rsidR="00875AA3" w:rsidRDefault="00337790" w:rsidP="001E1C1E">
      <w:pPr>
        <w:pStyle w:val="a3"/>
        <w:numPr>
          <w:ilvl w:val="0"/>
          <w:numId w:val="9"/>
        </w:numPr>
        <w:adjustRightInd w:val="0"/>
        <w:snapToGrid w:val="0"/>
        <w:ind w:leftChars="0" w:left="567" w:hanging="141"/>
        <w:rPr>
          <w:rFonts w:ascii="微軟正黑體" w:eastAsia="微軟正黑體" w:hAnsi="微軟正黑體"/>
        </w:rPr>
      </w:pPr>
      <w:r>
        <w:rPr>
          <w:rFonts w:ascii="微軟正黑體" w:eastAsia="微軟正黑體" w:hAnsi="微軟正黑體" w:hint="eastAsia"/>
        </w:rPr>
        <w:t>「資本適足率」，係以第一類資本淨額及第二類資本淨額之合計數除以風險性資產總額而得。</w:t>
      </w:r>
    </w:p>
    <w:p w:rsidR="00337790" w:rsidRDefault="00337790" w:rsidP="001E1C1E">
      <w:pPr>
        <w:pStyle w:val="a3"/>
        <w:numPr>
          <w:ilvl w:val="0"/>
          <w:numId w:val="9"/>
        </w:numPr>
        <w:adjustRightInd w:val="0"/>
        <w:snapToGrid w:val="0"/>
        <w:ind w:leftChars="0" w:left="567" w:hanging="141"/>
        <w:rPr>
          <w:rFonts w:ascii="微軟正黑體" w:eastAsia="微軟正黑體" w:hAnsi="微軟正黑體"/>
        </w:rPr>
      </w:pPr>
      <w:r>
        <w:rPr>
          <w:rFonts w:ascii="微軟正黑體" w:eastAsia="微軟正黑體" w:hAnsi="微軟正黑體" w:hint="eastAsia"/>
        </w:rPr>
        <w:t>票券金融公司資本適足率低於6%者，主管機關可採行下列措施:</w:t>
      </w:r>
    </w:p>
    <w:p w:rsidR="00337790" w:rsidRDefault="00337790" w:rsidP="00337790">
      <w:pPr>
        <w:pStyle w:val="a3"/>
        <w:numPr>
          <w:ilvl w:val="1"/>
          <w:numId w:val="9"/>
        </w:numPr>
        <w:adjustRightInd w:val="0"/>
        <w:snapToGrid w:val="0"/>
        <w:ind w:leftChars="0"/>
        <w:rPr>
          <w:rFonts w:ascii="微軟正黑體" w:eastAsia="微軟正黑體" w:hAnsi="微軟正黑體"/>
        </w:rPr>
      </w:pPr>
      <w:r>
        <w:rPr>
          <w:rFonts w:ascii="微軟正黑體" w:eastAsia="微軟正黑體" w:hAnsi="微軟正黑體" w:hint="eastAsia"/>
        </w:rPr>
        <w:t>解除負責人職務。</w:t>
      </w:r>
    </w:p>
    <w:p w:rsidR="00337790" w:rsidRDefault="00337790" w:rsidP="00337790">
      <w:pPr>
        <w:pStyle w:val="a3"/>
        <w:numPr>
          <w:ilvl w:val="1"/>
          <w:numId w:val="9"/>
        </w:numPr>
        <w:adjustRightInd w:val="0"/>
        <w:snapToGrid w:val="0"/>
        <w:ind w:leftChars="0"/>
        <w:rPr>
          <w:rFonts w:ascii="微軟正黑體" w:eastAsia="微軟正黑體" w:hAnsi="微軟正黑體"/>
        </w:rPr>
      </w:pPr>
      <w:r>
        <w:rPr>
          <w:rFonts w:ascii="微軟正黑體" w:eastAsia="微軟正黑體" w:hAnsi="微軟正黑體" w:hint="eastAsia"/>
        </w:rPr>
        <w:t>命令取得或處分特定資產，應先經主管機關核准。</w:t>
      </w:r>
    </w:p>
    <w:p w:rsidR="00337790" w:rsidRDefault="00337790" w:rsidP="00337790">
      <w:pPr>
        <w:pStyle w:val="a3"/>
        <w:numPr>
          <w:ilvl w:val="1"/>
          <w:numId w:val="9"/>
        </w:numPr>
        <w:adjustRightInd w:val="0"/>
        <w:snapToGrid w:val="0"/>
        <w:ind w:leftChars="0"/>
        <w:rPr>
          <w:rFonts w:ascii="微軟正黑體" w:eastAsia="微軟正黑體" w:hAnsi="微軟正黑體"/>
        </w:rPr>
      </w:pPr>
      <w:r>
        <w:rPr>
          <w:rFonts w:ascii="微軟正黑體" w:eastAsia="微軟正黑體" w:hAnsi="微軟正黑體" w:hint="eastAsia"/>
        </w:rPr>
        <w:t>命令處分特定資產。</w:t>
      </w:r>
    </w:p>
    <w:p w:rsidR="00337790" w:rsidRDefault="00B4670D" w:rsidP="00337790">
      <w:pPr>
        <w:pStyle w:val="a3"/>
        <w:numPr>
          <w:ilvl w:val="1"/>
          <w:numId w:val="9"/>
        </w:numPr>
        <w:adjustRightInd w:val="0"/>
        <w:snapToGrid w:val="0"/>
        <w:ind w:leftChars="0"/>
        <w:rPr>
          <w:rFonts w:ascii="微軟正黑體" w:eastAsia="微軟正黑體" w:hAnsi="微軟正黑體"/>
        </w:rPr>
      </w:pPr>
      <w:r>
        <w:rPr>
          <w:rFonts w:ascii="微軟正黑體" w:eastAsia="微軟正黑體" w:hAnsi="微軟正黑體" w:hint="eastAsia"/>
        </w:rPr>
        <w:t>命令對負責人之報酬予以降低。</w:t>
      </w:r>
    </w:p>
    <w:p w:rsidR="00337790" w:rsidRDefault="00B4670D" w:rsidP="001E1C1E">
      <w:pPr>
        <w:pStyle w:val="a3"/>
        <w:numPr>
          <w:ilvl w:val="0"/>
          <w:numId w:val="9"/>
        </w:numPr>
        <w:adjustRightInd w:val="0"/>
        <w:snapToGrid w:val="0"/>
        <w:ind w:leftChars="0" w:left="567" w:hanging="141"/>
        <w:rPr>
          <w:rFonts w:ascii="微軟正黑體" w:eastAsia="微軟正黑體" w:hAnsi="微軟正黑體"/>
        </w:rPr>
      </w:pPr>
      <w:r>
        <w:rPr>
          <w:rFonts w:ascii="微軟正黑體" w:eastAsia="微軟正黑體" w:hAnsi="微軟正黑體" w:hint="eastAsia"/>
        </w:rPr>
        <w:t>票券金融公司之資本適足率須至少達到10%以上，才可以辦理外幣債券及股權商品的投資。</w:t>
      </w:r>
    </w:p>
    <w:p w:rsidR="00F21E7D" w:rsidRDefault="00F21E7D" w:rsidP="00F21E7D">
      <w:pPr>
        <w:adjustRightInd w:val="0"/>
        <w:snapToGrid w:val="0"/>
        <w:rPr>
          <w:rFonts w:ascii="微軟正黑體" w:eastAsia="微軟正黑體" w:hAnsi="微軟正黑體"/>
        </w:rPr>
      </w:pPr>
    </w:p>
    <w:p w:rsidR="00F21E7D" w:rsidRDefault="00F21E7D" w:rsidP="00F21E7D">
      <w:pPr>
        <w:adjustRightInd w:val="0"/>
        <w:snapToGrid w:val="0"/>
        <w:rPr>
          <w:rFonts w:ascii="微軟正黑體" w:eastAsia="微軟正黑體" w:hAnsi="微軟正黑體"/>
        </w:rPr>
      </w:pPr>
      <w:r>
        <w:rPr>
          <w:rFonts w:ascii="微軟正黑體" w:eastAsia="微軟正黑體" w:hAnsi="微軟正黑體" w:hint="eastAsia"/>
        </w:rPr>
        <w:t>保險與金融控股公司的資本適足率管理</w:t>
      </w:r>
    </w:p>
    <w:p w:rsidR="00F21E7D" w:rsidRDefault="007766E3" w:rsidP="00F21E7D">
      <w:pPr>
        <w:pStyle w:val="a3"/>
        <w:numPr>
          <w:ilvl w:val="0"/>
          <w:numId w:val="10"/>
        </w:numPr>
        <w:adjustRightInd w:val="0"/>
        <w:snapToGrid w:val="0"/>
        <w:ind w:leftChars="0"/>
        <w:rPr>
          <w:rFonts w:ascii="微軟正黑體" w:eastAsia="微軟正黑體" w:hAnsi="微軟正黑體"/>
        </w:rPr>
      </w:pPr>
      <w:r>
        <w:rPr>
          <w:rFonts w:ascii="微軟正黑體" w:eastAsia="微軟正黑體" w:hAnsi="微軟正黑體" w:hint="eastAsia"/>
        </w:rPr>
        <w:t>保險業之資本適足率最低法定比率不得低於200%。</w:t>
      </w:r>
    </w:p>
    <w:p w:rsidR="007766E3" w:rsidRDefault="007766E3" w:rsidP="00F21E7D">
      <w:pPr>
        <w:pStyle w:val="a3"/>
        <w:numPr>
          <w:ilvl w:val="0"/>
          <w:numId w:val="10"/>
        </w:numPr>
        <w:adjustRightInd w:val="0"/>
        <w:snapToGrid w:val="0"/>
        <w:ind w:leftChars="0"/>
        <w:rPr>
          <w:rFonts w:ascii="微軟正黑體" w:eastAsia="微軟正黑體" w:hAnsi="微軟正黑體"/>
        </w:rPr>
      </w:pPr>
      <w:r>
        <w:rPr>
          <w:rFonts w:ascii="微軟正黑體" w:eastAsia="微軟正黑體" w:hAnsi="微軟正黑體" w:hint="eastAsia"/>
        </w:rPr>
        <w:t>保險公司申請從事衍生性金融商品之交易資格，資本適足率至少須達250%以上。</w:t>
      </w:r>
    </w:p>
    <w:p w:rsidR="00EE192E" w:rsidRDefault="00EE192E" w:rsidP="00EE192E">
      <w:pPr>
        <w:pStyle w:val="a3"/>
        <w:numPr>
          <w:ilvl w:val="0"/>
          <w:numId w:val="10"/>
        </w:numPr>
        <w:adjustRightInd w:val="0"/>
        <w:snapToGrid w:val="0"/>
        <w:ind w:leftChars="0"/>
        <w:rPr>
          <w:rFonts w:ascii="微軟正黑體" w:eastAsia="微軟正黑體" w:hAnsi="微軟正黑體"/>
        </w:rPr>
      </w:pPr>
      <w:r>
        <w:rPr>
          <w:rFonts w:ascii="微軟正黑體" w:eastAsia="微軟正黑體" w:hAnsi="微軟正黑體" w:hint="eastAsia"/>
        </w:rPr>
        <w:t>台灣人身保險的風險項目至少包含下列風險項目:</w:t>
      </w:r>
    </w:p>
    <w:p w:rsidR="00EE192E" w:rsidRDefault="003027CA" w:rsidP="00EE192E">
      <w:pPr>
        <w:pStyle w:val="a3"/>
        <w:numPr>
          <w:ilvl w:val="1"/>
          <w:numId w:val="10"/>
        </w:numPr>
        <w:adjustRightInd w:val="0"/>
        <w:snapToGrid w:val="0"/>
        <w:ind w:leftChars="0"/>
        <w:rPr>
          <w:rFonts w:ascii="微軟正黑體" w:eastAsia="微軟正黑體" w:hAnsi="微軟正黑體"/>
        </w:rPr>
      </w:pPr>
      <w:r>
        <w:rPr>
          <w:rFonts w:ascii="微軟正黑體" w:eastAsia="微軟正黑體" w:hAnsi="微軟正黑體" w:hint="eastAsia"/>
        </w:rPr>
        <w:t>資產風險。</w:t>
      </w:r>
    </w:p>
    <w:p w:rsidR="003027CA" w:rsidRDefault="003027CA" w:rsidP="00EE192E">
      <w:pPr>
        <w:pStyle w:val="a3"/>
        <w:numPr>
          <w:ilvl w:val="1"/>
          <w:numId w:val="10"/>
        </w:numPr>
        <w:adjustRightInd w:val="0"/>
        <w:snapToGrid w:val="0"/>
        <w:ind w:leftChars="0"/>
        <w:rPr>
          <w:rFonts w:ascii="微軟正黑體" w:eastAsia="微軟正黑體" w:hAnsi="微軟正黑體"/>
        </w:rPr>
      </w:pPr>
      <w:r>
        <w:rPr>
          <w:rFonts w:ascii="微軟正黑體" w:eastAsia="微軟正黑體" w:hAnsi="微軟正黑體" w:hint="eastAsia"/>
        </w:rPr>
        <w:t>保險風險。</w:t>
      </w:r>
    </w:p>
    <w:p w:rsidR="003027CA" w:rsidRDefault="003027CA" w:rsidP="00EE192E">
      <w:pPr>
        <w:pStyle w:val="a3"/>
        <w:numPr>
          <w:ilvl w:val="1"/>
          <w:numId w:val="10"/>
        </w:numPr>
        <w:adjustRightInd w:val="0"/>
        <w:snapToGrid w:val="0"/>
        <w:ind w:leftChars="0"/>
        <w:rPr>
          <w:rFonts w:ascii="微軟正黑體" w:eastAsia="微軟正黑體" w:hAnsi="微軟正黑體"/>
        </w:rPr>
      </w:pPr>
      <w:r>
        <w:rPr>
          <w:rFonts w:ascii="微軟正黑體" w:eastAsia="微軟正黑體" w:hAnsi="微軟正黑體" w:hint="eastAsia"/>
        </w:rPr>
        <w:t>利率風險。</w:t>
      </w:r>
    </w:p>
    <w:p w:rsidR="003027CA" w:rsidRDefault="003027CA" w:rsidP="00EE192E">
      <w:pPr>
        <w:pStyle w:val="a3"/>
        <w:numPr>
          <w:ilvl w:val="1"/>
          <w:numId w:val="10"/>
        </w:numPr>
        <w:adjustRightInd w:val="0"/>
        <w:snapToGrid w:val="0"/>
        <w:ind w:leftChars="0"/>
        <w:rPr>
          <w:rFonts w:ascii="微軟正黑體" w:eastAsia="微軟正黑體" w:hAnsi="微軟正黑體"/>
        </w:rPr>
      </w:pPr>
      <w:r>
        <w:rPr>
          <w:rFonts w:ascii="微軟正黑體" w:eastAsia="微軟正黑體" w:hAnsi="微軟正黑體" w:hint="eastAsia"/>
        </w:rPr>
        <w:t>其他風險。</w:t>
      </w:r>
    </w:p>
    <w:p w:rsidR="003027CA" w:rsidRDefault="00AC1F2D" w:rsidP="003027CA">
      <w:pPr>
        <w:pStyle w:val="a3"/>
        <w:numPr>
          <w:ilvl w:val="0"/>
          <w:numId w:val="10"/>
        </w:numPr>
        <w:adjustRightInd w:val="0"/>
        <w:snapToGrid w:val="0"/>
        <w:ind w:leftChars="0"/>
        <w:rPr>
          <w:rFonts w:ascii="微軟正黑體" w:eastAsia="微軟正黑體" w:hAnsi="微軟正黑體"/>
        </w:rPr>
      </w:pPr>
      <w:r>
        <w:rPr>
          <w:rFonts w:ascii="微軟正黑體" w:eastAsia="微軟正黑體" w:hAnsi="微軟正黑體" w:hint="eastAsia"/>
        </w:rPr>
        <w:t>金融控股公司之資本適足率規範，轄下子公司不可以豁免遵守各業別資本適足率規範。</w:t>
      </w:r>
    </w:p>
    <w:p w:rsidR="00AC1F2D" w:rsidRDefault="00AC1F2D" w:rsidP="003027CA">
      <w:pPr>
        <w:pStyle w:val="a3"/>
        <w:numPr>
          <w:ilvl w:val="0"/>
          <w:numId w:val="10"/>
        </w:numPr>
        <w:adjustRightInd w:val="0"/>
        <w:snapToGrid w:val="0"/>
        <w:ind w:leftChars="0"/>
        <w:rPr>
          <w:rFonts w:ascii="微軟正黑體" w:eastAsia="微軟正黑體" w:hAnsi="微軟正黑體"/>
        </w:rPr>
      </w:pPr>
      <w:r>
        <w:rPr>
          <w:rFonts w:ascii="微軟正黑體" w:eastAsia="微軟正黑體" w:hAnsi="微軟正黑體" w:hint="eastAsia"/>
        </w:rPr>
        <w:t>金融控股公司之子公司，應符合各業別資本適足率之相關規範，整個集團得資本適足率則不低於100%。</w:t>
      </w:r>
    </w:p>
    <w:p w:rsidR="00AC1F2D" w:rsidRDefault="00AC1F2D" w:rsidP="003027CA">
      <w:pPr>
        <w:pStyle w:val="a3"/>
        <w:numPr>
          <w:ilvl w:val="0"/>
          <w:numId w:val="10"/>
        </w:numPr>
        <w:adjustRightInd w:val="0"/>
        <w:snapToGrid w:val="0"/>
        <w:ind w:leftChars="0"/>
        <w:rPr>
          <w:rFonts w:ascii="微軟正黑體" w:eastAsia="微軟正黑體" w:hAnsi="微軟正黑體"/>
        </w:rPr>
      </w:pPr>
      <w:r>
        <w:rPr>
          <w:rFonts w:ascii="微軟正黑體" w:eastAsia="微軟正黑體" w:hAnsi="微軟正黑體" w:hint="eastAsia"/>
        </w:rPr>
        <w:t>金控公司的「銀行、證券及保險公司」，指持有依銀行、保險公司或證券商已發行有表決權股份總數或資本總額超過百分之二十五，或直接、間接選任或指派依銀行、保險公司或證券商過半數之董事。</w:t>
      </w:r>
    </w:p>
    <w:p w:rsidR="00AC1F2D" w:rsidRDefault="00AC1F2D" w:rsidP="00AC1F2D">
      <w:pPr>
        <w:adjustRightInd w:val="0"/>
        <w:snapToGrid w:val="0"/>
        <w:rPr>
          <w:rFonts w:ascii="微軟正黑體" w:eastAsia="微軟正黑體" w:hAnsi="微軟正黑體"/>
        </w:rPr>
      </w:pPr>
    </w:p>
    <w:p w:rsidR="00AC1F2D" w:rsidRDefault="00C903DE" w:rsidP="00AC1F2D">
      <w:pPr>
        <w:adjustRightInd w:val="0"/>
        <w:snapToGrid w:val="0"/>
        <w:rPr>
          <w:rFonts w:ascii="微軟正黑體" w:eastAsia="微軟正黑體" w:hAnsi="微軟正黑體"/>
        </w:rPr>
      </w:pPr>
      <w:r>
        <w:rPr>
          <w:rFonts w:ascii="微軟正黑體" w:eastAsia="微軟正黑體" w:hAnsi="微軟正黑體" w:hint="eastAsia"/>
        </w:rPr>
        <w:lastRenderedPageBreak/>
        <w:t>商業銀行的風險管理制度</w:t>
      </w:r>
    </w:p>
    <w:p w:rsidR="00C903DE" w:rsidRDefault="004A6B89" w:rsidP="00C903DE">
      <w:pPr>
        <w:pStyle w:val="a3"/>
        <w:numPr>
          <w:ilvl w:val="0"/>
          <w:numId w:val="11"/>
        </w:numPr>
        <w:adjustRightInd w:val="0"/>
        <w:snapToGrid w:val="0"/>
        <w:ind w:leftChars="0"/>
        <w:rPr>
          <w:rFonts w:ascii="微軟正黑體" w:eastAsia="微軟正黑體" w:hAnsi="微軟正黑體"/>
        </w:rPr>
      </w:pPr>
      <w:r>
        <w:rPr>
          <w:rFonts w:ascii="微軟正黑體" w:eastAsia="微軟正黑體" w:hAnsi="微軟正黑體" w:hint="eastAsia"/>
        </w:rPr>
        <w:t>銀行的信用評等分成內部評等法與外部評等法兩種。</w:t>
      </w:r>
    </w:p>
    <w:p w:rsidR="004A6B89" w:rsidRDefault="004A6B89" w:rsidP="0036741E">
      <w:pPr>
        <w:pStyle w:val="a3"/>
        <w:numPr>
          <w:ilvl w:val="0"/>
          <w:numId w:val="11"/>
        </w:numPr>
        <w:adjustRightInd w:val="0"/>
        <w:snapToGrid w:val="0"/>
        <w:ind w:leftChars="0"/>
        <w:rPr>
          <w:rFonts w:ascii="微軟正黑體" w:eastAsia="微軟正黑體" w:hAnsi="微軟正黑體"/>
        </w:rPr>
      </w:pPr>
      <w:r>
        <w:rPr>
          <w:rFonts w:ascii="微軟正黑體" w:eastAsia="微軟正黑體" w:hAnsi="微軟正黑體" w:hint="eastAsia"/>
        </w:rPr>
        <w:t>銀行的授信客戶</w:t>
      </w:r>
      <w:r w:rsidR="0036741E">
        <w:rPr>
          <w:rFonts w:ascii="微軟正黑體" w:eastAsia="微軟正黑體" w:hAnsi="微軟正黑體" w:hint="eastAsia"/>
        </w:rPr>
        <w:t>集中在信用等級不佳的企業，常理上使用標準法，計提的資本額</w:t>
      </w:r>
      <w:r w:rsidR="0036741E" w:rsidRPr="0036741E">
        <w:rPr>
          <w:rFonts w:ascii="微軟正黑體" w:eastAsia="微軟正黑體" w:hAnsi="微軟正黑體" w:hint="eastAsia"/>
        </w:rPr>
        <w:t>較少。</w:t>
      </w:r>
    </w:p>
    <w:p w:rsidR="0036741E" w:rsidRDefault="0036741E" w:rsidP="0036741E">
      <w:pPr>
        <w:pStyle w:val="a3"/>
        <w:numPr>
          <w:ilvl w:val="0"/>
          <w:numId w:val="11"/>
        </w:numPr>
        <w:adjustRightInd w:val="0"/>
        <w:snapToGrid w:val="0"/>
        <w:ind w:leftChars="0"/>
        <w:rPr>
          <w:rFonts w:ascii="微軟正黑體" w:eastAsia="微軟正黑體" w:hAnsi="微軟正黑體"/>
        </w:rPr>
      </w:pPr>
      <w:r>
        <w:rPr>
          <w:rFonts w:ascii="微軟正黑體" w:eastAsia="微軟正黑體" w:hAnsi="微軟正黑體" w:hint="eastAsia"/>
        </w:rPr>
        <w:t>借款人所動用之資金確為購置自住使用之住宅，且符合本規定之條件，則該已動用部分得適用45%風險權數。</w:t>
      </w:r>
    </w:p>
    <w:p w:rsidR="0036741E" w:rsidRDefault="0036741E" w:rsidP="0036741E">
      <w:pPr>
        <w:pStyle w:val="a3"/>
        <w:numPr>
          <w:ilvl w:val="0"/>
          <w:numId w:val="11"/>
        </w:numPr>
        <w:adjustRightInd w:val="0"/>
        <w:snapToGrid w:val="0"/>
        <w:ind w:leftChars="0"/>
        <w:rPr>
          <w:rFonts w:ascii="微軟正黑體" w:eastAsia="微軟正黑體" w:hAnsi="微軟正黑體"/>
        </w:rPr>
      </w:pPr>
      <w:r>
        <w:rPr>
          <w:rFonts w:ascii="微軟正黑體" w:eastAsia="微軟正黑體" w:hAnsi="微軟正黑體" w:hint="eastAsia"/>
        </w:rPr>
        <w:t>銀行的自有資本對風險性資產的比率越高時，代表資本適足率越高，其承擔的資本風險就越小。</w:t>
      </w:r>
    </w:p>
    <w:p w:rsidR="0036741E" w:rsidRDefault="0036741E" w:rsidP="0036741E">
      <w:pPr>
        <w:pStyle w:val="a3"/>
        <w:numPr>
          <w:ilvl w:val="0"/>
          <w:numId w:val="11"/>
        </w:numPr>
        <w:adjustRightInd w:val="0"/>
        <w:snapToGrid w:val="0"/>
        <w:ind w:leftChars="0"/>
        <w:rPr>
          <w:rFonts w:ascii="微軟正黑體" w:eastAsia="微軟正黑體" w:hAnsi="微軟正黑體"/>
        </w:rPr>
      </w:pPr>
      <w:r>
        <w:rPr>
          <w:rFonts w:ascii="微軟正黑體" w:eastAsia="微軟正黑體" w:hAnsi="微軟正黑體" w:hint="eastAsia"/>
        </w:rPr>
        <w:t>信用違約交換的代價，原則上應每年檢查一次。</w:t>
      </w:r>
    </w:p>
    <w:p w:rsidR="0036741E" w:rsidRDefault="0036741E" w:rsidP="0036741E">
      <w:pPr>
        <w:pStyle w:val="a3"/>
        <w:numPr>
          <w:ilvl w:val="0"/>
          <w:numId w:val="11"/>
        </w:numPr>
        <w:adjustRightInd w:val="0"/>
        <w:snapToGrid w:val="0"/>
        <w:ind w:leftChars="0"/>
        <w:rPr>
          <w:rFonts w:ascii="微軟正黑體" w:eastAsia="微軟正黑體" w:hAnsi="微軟正黑體"/>
        </w:rPr>
      </w:pPr>
      <w:r>
        <w:rPr>
          <w:rFonts w:ascii="微軟正黑體" w:eastAsia="微軟正黑體" w:hAnsi="微軟正黑體" w:hint="eastAsia"/>
        </w:rPr>
        <w:t>資產負債表外業務活動可以分為五項，包含信用狀、擔保、放款承諾責任、租金承諾及衍生性金融商品等。選擇權屬於衍生性金融業務。</w:t>
      </w:r>
    </w:p>
    <w:p w:rsidR="0036741E" w:rsidRDefault="00156A96" w:rsidP="0036741E">
      <w:pPr>
        <w:pStyle w:val="a3"/>
        <w:numPr>
          <w:ilvl w:val="0"/>
          <w:numId w:val="11"/>
        </w:numPr>
        <w:adjustRightInd w:val="0"/>
        <w:snapToGrid w:val="0"/>
        <w:ind w:leftChars="0"/>
        <w:rPr>
          <w:rFonts w:ascii="微軟正黑體" w:eastAsia="微軟正黑體" w:hAnsi="微軟正黑體"/>
        </w:rPr>
      </w:pPr>
      <w:r>
        <w:rPr>
          <w:rFonts w:ascii="微軟正黑體" w:eastAsia="微軟正黑體" w:hAnsi="微軟正黑體" w:hint="eastAsia"/>
        </w:rPr>
        <w:t>銀行為發會內部評等制度法的管理功能，除了必須建立信用評等制度的機制外，</w:t>
      </w:r>
      <w:r w:rsidR="001322AA">
        <w:rPr>
          <w:rFonts w:ascii="微軟正黑體" w:eastAsia="微軟正黑體" w:hAnsi="微軟正黑體" w:hint="eastAsia"/>
        </w:rPr>
        <w:t>尚須建立之制度有:風險調整後之資本報酬率(RaROC)、風險資本(Capital Risk)、經濟資本(</w:t>
      </w:r>
      <w:r w:rsidR="001322AA">
        <w:rPr>
          <w:rFonts w:ascii="微軟正黑體" w:eastAsia="微軟正黑體" w:hAnsi="微軟正黑體"/>
        </w:rPr>
        <w:t>Economic Capital</w:t>
      </w:r>
      <w:r w:rsidR="001322AA">
        <w:rPr>
          <w:rFonts w:ascii="微軟正黑體" w:eastAsia="微軟正黑體" w:hAnsi="微軟正黑體" w:hint="eastAsia"/>
        </w:rPr>
        <w:t>，EC)等。</w:t>
      </w:r>
    </w:p>
    <w:p w:rsidR="001322AA" w:rsidRDefault="009C555E" w:rsidP="0036741E">
      <w:pPr>
        <w:pStyle w:val="a3"/>
        <w:numPr>
          <w:ilvl w:val="0"/>
          <w:numId w:val="11"/>
        </w:numPr>
        <w:adjustRightInd w:val="0"/>
        <w:snapToGrid w:val="0"/>
        <w:ind w:leftChars="0"/>
        <w:rPr>
          <w:rFonts w:ascii="微軟正黑體" w:eastAsia="微軟正黑體" w:hAnsi="微軟正黑體"/>
        </w:rPr>
      </w:pPr>
      <w:r>
        <w:rPr>
          <w:rFonts w:ascii="微軟正黑體" w:eastAsia="微軟正黑體" w:hAnsi="微軟正黑體" w:hint="eastAsia"/>
        </w:rPr>
        <w:t>借款人以購建住宅或房屋裝修為目的，提供本人或配偶或未成年子女所購(所有)之住宅為十足擔保並設定抵押權者，得適用35%風險權數，貸放比率在75%以下之貸款，適用35%的風險權數；貸放比率在75%以上之貸款，適用75%的風險權數。</w:t>
      </w:r>
    </w:p>
    <w:p w:rsidR="009C555E" w:rsidRDefault="009C555E" w:rsidP="0036741E">
      <w:pPr>
        <w:pStyle w:val="a3"/>
        <w:numPr>
          <w:ilvl w:val="0"/>
          <w:numId w:val="11"/>
        </w:numPr>
        <w:adjustRightInd w:val="0"/>
        <w:snapToGrid w:val="0"/>
        <w:ind w:leftChars="0"/>
        <w:rPr>
          <w:rFonts w:ascii="微軟正黑體" w:eastAsia="微軟正黑體" w:hAnsi="微軟正黑體"/>
        </w:rPr>
      </w:pPr>
      <w:r>
        <w:rPr>
          <w:rFonts w:ascii="微軟正黑體" w:eastAsia="微軟正黑體" w:hAnsi="微軟正黑體" w:hint="eastAsia"/>
        </w:rPr>
        <w:t>內部評等模型所計算出的風險限額稱為「風險值」</w:t>
      </w:r>
      <w:r w:rsidR="00F16A34">
        <w:rPr>
          <w:rFonts w:ascii="微軟正黑體" w:eastAsia="微軟正黑體" w:hAnsi="微軟正黑體" w:hint="eastAsia"/>
        </w:rPr>
        <w:t>。</w:t>
      </w:r>
    </w:p>
    <w:p w:rsidR="00F16A34" w:rsidRDefault="00F16A34" w:rsidP="0036741E">
      <w:pPr>
        <w:pStyle w:val="a3"/>
        <w:numPr>
          <w:ilvl w:val="0"/>
          <w:numId w:val="11"/>
        </w:numPr>
        <w:adjustRightInd w:val="0"/>
        <w:snapToGrid w:val="0"/>
        <w:ind w:leftChars="0"/>
        <w:rPr>
          <w:rFonts w:ascii="微軟正黑體" w:eastAsia="微軟正黑體" w:hAnsi="微軟正黑體"/>
        </w:rPr>
      </w:pPr>
      <w:r>
        <w:rPr>
          <w:rFonts w:ascii="微軟正黑體" w:eastAsia="微軟正黑體" w:hAnsi="微軟正黑體" w:hint="eastAsia"/>
        </w:rPr>
        <w:t>衡量回收風險之信用損失，假設借款</w:t>
      </w:r>
      <w:r w:rsidR="00442CCD">
        <w:rPr>
          <w:rFonts w:ascii="微軟正黑體" w:eastAsia="微軟正黑體" w:hAnsi="微軟正黑體" w:hint="eastAsia"/>
        </w:rPr>
        <w:t>客戶的信用曝險額及違約損失率已知，只有違約機率是變動且未知時:</w:t>
      </w:r>
    </w:p>
    <w:p w:rsidR="00442CCD" w:rsidRPr="00442CCD" w:rsidRDefault="00442CCD" w:rsidP="00442CCD">
      <w:pPr>
        <w:pStyle w:val="a3"/>
        <w:adjustRightInd w:val="0"/>
        <w:snapToGrid w:val="0"/>
        <w:ind w:leftChars="0" w:left="960"/>
        <w:rPr>
          <w:rFonts w:ascii="微軟正黑體" w:eastAsia="微軟正黑體" w:hAnsi="微軟正黑體"/>
        </w:rPr>
      </w:pPr>
      <w:r>
        <w:rPr>
          <w:rFonts w:ascii="微軟正黑體" w:eastAsia="微軟正黑體" w:hAnsi="微軟正黑體" w:hint="eastAsia"/>
        </w:rPr>
        <w:t>信用損失=信用曝險額*違約機率(1-回收金額)</w:t>
      </w:r>
    </w:p>
    <w:p w:rsidR="00442CCD" w:rsidRDefault="00442CCD" w:rsidP="0036741E">
      <w:pPr>
        <w:pStyle w:val="a3"/>
        <w:numPr>
          <w:ilvl w:val="0"/>
          <w:numId w:val="11"/>
        </w:numPr>
        <w:adjustRightInd w:val="0"/>
        <w:snapToGrid w:val="0"/>
        <w:ind w:leftChars="0"/>
        <w:rPr>
          <w:rFonts w:ascii="微軟正黑體" w:eastAsia="微軟正黑體" w:hAnsi="微軟正黑體"/>
        </w:rPr>
      </w:pPr>
      <w:r>
        <w:rPr>
          <w:rFonts w:ascii="微軟正黑體" w:eastAsia="微軟正黑體" w:hAnsi="微軟正黑體" w:hint="eastAsia"/>
        </w:rPr>
        <w:t>關於市價評估交易對手風險損失(</w:t>
      </w:r>
      <w:r>
        <w:rPr>
          <w:rFonts w:ascii="微軟正黑體" w:eastAsia="微軟正黑體" w:hAnsi="微軟正黑體"/>
        </w:rPr>
        <w:t>CVA</w:t>
      </w:r>
      <w:r>
        <w:rPr>
          <w:rFonts w:ascii="微軟正黑體" w:eastAsia="微軟正黑體" w:hAnsi="微軟正黑體" w:hint="eastAsia"/>
        </w:rPr>
        <w:t>)，交易對手之外部信用評等越好，則適用權數越低。</w:t>
      </w:r>
    </w:p>
    <w:p w:rsidR="00442CCD" w:rsidRDefault="00442CCD" w:rsidP="0036741E">
      <w:pPr>
        <w:pStyle w:val="a3"/>
        <w:numPr>
          <w:ilvl w:val="0"/>
          <w:numId w:val="11"/>
        </w:numPr>
        <w:adjustRightInd w:val="0"/>
        <w:snapToGrid w:val="0"/>
        <w:ind w:leftChars="0"/>
        <w:rPr>
          <w:rFonts w:ascii="微軟正黑體" w:eastAsia="微軟正黑體" w:hAnsi="微軟正黑體"/>
        </w:rPr>
      </w:pPr>
      <w:r>
        <w:rPr>
          <w:rFonts w:ascii="微軟正黑體" w:eastAsia="微軟正黑體" w:hAnsi="微軟正黑體" w:hint="eastAsia"/>
        </w:rPr>
        <w:t>金融機構應提存準備金之存款範圍如下:</w:t>
      </w:r>
    </w:p>
    <w:p w:rsidR="00442CCD" w:rsidRDefault="00442CCD" w:rsidP="00442CCD">
      <w:pPr>
        <w:pStyle w:val="a3"/>
        <w:numPr>
          <w:ilvl w:val="1"/>
          <w:numId w:val="11"/>
        </w:numPr>
        <w:adjustRightInd w:val="0"/>
        <w:snapToGrid w:val="0"/>
        <w:ind w:leftChars="0"/>
        <w:rPr>
          <w:rFonts w:ascii="微軟正黑體" w:eastAsia="微軟正黑體" w:hAnsi="微軟正黑體"/>
        </w:rPr>
      </w:pPr>
      <w:r>
        <w:rPr>
          <w:rFonts w:ascii="微軟正黑體" w:eastAsia="微軟正黑體" w:hAnsi="微軟正黑體" w:hint="eastAsia"/>
        </w:rPr>
        <w:t>支票存款(包含支票存款、領用劃撥支票之郵政劃撥儲金、保付支票、旅行支票)</w:t>
      </w:r>
    </w:p>
    <w:p w:rsidR="00442CCD" w:rsidRDefault="000D7920" w:rsidP="00442CCD">
      <w:pPr>
        <w:pStyle w:val="a3"/>
        <w:numPr>
          <w:ilvl w:val="1"/>
          <w:numId w:val="11"/>
        </w:numPr>
        <w:adjustRightInd w:val="0"/>
        <w:snapToGrid w:val="0"/>
        <w:ind w:leftChars="0"/>
        <w:rPr>
          <w:rFonts w:ascii="微軟正黑體" w:eastAsia="微軟正黑體" w:hAnsi="微軟正黑體"/>
        </w:rPr>
      </w:pPr>
      <w:r>
        <w:rPr>
          <w:rFonts w:ascii="微軟正黑體" w:eastAsia="微軟正黑體" w:hAnsi="微軟正黑體" w:hint="eastAsia"/>
        </w:rPr>
        <w:t>活期存款(包含活期存款、未領用劃撥支票之郵政劃撥儲金、辦理現金儲值卡業務預收之現金餘額、儲存於電子票證或電子支付帳號之儲值款項)。</w:t>
      </w:r>
    </w:p>
    <w:p w:rsidR="000D7920" w:rsidRDefault="00D7038C" w:rsidP="00442CCD">
      <w:pPr>
        <w:pStyle w:val="a3"/>
        <w:numPr>
          <w:ilvl w:val="1"/>
          <w:numId w:val="11"/>
        </w:numPr>
        <w:adjustRightInd w:val="0"/>
        <w:snapToGrid w:val="0"/>
        <w:ind w:leftChars="0"/>
        <w:rPr>
          <w:rFonts w:ascii="微軟正黑體" w:eastAsia="微軟正黑體" w:hAnsi="微軟正黑體"/>
        </w:rPr>
      </w:pPr>
      <w:r>
        <w:rPr>
          <w:rFonts w:ascii="微軟正黑體" w:eastAsia="微軟正黑體" w:hAnsi="微軟正黑體" w:hint="eastAsia"/>
        </w:rPr>
        <w:t>儲蓄存款</w:t>
      </w:r>
      <w:r w:rsidR="00D621D6">
        <w:rPr>
          <w:rFonts w:ascii="微軟正黑體" w:eastAsia="微軟正黑體" w:hAnsi="微軟正黑體" w:hint="eastAsia"/>
        </w:rPr>
        <w:t>(包含活期儲蓄存款、行員儲蓄存款、郵政存簿儲金；整存整付儲蓄存款、零存整付儲蓄存款、存本付息儲蓄存款、行員定期儲蓄存款、郵政定期儲金之定期儲蓄存款等)。</w:t>
      </w:r>
    </w:p>
    <w:p w:rsidR="00D621D6" w:rsidRDefault="00D621D6" w:rsidP="00D621D6">
      <w:pPr>
        <w:pStyle w:val="a3"/>
        <w:numPr>
          <w:ilvl w:val="1"/>
          <w:numId w:val="11"/>
        </w:numPr>
        <w:adjustRightInd w:val="0"/>
        <w:snapToGrid w:val="0"/>
        <w:ind w:leftChars="0"/>
        <w:rPr>
          <w:rFonts w:ascii="微軟正黑體" w:eastAsia="微軟正黑體" w:hAnsi="微軟正黑體"/>
        </w:rPr>
      </w:pPr>
      <w:r>
        <w:rPr>
          <w:rFonts w:ascii="微軟正黑體" w:eastAsia="微軟正黑體" w:hAnsi="微軟正黑體" w:hint="eastAsia"/>
        </w:rPr>
        <w:t>定期存款(包含定期存款、可轉讓定期存單、郵政定期儲金之定期存款等)。</w:t>
      </w:r>
    </w:p>
    <w:p w:rsidR="00D621D6" w:rsidRDefault="00AE3646" w:rsidP="00D621D6">
      <w:pPr>
        <w:pStyle w:val="a3"/>
        <w:numPr>
          <w:ilvl w:val="0"/>
          <w:numId w:val="11"/>
        </w:numPr>
        <w:adjustRightInd w:val="0"/>
        <w:snapToGrid w:val="0"/>
        <w:ind w:leftChars="0"/>
        <w:rPr>
          <w:rFonts w:ascii="微軟正黑體" w:eastAsia="微軟正黑體" w:hAnsi="微軟正黑體"/>
        </w:rPr>
      </w:pPr>
      <w:r>
        <w:rPr>
          <w:rFonts w:ascii="微軟正黑體" w:eastAsia="微軟正黑體" w:hAnsi="微軟正黑體" w:hint="eastAsia"/>
        </w:rPr>
        <w:t>金融機構之下列存款免提存準備金:</w:t>
      </w:r>
    </w:p>
    <w:p w:rsidR="00AE3646" w:rsidRDefault="00AE3646" w:rsidP="00AE3646">
      <w:pPr>
        <w:pStyle w:val="a3"/>
        <w:numPr>
          <w:ilvl w:val="1"/>
          <w:numId w:val="11"/>
        </w:numPr>
        <w:adjustRightInd w:val="0"/>
        <w:snapToGrid w:val="0"/>
        <w:ind w:leftChars="0"/>
        <w:rPr>
          <w:rFonts w:ascii="微軟正黑體" w:eastAsia="微軟正黑體" w:hAnsi="微軟正黑體"/>
        </w:rPr>
      </w:pPr>
      <w:r>
        <w:rPr>
          <w:rFonts w:ascii="微軟正黑體" w:eastAsia="微軟正黑體" w:hAnsi="微軟正黑體" w:hint="eastAsia"/>
        </w:rPr>
        <w:t>同業存款。但不包含金融機構間存放之定期性存款。</w:t>
      </w:r>
    </w:p>
    <w:p w:rsidR="00AE3646" w:rsidRDefault="00ED33C3" w:rsidP="00AE3646">
      <w:pPr>
        <w:pStyle w:val="a3"/>
        <w:numPr>
          <w:ilvl w:val="1"/>
          <w:numId w:val="11"/>
        </w:numPr>
        <w:adjustRightInd w:val="0"/>
        <w:snapToGrid w:val="0"/>
        <w:ind w:leftChars="0"/>
        <w:rPr>
          <w:rFonts w:ascii="微軟正黑體" w:eastAsia="微軟正黑體" w:hAnsi="微軟正黑體"/>
        </w:rPr>
      </w:pPr>
      <w:r>
        <w:rPr>
          <w:rFonts w:ascii="微軟正黑體" w:eastAsia="微軟正黑體" w:hAnsi="微軟正黑體" w:hint="eastAsia"/>
        </w:rPr>
        <w:t>公庫存款。</w:t>
      </w:r>
    </w:p>
    <w:p w:rsidR="00ED33C3" w:rsidRDefault="00ED33C3" w:rsidP="00AE3646">
      <w:pPr>
        <w:pStyle w:val="a3"/>
        <w:numPr>
          <w:ilvl w:val="1"/>
          <w:numId w:val="11"/>
        </w:numPr>
        <w:adjustRightInd w:val="0"/>
        <w:snapToGrid w:val="0"/>
        <w:ind w:leftChars="0"/>
        <w:rPr>
          <w:rFonts w:ascii="微軟正黑體" w:eastAsia="微軟正黑體" w:hAnsi="微軟正黑體"/>
        </w:rPr>
      </w:pPr>
      <w:r>
        <w:rPr>
          <w:rFonts w:ascii="微軟正黑體" w:eastAsia="微軟正黑體" w:hAnsi="微軟正黑體" w:hint="eastAsia"/>
        </w:rPr>
        <w:t>公教人員退休金、國金退休金及國軍同袍儲蓄會等之優惠存款。</w:t>
      </w:r>
    </w:p>
    <w:p w:rsidR="001D49B3" w:rsidRDefault="001D49B3" w:rsidP="00AE3646">
      <w:pPr>
        <w:pStyle w:val="a3"/>
        <w:numPr>
          <w:ilvl w:val="1"/>
          <w:numId w:val="11"/>
        </w:numPr>
        <w:adjustRightInd w:val="0"/>
        <w:snapToGrid w:val="0"/>
        <w:ind w:leftChars="0"/>
        <w:rPr>
          <w:rFonts w:ascii="微軟正黑體" w:eastAsia="微軟正黑體" w:hAnsi="微軟正黑體"/>
        </w:rPr>
      </w:pPr>
      <w:r>
        <w:rPr>
          <w:rFonts w:ascii="微軟正黑體" w:eastAsia="微軟正黑體" w:hAnsi="微軟正黑體" w:hint="eastAsia"/>
        </w:rPr>
        <w:t>基層金融機構收受之定期性存款，依中央銀行規定條件轉存農業行庫者。</w:t>
      </w:r>
    </w:p>
    <w:p w:rsidR="00ED33C3" w:rsidRDefault="001D49B3" w:rsidP="00AE3646">
      <w:pPr>
        <w:pStyle w:val="a3"/>
        <w:numPr>
          <w:ilvl w:val="1"/>
          <w:numId w:val="11"/>
        </w:numPr>
        <w:adjustRightInd w:val="0"/>
        <w:snapToGrid w:val="0"/>
        <w:ind w:leftChars="0"/>
        <w:rPr>
          <w:rFonts w:ascii="微軟正黑體" w:eastAsia="微軟正黑體" w:hAnsi="微軟正黑體"/>
        </w:rPr>
      </w:pPr>
      <w:r>
        <w:rPr>
          <w:rFonts w:ascii="微軟正黑體" w:eastAsia="微軟正黑體" w:hAnsi="微軟正黑體" w:hint="eastAsia"/>
        </w:rPr>
        <w:t>要保金</w:t>
      </w:r>
      <w:r w:rsidR="005D7378">
        <w:rPr>
          <w:rFonts w:ascii="微軟正黑體" w:eastAsia="微軟正黑體" w:hAnsi="微軟正黑體" w:hint="eastAsia"/>
        </w:rPr>
        <w:t>融機構收受中央存款保險公司依存款保險條例第28條及第29條規定所為之存款。</w:t>
      </w:r>
    </w:p>
    <w:p w:rsidR="005D7378" w:rsidRDefault="005D7378" w:rsidP="00AE3646">
      <w:pPr>
        <w:pStyle w:val="a3"/>
        <w:numPr>
          <w:ilvl w:val="1"/>
          <w:numId w:val="11"/>
        </w:numPr>
        <w:adjustRightInd w:val="0"/>
        <w:snapToGrid w:val="0"/>
        <w:ind w:leftChars="0"/>
        <w:rPr>
          <w:rFonts w:ascii="微軟正黑體" w:eastAsia="微軟正黑體" w:hAnsi="微軟正黑體"/>
        </w:rPr>
      </w:pPr>
      <w:r>
        <w:rPr>
          <w:rFonts w:ascii="微軟正黑體" w:eastAsia="微軟正黑體" w:hAnsi="微軟正黑體" w:hint="eastAsia"/>
        </w:rPr>
        <w:t>其他經本行核定之存款。</w:t>
      </w:r>
    </w:p>
    <w:p w:rsidR="005D7378" w:rsidRDefault="005D7378" w:rsidP="005D7378">
      <w:pPr>
        <w:adjustRightInd w:val="0"/>
        <w:snapToGrid w:val="0"/>
        <w:ind w:left="960"/>
        <w:rPr>
          <w:rFonts w:ascii="微軟正黑體" w:eastAsia="微軟正黑體" w:hAnsi="微軟正黑體"/>
        </w:rPr>
      </w:pPr>
      <w:r>
        <w:rPr>
          <w:rFonts w:ascii="微軟正黑體" w:eastAsia="微軟正黑體" w:hAnsi="微軟正黑體" w:hint="eastAsia"/>
        </w:rPr>
        <w:lastRenderedPageBreak/>
        <w:t>前項第(4)款免提準備金之定期性存款，由收受轉存之農業行庫列入第(1)項存款提列準備金；其處理方式另定之。</w:t>
      </w:r>
    </w:p>
    <w:p w:rsidR="005D7378" w:rsidRDefault="005D7378" w:rsidP="005D7378">
      <w:pPr>
        <w:adjustRightInd w:val="0"/>
        <w:snapToGrid w:val="0"/>
        <w:rPr>
          <w:rFonts w:ascii="微軟正黑體" w:eastAsia="微軟正黑體" w:hAnsi="微軟正黑體"/>
        </w:rPr>
      </w:pPr>
    </w:p>
    <w:p w:rsidR="005D7378" w:rsidRDefault="005D7378" w:rsidP="005D7378">
      <w:pPr>
        <w:adjustRightInd w:val="0"/>
        <w:snapToGrid w:val="0"/>
        <w:rPr>
          <w:rFonts w:ascii="微軟正黑體" w:eastAsia="微軟正黑體" w:hAnsi="微軟正黑體"/>
        </w:rPr>
      </w:pPr>
      <w:r>
        <w:rPr>
          <w:rFonts w:ascii="微軟正黑體" w:eastAsia="微軟正黑體" w:hAnsi="微軟正黑體" w:hint="eastAsia"/>
        </w:rPr>
        <w:t>商業銀行的市場風險管理、作業風險管理及槓桿比率之計算</w:t>
      </w:r>
    </w:p>
    <w:p w:rsidR="005D7378" w:rsidRDefault="00A80D16" w:rsidP="005D7378">
      <w:pPr>
        <w:pStyle w:val="a3"/>
        <w:numPr>
          <w:ilvl w:val="0"/>
          <w:numId w:val="12"/>
        </w:numPr>
        <w:adjustRightInd w:val="0"/>
        <w:snapToGrid w:val="0"/>
        <w:ind w:leftChars="0" w:left="709" w:hanging="142"/>
        <w:rPr>
          <w:rFonts w:ascii="微軟正黑體" w:eastAsia="微軟正黑體" w:hAnsi="微軟正黑體"/>
        </w:rPr>
      </w:pPr>
      <w:r>
        <w:rPr>
          <w:rFonts w:ascii="微軟正黑體" w:eastAsia="微軟正黑體" w:hAnsi="微軟正黑體" w:hint="eastAsia"/>
        </w:rPr>
        <w:t>巴賽爾資本適足率:</w:t>
      </w:r>
    </w:p>
    <w:tbl>
      <w:tblPr>
        <w:tblStyle w:val="af"/>
        <w:tblW w:w="0" w:type="auto"/>
        <w:tblInd w:w="709" w:type="dxa"/>
        <w:tblLook w:val="04A0" w:firstRow="1" w:lastRow="0" w:firstColumn="1" w:lastColumn="0" w:noHBand="0" w:noVBand="1"/>
      </w:tblPr>
      <w:tblGrid>
        <w:gridCol w:w="2418"/>
        <w:gridCol w:w="3814"/>
        <w:gridCol w:w="1757"/>
        <w:gridCol w:w="1758"/>
      </w:tblGrid>
      <w:tr w:rsidR="00A80D16" w:rsidTr="00C36391">
        <w:tc>
          <w:tcPr>
            <w:tcW w:w="2418" w:type="dxa"/>
            <w:vAlign w:val="center"/>
          </w:tcPr>
          <w:p w:rsidR="00A80D16" w:rsidRDefault="00A80D16" w:rsidP="00C36391">
            <w:pPr>
              <w:pStyle w:val="a3"/>
              <w:adjustRightInd w:val="0"/>
              <w:snapToGrid w:val="0"/>
              <w:ind w:leftChars="0" w:left="0"/>
              <w:jc w:val="center"/>
              <w:rPr>
                <w:rFonts w:ascii="微軟正黑體" w:eastAsia="微軟正黑體" w:hAnsi="微軟正黑體"/>
              </w:rPr>
            </w:pPr>
            <w:r>
              <w:rPr>
                <w:rFonts w:ascii="微軟正黑體" w:eastAsia="微軟正黑體" w:hAnsi="微軟正黑體" w:hint="eastAsia"/>
              </w:rPr>
              <w:t>比率</w:t>
            </w:r>
          </w:p>
        </w:tc>
        <w:tc>
          <w:tcPr>
            <w:tcW w:w="3814" w:type="dxa"/>
            <w:vAlign w:val="center"/>
          </w:tcPr>
          <w:p w:rsidR="00A80D16" w:rsidRDefault="00A80D16" w:rsidP="00C36391">
            <w:pPr>
              <w:pStyle w:val="a3"/>
              <w:adjustRightInd w:val="0"/>
              <w:snapToGrid w:val="0"/>
              <w:ind w:leftChars="0" w:left="0"/>
              <w:jc w:val="center"/>
              <w:rPr>
                <w:rFonts w:ascii="微軟正黑體" w:eastAsia="微軟正黑體" w:hAnsi="微軟正黑體"/>
              </w:rPr>
            </w:pPr>
            <w:r>
              <w:rPr>
                <w:rFonts w:ascii="微軟正黑體" w:eastAsia="微軟正黑體" w:hAnsi="微軟正黑體" w:hint="eastAsia"/>
              </w:rPr>
              <w:t>計算公式</w:t>
            </w:r>
          </w:p>
        </w:tc>
        <w:tc>
          <w:tcPr>
            <w:tcW w:w="1757" w:type="dxa"/>
            <w:vAlign w:val="center"/>
          </w:tcPr>
          <w:p w:rsidR="00A80D16" w:rsidRDefault="00A80D16" w:rsidP="00C36391">
            <w:pPr>
              <w:pStyle w:val="a3"/>
              <w:adjustRightInd w:val="0"/>
              <w:snapToGrid w:val="0"/>
              <w:ind w:leftChars="0" w:left="0"/>
              <w:jc w:val="center"/>
              <w:rPr>
                <w:rFonts w:ascii="微軟正黑體" w:eastAsia="微軟正黑體" w:hAnsi="微軟正黑體"/>
              </w:rPr>
            </w:pPr>
            <w:r>
              <w:rPr>
                <w:rFonts w:ascii="微軟正黑體" w:eastAsia="微軟正黑體" w:hAnsi="微軟正黑體" w:hint="eastAsia"/>
              </w:rPr>
              <w:t>巴賽爾資本協定(B</w:t>
            </w:r>
            <w:r>
              <w:rPr>
                <w:rFonts w:ascii="微軟正黑體" w:eastAsia="微軟正黑體" w:hAnsi="微軟正黑體"/>
              </w:rPr>
              <w:t xml:space="preserve">asel </w:t>
            </w:r>
            <w:r>
              <w:rPr>
                <w:rFonts w:ascii="微軟正黑體" w:eastAsia="微軟正黑體" w:hAnsi="微軟正黑體" w:hint="eastAsia"/>
              </w:rPr>
              <w:t>II</w:t>
            </w:r>
            <w:r>
              <w:rPr>
                <w:rFonts w:ascii="微軟正黑體" w:eastAsia="微軟正黑體" w:hAnsi="微軟正黑體"/>
              </w:rPr>
              <w:t>)</w:t>
            </w:r>
          </w:p>
        </w:tc>
        <w:tc>
          <w:tcPr>
            <w:tcW w:w="1758" w:type="dxa"/>
            <w:vAlign w:val="center"/>
          </w:tcPr>
          <w:p w:rsidR="00A80D16" w:rsidRDefault="00A80D16" w:rsidP="00C36391">
            <w:pPr>
              <w:pStyle w:val="a3"/>
              <w:adjustRightInd w:val="0"/>
              <w:snapToGrid w:val="0"/>
              <w:ind w:leftChars="0" w:left="0"/>
              <w:jc w:val="center"/>
              <w:rPr>
                <w:rFonts w:ascii="微軟正黑體" w:eastAsia="微軟正黑體" w:hAnsi="微軟正黑體"/>
              </w:rPr>
            </w:pPr>
            <w:r>
              <w:rPr>
                <w:rFonts w:ascii="微軟正黑體" w:eastAsia="微軟正黑體" w:hAnsi="微軟正黑體" w:hint="eastAsia"/>
              </w:rPr>
              <w:t>巴賽爾資本協定(B</w:t>
            </w:r>
            <w:r>
              <w:rPr>
                <w:rFonts w:ascii="微軟正黑體" w:eastAsia="微軟正黑體" w:hAnsi="微軟正黑體"/>
              </w:rPr>
              <w:t xml:space="preserve">asel </w:t>
            </w:r>
            <w:r>
              <w:rPr>
                <w:rFonts w:ascii="微軟正黑體" w:eastAsia="微軟正黑體" w:hAnsi="微軟正黑體" w:hint="eastAsia"/>
              </w:rPr>
              <w:t>II</w:t>
            </w:r>
            <w:r>
              <w:rPr>
                <w:rFonts w:ascii="微軟正黑體" w:eastAsia="微軟正黑體" w:hAnsi="微軟正黑體"/>
              </w:rPr>
              <w:t>I)</w:t>
            </w:r>
          </w:p>
        </w:tc>
      </w:tr>
      <w:tr w:rsidR="00A80D16" w:rsidTr="00F21F02">
        <w:tc>
          <w:tcPr>
            <w:tcW w:w="2418" w:type="dxa"/>
          </w:tcPr>
          <w:p w:rsidR="00A80D16" w:rsidRDefault="00553E9D" w:rsidP="00A80D16">
            <w:pPr>
              <w:pStyle w:val="a3"/>
              <w:adjustRightInd w:val="0"/>
              <w:snapToGrid w:val="0"/>
              <w:ind w:leftChars="0" w:left="0"/>
              <w:rPr>
                <w:rFonts w:ascii="微軟正黑體" w:eastAsia="微軟正黑體" w:hAnsi="微軟正黑體"/>
              </w:rPr>
            </w:pPr>
            <w:r>
              <w:rPr>
                <w:rFonts w:ascii="微軟正黑體" w:eastAsia="微軟正黑體" w:hAnsi="微軟正黑體" w:hint="eastAsia"/>
              </w:rPr>
              <w:t>資本適足率</w:t>
            </w:r>
          </w:p>
        </w:tc>
        <w:tc>
          <w:tcPr>
            <w:tcW w:w="3814" w:type="dxa"/>
          </w:tcPr>
          <w:p w:rsidR="00A80D16" w:rsidRDefault="00F21F02" w:rsidP="00A80D16">
            <w:pPr>
              <w:pStyle w:val="a3"/>
              <w:adjustRightInd w:val="0"/>
              <w:snapToGrid w:val="0"/>
              <w:ind w:leftChars="0" w:left="0"/>
              <w:rPr>
                <w:rFonts w:ascii="微軟正黑體" w:eastAsia="微軟正黑體" w:hAnsi="微軟正黑體"/>
              </w:rPr>
            </w:pPr>
            <w:r>
              <w:rPr>
                <w:rFonts w:ascii="微軟正黑體" w:eastAsia="微軟正黑體" w:hAnsi="微軟正黑體" w:hint="eastAsia"/>
              </w:rPr>
              <w:t>(一級資本+二級資本-扣除項)/風險加權資產</w:t>
            </w:r>
          </w:p>
        </w:tc>
        <w:tc>
          <w:tcPr>
            <w:tcW w:w="1757" w:type="dxa"/>
          </w:tcPr>
          <w:p w:rsidR="00A80D16" w:rsidRDefault="00553E9D" w:rsidP="00A80D16">
            <w:pPr>
              <w:pStyle w:val="a3"/>
              <w:adjustRightInd w:val="0"/>
              <w:snapToGrid w:val="0"/>
              <w:ind w:leftChars="0" w:left="0"/>
              <w:rPr>
                <w:rFonts w:ascii="微軟正黑體" w:eastAsia="微軟正黑體" w:hAnsi="微軟正黑體"/>
              </w:rPr>
            </w:pPr>
            <w:r>
              <w:rPr>
                <w:rFonts w:ascii="微軟正黑體" w:eastAsia="微軟正黑體" w:hAnsi="微軟正黑體" w:hint="eastAsia"/>
              </w:rPr>
              <w:t>8%</w:t>
            </w:r>
          </w:p>
        </w:tc>
        <w:tc>
          <w:tcPr>
            <w:tcW w:w="1758" w:type="dxa"/>
          </w:tcPr>
          <w:p w:rsidR="00A80D16" w:rsidRPr="00553E9D" w:rsidRDefault="00553E9D" w:rsidP="00A80D16">
            <w:pPr>
              <w:pStyle w:val="a3"/>
              <w:adjustRightInd w:val="0"/>
              <w:snapToGrid w:val="0"/>
              <w:ind w:leftChars="0" w:left="0"/>
              <w:rPr>
                <w:rFonts w:ascii="微軟正黑體" w:eastAsia="微軟正黑體" w:hAnsi="微軟正黑體"/>
              </w:rPr>
            </w:pPr>
            <w:r>
              <w:rPr>
                <w:rFonts w:ascii="微軟正黑體" w:eastAsia="微軟正黑體" w:hAnsi="微軟正黑體" w:hint="eastAsia"/>
              </w:rPr>
              <w:t>8%</w:t>
            </w:r>
          </w:p>
        </w:tc>
      </w:tr>
      <w:tr w:rsidR="00A80D16" w:rsidTr="00F21F02">
        <w:tc>
          <w:tcPr>
            <w:tcW w:w="2418" w:type="dxa"/>
          </w:tcPr>
          <w:p w:rsidR="00A80D16" w:rsidRDefault="00553E9D" w:rsidP="00A80D16">
            <w:pPr>
              <w:pStyle w:val="a3"/>
              <w:adjustRightInd w:val="0"/>
              <w:snapToGrid w:val="0"/>
              <w:ind w:leftChars="0" w:left="0"/>
              <w:rPr>
                <w:rFonts w:ascii="微軟正黑體" w:eastAsia="微軟正黑體" w:hAnsi="微軟正黑體"/>
              </w:rPr>
            </w:pPr>
            <w:r>
              <w:rPr>
                <w:rFonts w:ascii="微軟正黑體" w:eastAsia="微軟正黑體" w:hAnsi="微軟正黑體" w:hint="eastAsia"/>
              </w:rPr>
              <w:t>核心資本適足率</w:t>
            </w:r>
          </w:p>
        </w:tc>
        <w:tc>
          <w:tcPr>
            <w:tcW w:w="3814" w:type="dxa"/>
          </w:tcPr>
          <w:p w:rsidR="00A80D16" w:rsidRDefault="00F21F02" w:rsidP="00A80D16">
            <w:pPr>
              <w:pStyle w:val="a3"/>
              <w:adjustRightInd w:val="0"/>
              <w:snapToGrid w:val="0"/>
              <w:ind w:leftChars="0" w:left="0"/>
              <w:rPr>
                <w:rFonts w:ascii="微軟正黑體" w:eastAsia="微軟正黑體" w:hAnsi="微軟正黑體"/>
              </w:rPr>
            </w:pPr>
            <w:r>
              <w:rPr>
                <w:rFonts w:ascii="微軟正黑體" w:eastAsia="微軟正黑體" w:hAnsi="微軟正黑體" w:hint="eastAsia"/>
              </w:rPr>
              <w:t>(一級資本-扣除項)/風險加權資產</w:t>
            </w:r>
          </w:p>
        </w:tc>
        <w:tc>
          <w:tcPr>
            <w:tcW w:w="1757" w:type="dxa"/>
          </w:tcPr>
          <w:p w:rsidR="00A80D16" w:rsidRDefault="00553E9D" w:rsidP="00A80D16">
            <w:pPr>
              <w:pStyle w:val="a3"/>
              <w:adjustRightInd w:val="0"/>
              <w:snapToGrid w:val="0"/>
              <w:ind w:leftChars="0" w:left="0"/>
              <w:rPr>
                <w:rFonts w:ascii="微軟正黑體" w:eastAsia="微軟正黑體" w:hAnsi="微軟正黑體"/>
              </w:rPr>
            </w:pPr>
            <w:r>
              <w:rPr>
                <w:rFonts w:ascii="微軟正黑體" w:eastAsia="微軟正黑體" w:hAnsi="微軟正黑體" w:hint="eastAsia"/>
              </w:rPr>
              <w:t>4%</w:t>
            </w:r>
          </w:p>
        </w:tc>
        <w:tc>
          <w:tcPr>
            <w:tcW w:w="1758" w:type="dxa"/>
          </w:tcPr>
          <w:p w:rsidR="00A80D16" w:rsidRDefault="00553E9D" w:rsidP="00A80D16">
            <w:pPr>
              <w:pStyle w:val="a3"/>
              <w:adjustRightInd w:val="0"/>
              <w:snapToGrid w:val="0"/>
              <w:ind w:leftChars="0" w:left="0"/>
              <w:rPr>
                <w:rFonts w:ascii="微軟正黑體" w:eastAsia="微軟正黑體" w:hAnsi="微軟正黑體"/>
              </w:rPr>
            </w:pPr>
            <w:r>
              <w:rPr>
                <w:rFonts w:ascii="微軟正黑體" w:eastAsia="微軟正黑體" w:hAnsi="微軟正黑體" w:hint="eastAsia"/>
              </w:rPr>
              <w:t>6%</w:t>
            </w:r>
          </w:p>
        </w:tc>
      </w:tr>
      <w:tr w:rsidR="00A80D16" w:rsidTr="00F21F02">
        <w:tc>
          <w:tcPr>
            <w:tcW w:w="2418" w:type="dxa"/>
          </w:tcPr>
          <w:p w:rsidR="00A80D16" w:rsidRDefault="00553E9D" w:rsidP="00A80D16">
            <w:pPr>
              <w:pStyle w:val="a3"/>
              <w:adjustRightInd w:val="0"/>
              <w:snapToGrid w:val="0"/>
              <w:ind w:leftChars="0" w:left="0"/>
              <w:rPr>
                <w:rFonts w:ascii="微軟正黑體" w:eastAsia="微軟正黑體" w:hAnsi="微軟正黑體"/>
              </w:rPr>
            </w:pPr>
            <w:r>
              <w:rPr>
                <w:rFonts w:ascii="微軟正黑體" w:eastAsia="微軟正黑體" w:hAnsi="微軟正黑體" w:hint="eastAsia"/>
              </w:rPr>
              <w:t>核心一級資本適足率</w:t>
            </w:r>
          </w:p>
        </w:tc>
        <w:tc>
          <w:tcPr>
            <w:tcW w:w="3814" w:type="dxa"/>
          </w:tcPr>
          <w:p w:rsidR="00A80D16" w:rsidRDefault="00F21F02" w:rsidP="00A80D16">
            <w:pPr>
              <w:pStyle w:val="a3"/>
              <w:adjustRightInd w:val="0"/>
              <w:snapToGrid w:val="0"/>
              <w:ind w:leftChars="0" w:left="0"/>
              <w:rPr>
                <w:rFonts w:ascii="微軟正黑體" w:eastAsia="微軟正黑體" w:hAnsi="微軟正黑體"/>
              </w:rPr>
            </w:pPr>
            <w:r>
              <w:rPr>
                <w:rFonts w:ascii="微軟正黑體" w:eastAsia="微軟正黑體" w:hAnsi="微軟正黑體" w:hint="eastAsia"/>
              </w:rPr>
              <w:t>股本/風險加權資產</w:t>
            </w:r>
          </w:p>
        </w:tc>
        <w:tc>
          <w:tcPr>
            <w:tcW w:w="1757" w:type="dxa"/>
          </w:tcPr>
          <w:p w:rsidR="00A80D16" w:rsidRDefault="00553E9D" w:rsidP="00A80D16">
            <w:pPr>
              <w:pStyle w:val="a3"/>
              <w:adjustRightInd w:val="0"/>
              <w:snapToGrid w:val="0"/>
              <w:ind w:leftChars="0" w:left="0"/>
              <w:rPr>
                <w:rFonts w:ascii="微軟正黑體" w:eastAsia="微軟正黑體" w:hAnsi="微軟正黑體"/>
              </w:rPr>
            </w:pPr>
            <w:r>
              <w:rPr>
                <w:rFonts w:ascii="微軟正黑體" w:eastAsia="微軟正黑體" w:hAnsi="微軟正黑體" w:hint="eastAsia"/>
              </w:rPr>
              <w:t>4%</w:t>
            </w:r>
          </w:p>
        </w:tc>
        <w:tc>
          <w:tcPr>
            <w:tcW w:w="1758" w:type="dxa"/>
          </w:tcPr>
          <w:p w:rsidR="00A80D16" w:rsidRDefault="00553E9D" w:rsidP="00A80D16">
            <w:pPr>
              <w:pStyle w:val="a3"/>
              <w:adjustRightInd w:val="0"/>
              <w:snapToGrid w:val="0"/>
              <w:ind w:leftChars="0" w:left="0"/>
              <w:rPr>
                <w:rFonts w:ascii="微軟正黑體" w:eastAsia="微軟正黑體" w:hAnsi="微軟正黑體"/>
              </w:rPr>
            </w:pPr>
            <w:r>
              <w:rPr>
                <w:rFonts w:ascii="微軟正黑體" w:eastAsia="微軟正黑體" w:hAnsi="微軟正黑體" w:hint="eastAsia"/>
              </w:rPr>
              <w:t>4.5%</w:t>
            </w:r>
          </w:p>
        </w:tc>
      </w:tr>
    </w:tbl>
    <w:p w:rsidR="00A80D16" w:rsidRDefault="00A80D16" w:rsidP="005D7378">
      <w:pPr>
        <w:pStyle w:val="a3"/>
        <w:numPr>
          <w:ilvl w:val="0"/>
          <w:numId w:val="12"/>
        </w:numPr>
        <w:adjustRightInd w:val="0"/>
        <w:snapToGrid w:val="0"/>
        <w:ind w:leftChars="0" w:left="709" w:hanging="142"/>
        <w:rPr>
          <w:rFonts w:ascii="微軟正黑體" w:eastAsia="微軟正黑體" w:hAnsi="微軟正黑體"/>
        </w:rPr>
      </w:pPr>
      <w:r>
        <w:rPr>
          <w:rFonts w:ascii="微軟正黑體" w:eastAsia="微軟正黑體" w:hAnsi="微軟正黑體" w:hint="eastAsia"/>
        </w:rPr>
        <w:t>市場風險</w:t>
      </w:r>
      <w:r w:rsidR="00101BFE">
        <w:rPr>
          <w:rFonts w:ascii="微軟正黑體" w:eastAsia="微軟正黑體" w:hAnsi="微軟正黑體" w:hint="eastAsia"/>
        </w:rPr>
        <w:t>的來源有:利率風險、外匯風險、價格風險等。</w:t>
      </w:r>
    </w:p>
    <w:p w:rsidR="00101BFE" w:rsidRDefault="00101BFE" w:rsidP="005D7378">
      <w:pPr>
        <w:pStyle w:val="a3"/>
        <w:numPr>
          <w:ilvl w:val="0"/>
          <w:numId w:val="12"/>
        </w:numPr>
        <w:adjustRightInd w:val="0"/>
        <w:snapToGrid w:val="0"/>
        <w:ind w:leftChars="0" w:left="709" w:hanging="142"/>
        <w:rPr>
          <w:rFonts w:ascii="微軟正黑體" w:eastAsia="微軟正黑體" w:hAnsi="微軟正黑體"/>
        </w:rPr>
      </w:pPr>
      <w:r>
        <w:rPr>
          <w:rFonts w:ascii="微軟正黑體" w:eastAsia="微軟正黑體" w:hAnsi="微軟正黑體" w:hint="eastAsia"/>
        </w:rPr>
        <w:t>銀行可用</w:t>
      </w:r>
      <w:r w:rsidR="005A4C8B">
        <w:rPr>
          <w:rFonts w:ascii="微軟正黑體" w:eastAsia="微軟正黑體" w:hAnsi="微軟正黑體" w:hint="eastAsia"/>
        </w:rPr>
        <w:t>穩定資金(ASF)為銀行資金來源項目，越長期且穩定之資金來源係數越高；反之則越低。如資本適用最高係數100%。</w:t>
      </w:r>
    </w:p>
    <w:p w:rsidR="00CD22B0" w:rsidRDefault="00CD22B0" w:rsidP="005D7378">
      <w:pPr>
        <w:pStyle w:val="a3"/>
        <w:numPr>
          <w:ilvl w:val="0"/>
          <w:numId w:val="12"/>
        </w:numPr>
        <w:adjustRightInd w:val="0"/>
        <w:snapToGrid w:val="0"/>
        <w:ind w:leftChars="0" w:left="709" w:hanging="142"/>
        <w:rPr>
          <w:rFonts w:ascii="微軟正黑體" w:eastAsia="微軟正黑體" w:hAnsi="微軟正黑體"/>
        </w:rPr>
      </w:pPr>
      <w:r>
        <w:rPr>
          <w:rFonts w:ascii="微軟正黑體" w:eastAsia="微軟正黑體" w:hAnsi="微軟正黑體" w:hint="eastAsia"/>
        </w:rPr>
        <w:t>新巴賽爾資本協定，2004年6月將「作業風險」的「最低資本需求」，納入資本適足率的第一支柱。</w:t>
      </w:r>
    </w:p>
    <w:p w:rsidR="00CD22B0" w:rsidRDefault="00CD22B0" w:rsidP="005D7378">
      <w:pPr>
        <w:pStyle w:val="a3"/>
        <w:numPr>
          <w:ilvl w:val="0"/>
          <w:numId w:val="12"/>
        </w:numPr>
        <w:adjustRightInd w:val="0"/>
        <w:snapToGrid w:val="0"/>
        <w:ind w:leftChars="0" w:left="709" w:hanging="142"/>
        <w:rPr>
          <w:rFonts w:ascii="微軟正黑體" w:eastAsia="微軟正黑體" w:hAnsi="微軟正黑體"/>
        </w:rPr>
      </w:pPr>
      <w:r>
        <w:rPr>
          <w:rFonts w:ascii="微軟正黑體" w:eastAsia="微軟正黑體" w:hAnsi="微軟正黑體" w:hint="eastAsia"/>
        </w:rPr>
        <w:t>作業風險係起因於下列不當因素，造成銀行損失之風險:人員、系統、內部作業與外部事件。</w:t>
      </w:r>
    </w:p>
    <w:p w:rsidR="00CD22B0" w:rsidRDefault="00CD22B0" w:rsidP="005D7378">
      <w:pPr>
        <w:pStyle w:val="a3"/>
        <w:numPr>
          <w:ilvl w:val="0"/>
          <w:numId w:val="12"/>
        </w:numPr>
        <w:adjustRightInd w:val="0"/>
        <w:snapToGrid w:val="0"/>
        <w:ind w:leftChars="0" w:left="709" w:hanging="142"/>
        <w:rPr>
          <w:rFonts w:ascii="微軟正黑體" w:eastAsia="微軟正黑體" w:hAnsi="微軟正黑體"/>
        </w:rPr>
      </w:pPr>
      <w:r>
        <w:rPr>
          <w:rFonts w:ascii="微軟正黑體" w:eastAsia="微軟正黑體" w:hAnsi="微軟正黑體" w:hint="eastAsia"/>
        </w:rPr>
        <w:t>作業風險的資本計提方法有:</w:t>
      </w:r>
    </w:p>
    <w:p w:rsidR="00CD22B0" w:rsidRDefault="00CD22B0" w:rsidP="00CD22B0">
      <w:pPr>
        <w:pStyle w:val="a3"/>
        <w:numPr>
          <w:ilvl w:val="1"/>
          <w:numId w:val="12"/>
        </w:numPr>
        <w:adjustRightInd w:val="0"/>
        <w:snapToGrid w:val="0"/>
        <w:ind w:leftChars="0"/>
        <w:rPr>
          <w:rFonts w:ascii="微軟正黑體" w:eastAsia="微軟正黑體" w:hAnsi="微軟正黑體"/>
        </w:rPr>
      </w:pPr>
      <w:r>
        <w:rPr>
          <w:rFonts w:ascii="微軟正黑體" w:eastAsia="微軟正黑體" w:hAnsi="微軟正黑體" w:hint="eastAsia"/>
        </w:rPr>
        <w:t>進階衡量法。</w:t>
      </w:r>
    </w:p>
    <w:p w:rsidR="00CD22B0" w:rsidRDefault="00CD22B0" w:rsidP="00CD22B0">
      <w:pPr>
        <w:pStyle w:val="a3"/>
        <w:numPr>
          <w:ilvl w:val="1"/>
          <w:numId w:val="12"/>
        </w:numPr>
        <w:adjustRightInd w:val="0"/>
        <w:snapToGrid w:val="0"/>
        <w:ind w:leftChars="0"/>
        <w:rPr>
          <w:rFonts w:ascii="微軟正黑體" w:eastAsia="微軟正黑體" w:hAnsi="微軟正黑體"/>
        </w:rPr>
      </w:pPr>
      <w:r>
        <w:rPr>
          <w:rFonts w:ascii="微軟正黑體" w:eastAsia="微軟正黑體" w:hAnsi="微軟正黑體" w:hint="eastAsia"/>
        </w:rPr>
        <w:t>標準法。</w:t>
      </w:r>
    </w:p>
    <w:p w:rsidR="00CD22B0" w:rsidRDefault="00CD22B0" w:rsidP="00CD22B0">
      <w:pPr>
        <w:pStyle w:val="a3"/>
        <w:numPr>
          <w:ilvl w:val="1"/>
          <w:numId w:val="12"/>
        </w:numPr>
        <w:adjustRightInd w:val="0"/>
        <w:snapToGrid w:val="0"/>
        <w:ind w:leftChars="0"/>
        <w:rPr>
          <w:rFonts w:ascii="微軟正黑體" w:eastAsia="微軟正黑體" w:hAnsi="微軟正黑體"/>
        </w:rPr>
      </w:pPr>
      <w:r>
        <w:rPr>
          <w:rFonts w:ascii="微軟正黑體" w:eastAsia="微軟正黑體" w:hAnsi="微軟正黑體" w:hint="eastAsia"/>
        </w:rPr>
        <w:t>基本指標法。</w:t>
      </w:r>
    </w:p>
    <w:p w:rsidR="00CD22B0" w:rsidRDefault="00DE2F1E" w:rsidP="00CD22B0">
      <w:pPr>
        <w:pStyle w:val="a3"/>
        <w:numPr>
          <w:ilvl w:val="0"/>
          <w:numId w:val="12"/>
        </w:numPr>
        <w:adjustRightInd w:val="0"/>
        <w:snapToGrid w:val="0"/>
        <w:ind w:leftChars="0"/>
        <w:rPr>
          <w:rFonts w:ascii="微軟正黑體" w:eastAsia="微軟正黑體" w:hAnsi="微軟正黑體"/>
        </w:rPr>
      </w:pPr>
      <w:r>
        <w:rPr>
          <w:rFonts w:ascii="微軟正黑體" w:eastAsia="微軟正黑體" w:hAnsi="微軟正黑體" w:hint="eastAsia"/>
        </w:rPr>
        <w:t>標準法</w:t>
      </w:r>
      <w:bookmarkStart w:id="0" w:name="_GoBack"/>
      <w:bookmarkEnd w:id="0"/>
      <w:r w:rsidR="00FE03CC">
        <w:rPr>
          <w:rFonts w:ascii="微軟正黑體" w:eastAsia="微軟正黑體" w:hAnsi="微軟正黑體" w:hint="eastAsia"/>
        </w:rPr>
        <w:t>係將銀行之營業毛利分為八大業務別(business line)後，依規定之對應風險係數(</w:t>
      </w:r>
      <w:r w:rsidR="00FE03CC">
        <w:rPr>
          <w:rFonts w:ascii="微軟正黑體" w:eastAsia="微軟正黑體" w:hAnsi="微軟正黑體"/>
        </w:rPr>
        <w:t>Beta</w:t>
      </w:r>
      <w:r w:rsidR="00FE03CC">
        <w:rPr>
          <w:rFonts w:ascii="微軟正黑體" w:eastAsia="微軟正黑體" w:hAnsi="微軟正黑體" w:hint="eastAsia"/>
        </w:rPr>
        <w:t>係數)，計算各業務之作業風險資本計提額。銀行整體之作業風險額度計提額，則為各業務別作業風險資本計提額之合計值。</w:t>
      </w:r>
    </w:p>
    <w:p w:rsidR="00FE03CC" w:rsidRDefault="00320551" w:rsidP="00CD22B0">
      <w:pPr>
        <w:pStyle w:val="a3"/>
        <w:numPr>
          <w:ilvl w:val="0"/>
          <w:numId w:val="12"/>
        </w:numPr>
        <w:adjustRightInd w:val="0"/>
        <w:snapToGrid w:val="0"/>
        <w:ind w:leftChars="0"/>
        <w:rPr>
          <w:rFonts w:ascii="微軟正黑體" w:eastAsia="微軟正黑體" w:hAnsi="微軟正黑體"/>
        </w:rPr>
      </w:pPr>
      <w:r>
        <w:rPr>
          <w:rFonts w:ascii="微軟正黑體" w:eastAsia="微軟正黑體" w:hAnsi="微軟正黑體" w:hint="eastAsia"/>
        </w:rPr>
        <w:t>衡量市場風險時，有關主要部位或個別金融商品的「價格波動」，是指市場因素在特定時間內，上下偏離平均水準，導致部位價值產生變動的程度。</w:t>
      </w:r>
    </w:p>
    <w:p w:rsidR="00320551" w:rsidRDefault="00320551" w:rsidP="00CD22B0">
      <w:pPr>
        <w:pStyle w:val="a3"/>
        <w:numPr>
          <w:ilvl w:val="0"/>
          <w:numId w:val="12"/>
        </w:numPr>
        <w:adjustRightInd w:val="0"/>
        <w:snapToGrid w:val="0"/>
        <w:ind w:leftChars="0"/>
        <w:rPr>
          <w:rFonts w:ascii="微軟正黑體" w:eastAsia="微軟正黑體" w:hAnsi="微軟正黑體"/>
        </w:rPr>
      </w:pPr>
      <w:r>
        <w:rPr>
          <w:rFonts w:ascii="微軟正黑體" w:eastAsia="微軟正黑體" w:hAnsi="微軟正黑體" w:hint="eastAsia"/>
        </w:rPr>
        <w:t>依據Basel委員會規範，與市場風險有關的「主要部位」包含:外匯部位、權益證券部位、固定收益證券部位等。</w:t>
      </w:r>
    </w:p>
    <w:p w:rsidR="00320551" w:rsidRDefault="00320551" w:rsidP="00CD22B0">
      <w:pPr>
        <w:pStyle w:val="a3"/>
        <w:numPr>
          <w:ilvl w:val="0"/>
          <w:numId w:val="12"/>
        </w:numPr>
        <w:adjustRightInd w:val="0"/>
        <w:snapToGrid w:val="0"/>
        <w:ind w:leftChars="0"/>
        <w:rPr>
          <w:rFonts w:ascii="微軟正黑體" w:eastAsia="微軟正黑體" w:hAnsi="微軟正黑體"/>
        </w:rPr>
      </w:pPr>
      <w:r>
        <w:rPr>
          <w:rFonts w:ascii="微軟正黑體" w:eastAsia="微軟正黑體" w:hAnsi="微軟正黑體" w:hint="eastAsia"/>
        </w:rPr>
        <w:t>國際清算銀行之巴賽爾委員會透過內部評等法開始重視之風險量化指標，包含:違約風險、暴露風險、回收風險等。</w:t>
      </w:r>
    </w:p>
    <w:p w:rsidR="00320551" w:rsidRDefault="00320551" w:rsidP="00CD22B0">
      <w:pPr>
        <w:pStyle w:val="a3"/>
        <w:numPr>
          <w:ilvl w:val="0"/>
          <w:numId w:val="12"/>
        </w:numPr>
        <w:adjustRightInd w:val="0"/>
        <w:snapToGrid w:val="0"/>
        <w:ind w:leftChars="0"/>
        <w:rPr>
          <w:rFonts w:ascii="微軟正黑體" w:eastAsia="微軟正黑體" w:hAnsi="微軟正黑體"/>
        </w:rPr>
      </w:pPr>
      <w:r>
        <w:rPr>
          <w:rFonts w:ascii="微軟正黑體" w:eastAsia="微軟正黑體" w:hAnsi="微軟正黑體" w:hint="eastAsia"/>
        </w:rPr>
        <w:t>銀行的作業</w:t>
      </w:r>
      <w:r w:rsidR="005D7B9D">
        <w:rPr>
          <w:rFonts w:ascii="微軟正黑體" w:eastAsia="微軟正黑體" w:hAnsi="微軟正黑體" w:hint="eastAsia"/>
        </w:rPr>
        <w:t>風險管理</w:t>
      </w:r>
      <w:r w:rsidR="007A3E00">
        <w:rPr>
          <w:rFonts w:ascii="微軟正黑體" w:eastAsia="微軟正黑體" w:hAnsi="微軟正黑體" w:hint="eastAsia"/>
        </w:rPr>
        <w:t>，從監督管理層面觀察有三道防線，第一道防線，包含海內外分子行、總行部級的營業單位；第二道防線，總行業務管理單位、風險控管及法律遵循部門；第三道防線，銀行董事會轄下的稽核處或稽核室。</w:t>
      </w:r>
    </w:p>
    <w:p w:rsidR="002A631F" w:rsidRDefault="002A631F" w:rsidP="002A631F">
      <w:pPr>
        <w:adjustRightInd w:val="0"/>
        <w:snapToGrid w:val="0"/>
        <w:ind w:left="480"/>
        <w:rPr>
          <w:rFonts w:ascii="微軟正黑體" w:eastAsia="微軟正黑體" w:hAnsi="微軟正黑體"/>
        </w:rPr>
      </w:pPr>
    </w:p>
    <w:p w:rsidR="002A631F" w:rsidRDefault="002A631F" w:rsidP="002A631F">
      <w:pPr>
        <w:adjustRightInd w:val="0"/>
        <w:snapToGrid w:val="0"/>
        <w:ind w:left="480"/>
        <w:rPr>
          <w:rFonts w:ascii="微軟正黑體" w:eastAsia="微軟正黑體" w:hAnsi="微軟正黑體"/>
        </w:rPr>
      </w:pPr>
    </w:p>
    <w:p w:rsidR="002A631F" w:rsidRDefault="002A631F" w:rsidP="002A631F">
      <w:pPr>
        <w:adjustRightInd w:val="0"/>
        <w:snapToGrid w:val="0"/>
        <w:ind w:left="480"/>
        <w:rPr>
          <w:rFonts w:ascii="微軟正黑體" w:eastAsia="微軟正黑體" w:hAnsi="微軟正黑體"/>
        </w:rPr>
      </w:pPr>
    </w:p>
    <w:p w:rsidR="002A631F" w:rsidRDefault="002A631F" w:rsidP="002A631F">
      <w:pPr>
        <w:adjustRightInd w:val="0"/>
        <w:snapToGrid w:val="0"/>
        <w:ind w:left="480"/>
        <w:rPr>
          <w:rFonts w:ascii="微軟正黑體" w:eastAsia="微軟正黑體" w:hAnsi="微軟正黑體"/>
        </w:rPr>
      </w:pPr>
    </w:p>
    <w:p w:rsidR="002A631F" w:rsidRDefault="002A631F" w:rsidP="002A631F">
      <w:pPr>
        <w:adjustRightInd w:val="0"/>
        <w:snapToGrid w:val="0"/>
        <w:ind w:left="480"/>
        <w:rPr>
          <w:rFonts w:ascii="微軟正黑體" w:eastAsia="微軟正黑體" w:hAnsi="微軟正黑體"/>
        </w:rPr>
      </w:pPr>
    </w:p>
    <w:p w:rsidR="002A631F" w:rsidRDefault="002A631F" w:rsidP="002A631F">
      <w:pPr>
        <w:adjustRightInd w:val="0"/>
        <w:snapToGrid w:val="0"/>
        <w:rPr>
          <w:rFonts w:ascii="微軟正黑體" w:eastAsia="微軟正黑體" w:hAnsi="微軟正黑體"/>
        </w:rPr>
      </w:pPr>
      <w:r>
        <w:rPr>
          <w:rFonts w:ascii="微軟正黑體" w:eastAsia="微軟正黑體" w:hAnsi="微軟正黑體" w:hint="eastAsia"/>
        </w:rPr>
        <w:t>巴賽爾資本協定原則</w:t>
      </w:r>
    </w:p>
    <w:tbl>
      <w:tblPr>
        <w:tblStyle w:val="af"/>
        <w:tblW w:w="0" w:type="auto"/>
        <w:tblLook w:val="04A0" w:firstRow="1" w:lastRow="0" w:firstColumn="1" w:lastColumn="0" w:noHBand="0" w:noVBand="1"/>
      </w:tblPr>
      <w:tblGrid>
        <w:gridCol w:w="2091"/>
        <w:gridCol w:w="2091"/>
        <w:gridCol w:w="1342"/>
        <w:gridCol w:w="3827"/>
        <w:gridCol w:w="1105"/>
      </w:tblGrid>
      <w:tr w:rsidR="00D07989" w:rsidTr="00ED1802">
        <w:tc>
          <w:tcPr>
            <w:tcW w:w="2091" w:type="dxa"/>
            <w:vMerge w:val="restart"/>
            <w:vAlign w:val="center"/>
          </w:tcPr>
          <w:p w:rsidR="00D07989" w:rsidRDefault="00D07989" w:rsidP="002A631F">
            <w:pPr>
              <w:adjustRightInd w:val="0"/>
              <w:snapToGrid w:val="0"/>
              <w:jc w:val="center"/>
              <w:rPr>
                <w:rFonts w:ascii="微軟正黑體" w:eastAsia="微軟正黑體" w:hAnsi="微軟正黑體"/>
              </w:rPr>
            </w:pPr>
            <w:r>
              <w:rPr>
                <w:rFonts w:ascii="微軟正黑體" w:eastAsia="微軟正黑體" w:hAnsi="微軟正黑體" w:hint="eastAsia"/>
              </w:rPr>
              <w:t>支柱一</w:t>
            </w:r>
          </w:p>
        </w:tc>
        <w:tc>
          <w:tcPr>
            <w:tcW w:w="2091" w:type="dxa"/>
            <w:vMerge w:val="restart"/>
            <w:vAlign w:val="center"/>
          </w:tcPr>
          <w:p w:rsidR="00D07989" w:rsidRDefault="00D07989" w:rsidP="002A631F">
            <w:pPr>
              <w:adjustRightInd w:val="0"/>
              <w:snapToGrid w:val="0"/>
              <w:jc w:val="center"/>
              <w:rPr>
                <w:rFonts w:ascii="微軟正黑體" w:eastAsia="微軟正黑體" w:hAnsi="微軟正黑體"/>
              </w:rPr>
            </w:pPr>
            <w:r>
              <w:rPr>
                <w:rFonts w:ascii="微軟正黑體" w:eastAsia="微軟正黑體" w:hAnsi="微軟正黑體" w:hint="eastAsia"/>
              </w:rPr>
              <w:t>最低資本要求:定義適足資本及其對銀行風險性資產最低比率的原則。</w:t>
            </w:r>
          </w:p>
        </w:tc>
        <w:tc>
          <w:tcPr>
            <w:tcW w:w="1342" w:type="dxa"/>
            <w:vMerge w:val="restart"/>
            <w:vAlign w:val="center"/>
          </w:tcPr>
          <w:p w:rsidR="00D07989" w:rsidRDefault="00D07989" w:rsidP="002A631F">
            <w:pPr>
              <w:adjustRightInd w:val="0"/>
              <w:snapToGrid w:val="0"/>
              <w:jc w:val="center"/>
              <w:rPr>
                <w:rFonts w:ascii="微軟正黑體" w:eastAsia="微軟正黑體" w:hAnsi="微軟正黑體"/>
              </w:rPr>
            </w:pPr>
            <w:r>
              <w:rPr>
                <w:rFonts w:ascii="微軟正黑體" w:eastAsia="微軟正黑體" w:hAnsi="微軟正黑體" w:hint="eastAsia"/>
              </w:rPr>
              <w:t>信用風險</w:t>
            </w:r>
          </w:p>
        </w:tc>
        <w:tc>
          <w:tcPr>
            <w:tcW w:w="3827" w:type="dxa"/>
            <w:vAlign w:val="center"/>
          </w:tcPr>
          <w:p w:rsidR="00D07989" w:rsidRDefault="00D07989" w:rsidP="002A631F">
            <w:pPr>
              <w:adjustRightInd w:val="0"/>
              <w:snapToGrid w:val="0"/>
              <w:jc w:val="center"/>
              <w:rPr>
                <w:rFonts w:ascii="微軟正黑體" w:eastAsia="微軟正黑體" w:hAnsi="微軟正黑體"/>
              </w:rPr>
            </w:pPr>
            <w:r>
              <w:rPr>
                <w:rFonts w:ascii="微軟正黑體" w:eastAsia="微軟正黑體" w:hAnsi="微軟正黑體" w:hint="eastAsia"/>
              </w:rPr>
              <w:t>標準法(</w:t>
            </w:r>
            <w:r>
              <w:rPr>
                <w:rFonts w:ascii="微軟正黑體" w:eastAsia="微軟正黑體" w:hAnsi="微軟正黑體"/>
              </w:rPr>
              <w:t>SA)</w:t>
            </w:r>
          </w:p>
        </w:tc>
        <w:tc>
          <w:tcPr>
            <w:tcW w:w="1105" w:type="dxa"/>
            <w:vMerge w:val="restart"/>
            <w:vAlign w:val="center"/>
          </w:tcPr>
          <w:p w:rsidR="00D07989" w:rsidRDefault="00ED1802" w:rsidP="00ED1802">
            <w:pPr>
              <w:adjustRightInd w:val="0"/>
              <w:snapToGrid w:val="0"/>
              <w:rPr>
                <w:rFonts w:ascii="微軟正黑體" w:eastAsia="微軟正黑體" w:hAnsi="微軟正黑體"/>
              </w:rPr>
            </w:pPr>
            <w:r>
              <w:rPr>
                <w:rFonts w:ascii="微軟正黑體" w:eastAsia="微軟正黑體" w:hAnsi="微軟正黑體" w:hint="eastAsia"/>
              </w:rPr>
              <w:t>資產證券化風險沖抵</w:t>
            </w:r>
          </w:p>
        </w:tc>
      </w:tr>
      <w:tr w:rsidR="00D07989" w:rsidTr="00ED1802">
        <w:tc>
          <w:tcPr>
            <w:tcW w:w="2091" w:type="dxa"/>
            <w:vMerge/>
            <w:vAlign w:val="center"/>
          </w:tcPr>
          <w:p w:rsidR="00D07989" w:rsidRDefault="00D07989" w:rsidP="002A631F">
            <w:pPr>
              <w:adjustRightInd w:val="0"/>
              <w:snapToGrid w:val="0"/>
              <w:jc w:val="center"/>
              <w:rPr>
                <w:rFonts w:ascii="微軟正黑體" w:eastAsia="微軟正黑體" w:hAnsi="微軟正黑體"/>
              </w:rPr>
            </w:pPr>
          </w:p>
        </w:tc>
        <w:tc>
          <w:tcPr>
            <w:tcW w:w="2091" w:type="dxa"/>
            <w:vMerge/>
            <w:vAlign w:val="center"/>
          </w:tcPr>
          <w:p w:rsidR="00D07989" w:rsidRDefault="00D07989" w:rsidP="002A631F">
            <w:pPr>
              <w:adjustRightInd w:val="0"/>
              <w:snapToGrid w:val="0"/>
              <w:jc w:val="center"/>
              <w:rPr>
                <w:rFonts w:ascii="微軟正黑體" w:eastAsia="微軟正黑體" w:hAnsi="微軟正黑體"/>
              </w:rPr>
            </w:pPr>
          </w:p>
        </w:tc>
        <w:tc>
          <w:tcPr>
            <w:tcW w:w="1342" w:type="dxa"/>
            <w:vMerge/>
            <w:vAlign w:val="center"/>
          </w:tcPr>
          <w:p w:rsidR="00D07989" w:rsidRDefault="00D07989" w:rsidP="002A631F">
            <w:pPr>
              <w:adjustRightInd w:val="0"/>
              <w:snapToGrid w:val="0"/>
              <w:jc w:val="center"/>
              <w:rPr>
                <w:rFonts w:ascii="微軟正黑體" w:eastAsia="微軟正黑體" w:hAnsi="微軟正黑體"/>
              </w:rPr>
            </w:pPr>
          </w:p>
        </w:tc>
        <w:tc>
          <w:tcPr>
            <w:tcW w:w="3827" w:type="dxa"/>
            <w:vAlign w:val="center"/>
          </w:tcPr>
          <w:p w:rsidR="00D07989" w:rsidRDefault="00D07989" w:rsidP="002A631F">
            <w:pPr>
              <w:adjustRightInd w:val="0"/>
              <w:snapToGrid w:val="0"/>
              <w:jc w:val="center"/>
              <w:rPr>
                <w:rFonts w:ascii="微軟正黑體" w:eastAsia="微軟正黑體" w:hAnsi="微軟正黑體"/>
              </w:rPr>
            </w:pPr>
            <w:r>
              <w:rPr>
                <w:rFonts w:ascii="微軟正黑體" w:eastAsia="微軟正黑體" w:hAnsi="微軟正黑體" w:hint="eastAsia"/>
              </w:rPr>
              <w:t>基礎內部評等法(FIRB)</w:t>
            </w:r>
          </w:p>
        </w:tc>
        <w:tc>
          <w:tcPr>
            <w:tcW w:w="1105" w:type="dxa"/>
            <w:vMerge/>
            <w:vAlign w:val="center"/>
          </w:tcPr>
          <w:p w:rsidR="00D07989" w:rsidRDefault="00D07989" w:rsidP="00ED1802">
            <w:pPr>
              <w:adjustRightInd w:val="0"/>
              <w:snapToGrid w:val="0"/>
              <w:jc w:val="center"/>
              <w:rPr>
                <w:rFonts w:ascii="微軟正黑體" w:eastAsia="微軟正黑體" w:hAnsi="微軟正黑體"/>
              </w:rPr>
            </w:pPr>
          </w:p>
        </w:tc>
      </w:tr>
      <w:tr w:rsidR="00D07989" w:rsidTr="00ED1802">
        <w:tc>
          <w:tcPr>
            <w:tcW w:w="2091" w:type="dxa"/>
            <w:vMerge/>
            <w:vAlign w:val="center"/>
          </w:tcPr>
          <w:p w:rsidR="00D07989" w:rsidRDefault="00D07989" w:rsidP="002A631F">
            <w:pPr>
              <w:adjustRightInd w:val="0"/>
              <w:snapToGrid w:val="0"/>
              <w:jc w:val="center"/>
              <w:rPr>
                <w:rFonts w:ascii="微軟正黑體" w:eastAsia="微軟正黑體" w:hAnsi="微軟正黑體"/>
              </w:rPr>
            </w:pPr>
          </w:p>
        </w:tc>
        <w:tc>
          <w:tcPr>
            <w:tcW w:w="2091" w:type="dxa"/>
            <w:vMerge/>
            <w:vAlign w:val="center"/>
          </w:tcPr>
          <w:p w:rsidR="00D07989" w:rsidRDefault="00D07989" w:rsidP="002A631F">
            <w:pPr>
              <w:adjustRightInd w:val="0"/>
              <w:snapToGrid w:val="0"/>
              <w:jc w:val="center"/>
              <w:rPr>
                <w:rFonts w:ascii="微軟正黑體" w:eastAsia="微軟正黑體" w:hAnsi="微軟正黑體"/>
              </w:rPr>
            </w:pPr>
          </w:p>
        </w:tc>
        <w:tc>
          <w:tcPr>
            <w:tcW w:w="1342" w:type="dxa"/>
            <w:vMerge/>
            <w:vAlign w:val="center"/>
          </w:tcPr>
          <w:p w:rsidR="00D07989" w:rsidRDefault="00D07989" w:rsidP="002A631F">
            <w:pPr>
              <w:adjustRightInd w:val="0"/>
              <w:snapToGrid w:val="0"/>
              <w:jc w:val="center"/>
              <w:rPr>
                <w:rFonts w:ascii="微軟正黑體" w:eastAsia="微軟正黑體" w:hAnsi="微軟正黑體"/>
              </w:rPr>
            </w:pPr>
          </w:p>
        </w:tc>
        <w:tc>
          <w:tcPr>
            <w:tcW w:w="3827" w:type="dxa"/>
            <w:vAlign w:val="center"/>
          </w:tcPr>
          <w:p w:rsidR="00D07989" w:rsidRDefault="00D07989" w:rsidP="002A631F">
            <w:pPr>
              <w:adjustRightInd w:val="0"/>
              <w:snapToGrid w:val="0"/>
              <w:jc w:val="center"/>
              <w:rPr>
                <w:rFonts w:ascii="微軟正黑體" w:eastAsia="微軟正黑體" w:hAnsi="微軟正黑體"/>
              </w:rPr>
            </w:pPr>
            <w:r>
              <w:rPr>
                <w:rFonts w:ascii="微軟正黑體" w:eastAsia="微軟正黑體" w:hAnsi="微軟正黑體" w:hint="eastAsia"/>
              </w:rPr>
              <w:t>進階內部評等法(AIRB)</w:t>
            </w:r>
          </w:p>
        </w:tc>
        <w:tc>
          <w:tcPr>
            <w:tcW w:w="1105" w:type="dxa"/>
            <w:vMerge/>
            <w:vAlign w:val="center"/>
          </w:tcPr>
          <w:p w:rsidR="00D07989" w:rsidRDefault="00D07989" w:rsidP="00ED1802">
            <w:pPr>
              <w:adjustRightInd w:val="0"/>
              <w:snapToGrid w:val="0"/>
              <w:jc w:val="center"/>
              <w:rPr>
                <w:rFonts w:ascii="微軟正黑體" w:eastAsia="微軟正黑體" w:hAnsi="微軟正黑體"/>
              </w:rPr>
            </w:pPr>
          </w:p>
        </w:tc>
      </w:tr>
      <w:tr w:rsidR="00D07989" w:rsidTr="00ED1802">
        <w:tc>
          <w:tcPr>
            <w:tcW w:w="2091" w:type="dxa"/>
            <w:vMerge/>
            <w:vAlign w:val="center"/>
          </w:tcPr>
          <w:p w:rsidR="00D07989" w:rsidRDefault="00D07989" w:rsidP="002A631F">
            <w:pPr>
              <w:adjustRightInd w:val="0"/>
              <w:snapToGrid w:val="0"/>
              <w:jc w:val="center"/>
              <w:rPr>
                <w:rFonts w:ascii="微軟正黑體" w:eastAsia="微軟正黑體" w:hAnsi="微軟正黑體"/>
              </w:rPr>
            </w:pPr>
          </w:p>
        </w:tc>
        <w:tc>
          <w:tcPr>
            <w:tcW w:w="2091" w:type="dxa"/>
            <w:vMerge/>
            <w:vAlign w:val="center"/>
          </w:tcPr>
          <w:p w:rsidR="00D07989" w:rsidRDefault="00D07989" w:rsidP="002A631F">
            <w:pPr>
              <w:adjustRightInd w:val="0"/>
              <w:snapToGrid w:val="0"/>
              <w:jc w:val="center"/>
              <w:rPr>
                <w:rFonts w:ascii="微軟正黑體" w:eastAsia="微軟正黑體" w:hAnsi="微軟正黑體"/>
              </w:rPr>
            </w:pPr>
          </w:p>
        </w:tc>
        <w:tc>
          <w:tcPr>
            <w:tcW w:w="1342" w:type="dxa"/>
            <w:vMerge w:val="restart"/>
            <w:vAlign w:val="center"/>
          </w:tcPr>
          <w:p w:rsidR="00D07989" w:rsidRDefault="00D07989" w:rsidP="002A631F">
            <w:pPr>
              <w:adjustRightInd w:val="0"/>
              <w:snapToGrid w:val="0"/>
              <w:jc w:val="center"/>
              <w:rPr>
                <w:rFonts w:ascii="微軟正黑體" w:eastAsia="微軟正黑體" w:hAnsi="微軟正黑體"/>
              </w:rPr>
            </w:pPr>
            <w:r>
              <w:rPr>
                <w:rFonts w:ascii="微軟正黑體" w:eastAsia="微軟正黑體" w:hAnsi="微軟正黑體" w:hint="eastAsia"/>
              </w:rPr>
              <w:t>市場風險</w:t>
            </w:r>
          </w:p>
        </w:tc>
        <w:tc>
          <w:tcPr>
            <w:tcW w:w="3827" w:type="dxa"/>
            <w:vAlign w:val="center"/>
          </w:tcPr>
          <w:p w:rsidR="00D07989" w:rsidRDefault="00D07989" w:rsidP="002A631F">
            <w:pPr>
              <w:adjustRightInd w:val="0"/>
              <w:snapToGrid w:val="0"/>
              <w:jc w:val="center"/>
              <w:rPr>
                <w:rFonts w:ascii="微軟正黑體" w:eastAsia="微軟正黑體" w:hAnsi="微軟正黑體"/>
              </w:rPr>
            </w:pPr>
            <w:r>
              <w:rPr>
                <w:rFonts w:ascii="微軟正黑體" w:eastAsia="微軟正黑體" w:hAnsi="微軟正黑體" w:hint="eastAsia"/>
              </w:rPr>
              <w:t>標準法(SA)</w:t>
            </w:r>
          </w:p>
        </w:tc>
        <w:tc>
          <w:tcPr>
            <w:tcW w:w="1105" w:type="dxa"/>
            <w:vMerge w:val="restart"/>
            <w:vAlign w:val="center"/>
          </w:tcPr>
          <w:p w:rsidR="00D07989" w:rsidRDefault="00ED1802" w:rsidP="00ED1802">
            <w:pPr>
              <w:adjustRightInd w:val="0"/>
              <w:snapToGrid w:val="0"/>
              <w:jc w:val="center"/>
              <w:rPr>
                <w:rFonts w:ascii="微軟正黑體" w:eastAsia="微軟正黑體" w:hAnsi="微軟正黑體"/>
              </w:rPr>
            </w:pPr>
            <w:r>
              <w:rPr>
                <w:rFonts w:ascii="微軟正黑體" w:eastAsia="微軟正黑體" w:hAnsi="微軟正黑體" w:hint="eastAsia"/>
              </w:rPr>
              <w:t>風險沖抵</w:t>
            </w:r>
          </w:p>
        </w:tc>
      </w:tr>
      <w:tr w:rsidR="00D07989" w:rsidTr="00D07989">
        <w:tc>
          <w:tcPr>
            <w:tcW w:w="2091" w:type="dxa"/>
            <w:vMerge/>
            <w:vAlign w:val="center"/>
          </w:tcPr>
          <w:p w:rsidR="00D07989" w:rsidRDefault="00D07989" w:rsidP="002A631F">
            <w:pPr>
              <w:adjustRightInd w:val="0"/>
              <w:snapToGrid w:val="0"/>
              <w:jc w:val="center"/>
              <w:rPr>
                <w:rFonts w:ascii="微軟正黑體" w:eastAsia="微軟正黑體" w:hAnsi="微軟正黑體"/>
              </w:rPr>
            </w:pPr>
          </w:p>
        </w:tc>
        <w:tc>
          <w:tcPr>
            <w:tcW w:w="2091" w:type="dxa"/>
            <w:vMerge/>
            <w:vAlign w:val="center"/>
          </w:tcPr>
          <w:p w:rsidR="00D07989" w:rsidRDefault="00D07989" w:rsidP="002A631F">
            <w:pPr>
              <w:adjustRightInd w:val="0"/>
              <w:snapToGrid w:val="0"/>
              <w:jc w:val="center"/>
              <w:rPr>
                <w:rFonts w:ascii="微軟正黑體" w:eastAsia="微軟正黑體" w:hAnsi="微軟正黑體"/>
              </w:rPr>
            </w:pPr>
          </w:p>
        </w:tc>
        <w:tc>
          <w:tcPr>
            <w:tcW w:w="1342" w:type="dxa"/>
            <w:vMerge/>
            <w:vAlign w:val="center"/>
          </w:tcPr>
          <w:p w:rsidR="00D07989" w:rsidRDefault="00D07989" w:rsidP="002A631F">
            <w:pPr>
              <w:adjustRightInd w:val="0"/>
              <w:snapToGrid w:val="0"/>
              <w:jc w:val="center"/>
              <w:rPr>
                <w:rFonts w:ascii="微軟正黑體" w:eastAsia="微軟正黑體" w:hAnsi="微軟正黑體"/>
              </w:rPr>
            </w:pPr>
          </w:p>
        </w:tc>
        <w:tc>
          <w:tcPr>
            <w:tcW w:w="3827" w:type="dxa"/>
            <w:vAlign w:val="center"/>
          </w:tcPr>
          <w:p w:rsidR="00D07989" w:rsidRDefault="00D07989" w:rsidP="002A631F">
            <w:pPr>
              <w:adjustRightInd w:val="0"/>
              <w:snapToGrid w:val="0"/>
              <w:jc w:val="center"/>
              <w:rPr>
                <w:rFonts w:ascii="微軟正黑體" w:eastAsia="微軟正黑體" w:hAnsi="微軟正黑體"/>
              </w:rPr>
            </w:pPr>
            <w:r>
              <w:rPr>
                <w:rFonts w:ascii="微軟正黑體" w:eastAsia="微軟正黑體" w:hAnsi="微軟正黑體" w:hint="eastAsia"/>
              </w:rPr>
              <w:t>內部模型法(IMA)</w:t>
            </w:r>
          </w:p>
        </w:tc>
        <w:tc>
          <w:tcPr>
            <w:tcW w:w="1105" w:type="dxa"/>
            <w:vMerge/>
          </w:tcPr>
          <w:p w:rsidR="00D07989" w:rsidRDefault="00D07989" w:rsidP="002A631F">
            <w:pPr>
              <w:adjustRightInd w:val="0"/>
              <w:snapToGrid w:val="0"/>
              <w:rPr>
                <w:rFonts w:ascii="微軟正黑體" w:eastAsia="微軟正黑體" w:hAnsi="微軟正黑體"/>
              </w:rPr>
            </w:pPr>
          </w:p>
        </w:tc>
      </w:tr>
      <w:tr w:rsidR="00D07989" w:rsidTr="00D07989">
        <w:tc>
          <w:tcPr>
            <w:tcW w:w="2091" w:type="dxa"/>
            <w:vMerge/>
            <w:vAlign w:val="center"/>
          </w:tcPr>
          <w:p w:rsidR="00D07989" w:rsidRDefault="00D07989" w:rsidP="002A631F">
            <w:pPr>
              <w:adjustRightInd w:val="0"/>
              <w:snapToGrid w:val="0"/>
              <w:jc w:val="center"/>
              <w:rPr>
                <w:rFonts w:ascii="微軟正黑體" w:eastAsia="微軟正黑體" w:hAnsi="微軟正黑體"/>
              </w:rPr>
            </w:pPr>
          </w:p>
        </w:tc>
        <w:tc>
          <w:tcPr>
            <w:tcW w:w="2091" w:type="dxa"/>
            <w:vMerge/>
            <w:vAlign w:val="center"/>
          </w:tcPr>
          <w:p w:rsidR="00D07989" w:rsidRDefault="00D07989" w:rsidP="002A631F">
            <w:pPr>
              <w:adjustRightInd w:val="0"/>
              <w:snapToGrid w:val="0"/>
              <w:jc w:val="center"/>
              <w:rPr>
                <w:rFonts w:ascii="微軟正黑體" w:eastAsia="微軟正黑體" w:hAnsi="微軟正黑體"/>
              </w:rPr>
            </w:pPr>
          </w:p>
        </w:tc>
        <w:tc>
          <w:tcPr>
            <w:tcW w:w="1342" w:type="dxa"/>
            <w:vMerge w:val="restart"/>
            <w:vAlign w:val="center"/>
          </w:tcPr>
          <w:p w:rsidR="00D07989" w:rsidRDefault="00D07989" w:rsidP="002A631F">
            <w:pPr>
              <w:adjustRightInd w:val="0"/>
              <w:snapToGrid w:val="0"/>
              <w:jc w:val="center"/>
              <w:rPr>
                <w:rFonts w:ascii="微軟正黑體" w:eastAsia="微軟正黑體" w:hAnsi="微軟正黑體"/>
              </w:rPr>
            </w:pPr>
            <w:r>
              <w:rPr>
                <w:rFonts w:ascii="微軟正黑體" w:eastAsia="微軟正黑體" w:hAnsi="微軟正黑體" w:hint="eastAsia"/>
              </w:rPr>
              <w:t>作業風險</w:t>
            </w:r>
          </w:p>
        </w:tc>
        <w:tc>
          <w:tcPr>
            <w:tcW w:w="3827" w:type="dxa"/>
            <w:vAlign w:val="center"/>
          </w:tcPr>
          <w:p w:rsidR="00D07989" w:rsidRDefault="00D07989" w:rsidP="002A631F">
            <w:pPr>
              <w:adjustRightInd w:val="0"/>
              <w:snapToGrid w:val="0"/>
              <w:jc w:val="center"/>
              <w:rPr>
                <w:rFonts w:ascii="微軟正黑體" w:eastAsia="微軟正黑體" w:hAnsi="微軟正黑體"/>
              </w:rPr>
            </w:pPr>
            <w:r>
              <w:rPr>
                <w:rFonts w:ascii="微軟正黑體" w:eastAsia="微軟正黑體" w:hAnsi="微軟正黑體" w:hint="eastAsia"/>
              </w:rPr>
              <w:t>基礎指標法(BIA)</w:t>
            </w:r>
          </w:p>
        </w:tc>
        <w:tc>
          <w:tcPr>
            <w:tcW w:w="1105" w:type="dxa"/>
            <w:vMerge/>
          </w:tcPr>
          <w:p w:rsidR="00D07989" w:rsidRDefault="00D07989" w:rsidP="002A631F">
            <w:pPr>
              <w:adjustRightInd w:val="0"/>
              <w:snapToGrid w:val="0"/>
              <w:rPr>
                <w:rFonts w:ascii="微軟正黑體" w:eastAsia="微軟正黑體" w:hAnsi="微軟正黑體"/>
              </w:rPr>
            </w:pPr>
          </w:p>
        </w:tc>
      </w:tr>
      <w:tr w:rsidR="00D07989" w:rsidTr="00D07989">
        <w:tc>
          <w:tcPr>
            <w:tcW w:w="2091" w:type="dxa"/>
            <w:vMerge/>
            <w:vAlign w:val="center"/>
          </w:tcPr>
          <w:p w:rsidR="00D07989" w:rsidRDefault="00D07989" w:rsidP="002A631F">
            <w:pPr>
              <w:adjustRightInd w:val="0"/>
              <w:snapToGrid w:val="0"/>
              <w:jc w:val="center"/>
              <w:rPr>
                <w:rFonts w:ascii="微軟正黑體" w:eastAsia="微軟正黑體" w:hAnsi="微軟正黑體"/>
              </w:rPr>
            </w:pPr>
          </w:p>
        </w:tc>
        <w:tc>
          <w:tcPr>
            <w:tcW w:w="2091" w:type="dxa"/>
            <w:vMerge/>
            <w:vAlign w:val="center"/>
          </w:tcPr>
          <w:p w:rsidR="00D07989" w:rsidRDefault="00D07989" w:rsidP="002A631F">
            <w:pPr>
              <w:adjustRightInd w:val="0"/>
              <w:snapToGrid w:val="0"/>
              <w:jc w:val="center"/>
              <w:rPr>
                <w:rFonts w:ascii="微軟正黑體" w:eastAsia="微軟正黑體" w:hAnsi="微軟正黑體"/>
              </w:rPr>
            </w:pPr>
          </w:p>
        </w:tc>
        <w:tc>
          <w:tcPr>
            <w:tcW w:w="1342" w:type="dxa"/>
            <w:vMerge/>
            <w:vAlign w:val="center"/>
          </w:tcPr>
          <w:p w:rsidR="00D07989" w:rsidRDefault="00D07989" w:rsidP="002A631F">
            <w:pPr>
              <w:adjustRightInd w:val="0"/>
              <w:snapToGrid w:val="0"/>
              <w:jc w:val="center"/>
              <w:rPr>
                <w:rFonts w:ascii="微軟正黑體" w:eastAsia="微軟正黑體" w:hAnsi="微軟正黑體"/>
              </w:rPr>
            </w:pPr>
          </w:p>
        </w:tc>
        <w:tc>
          <w:tcPr>
            <w:tcW w:w="3827" w:type="dxa"/>
            <w:vAlign w:val="center"/>
          </w:tcPr>
          <w:p w:rsidR="00D07989" w:rsidRDefault="00D07989" w:rsidP="002A631F">
            <w:pPr>
              <w:adjustRightInd w:val="0"/>
              <w:snapToGrid w:val="0"/>
              <w:jc w:val="center"/>
              <w:rPr>
                <w:rFonts w:ascii="微軟正黑體" w:eastAsia="微軟正黑體" w:hAnsi="微軟正黑體"/>
              </w:rPr>
            </w:pPr>
            <w:r>
              <w:rPr>
                <w:rFonts w:ascii="微軟正黑體" w:eastAsia="微軟正黑體" w:hAnsi="微軟正黑體" w:hint="eastAsia"/>
              </w:rPr>
              <w:t>標準法(SA)或選擇性標準法(ASA)</w:t>
            </w:r>
          </w:p>
        </w:tc>
        <w:tc>
          <w:tcPr>
            <w:tcW w:w="1105" w:type="dxa"/>
            <w:vMerge/>
          </w:tcPr>
          <w:p w:rsidR="00D07989" w:rsidRDefault="00D07989" w:rsidP="002A631F">
            <w:pPr>
              <w:adjustRightInd w:val="0"/>
              <w:snapToGrid w:val="0"/>
              <w:rPr>
                <w:rFonts w:ascii="微軟正黑體" w:eastAsia="微軟正黑體" w:hAnsi="微軟正黑體"/>
              </w:rPr>
            </w:pPr>
          </w:p>
        </w:tc>
      </w:tr>
      <w:tr w:rsidR="00D07989" w:rsidTr="00D07989">
        <w:tc>
          <w:tcPr>
            <w:tcW w:w="2091" w:type="dxa"/>
            <w:vMerge/>
            <w:vAlign w:val="center"/>
          </w:tcPr>
          <w:p w:rsidR="00D07989" w:rsidRDefault="00D07989" w:rsidP="002A631F">
            <w:pPr>
              <w:adjustRightInd w:val="0"/>
              <w:snapToGrid w:val="0"/>
              <w:jc w:val="center"/>
              <w:rPr>
                <w:rFonts w:ascii="微軟正黑體" w:eastAsia="微軟正黑體" w:hAnsi="微軟正黑體"/>
              </w:rPr>
            </w:pPr>
          </w:p>
        </w:tc>
        <w:tc>
          <w:tcPr>
            <w:tcW w:w="2091" w:type="dxa"/>
            <w:vMerge/>
            <w:vAlign w:val="center"/>
          </w:tcPr>
          <w:p w:rsidR="00D07989" w:rsidRDefault="00D07989" w:rsidP="002A631F">
            <w:pPr>
              <w:adjustRightInd w:val="0"/>
              <w:snapToGrid w:val="0"/>
              <w:jc w:val="center"/>
              <w:rPr>
                <w:rFonts w:ascii="微軟正黑體" w:eastAsia="微軟正黑體" w:hAnsi="微軟正黑體"/>
              </w:rPr>
            </w:pPr>
          </w:p>
        </w:tc>
        <w:tc>
          <w:tcPr>
            <w:tcW w:w="1342" w:type="dxa"/>
            <w:vMerge/>
            <w:vAlign w:val="center"/>
          </w:tcPr>
          <w:p w:rsidR="00D07989" w:rsidRDefault="00D07989" w:rsidP="002A631F">
            <w:pPr>
              <w:adjustRightInd w:val="0"/>
              <w:snapToGrid w:val="0"/>
              <w:jc w:val="center"/>
              <w:rPr>
                <w:rFonts w:ascii="微軟正黑體" w:eastAsia="微軟正黑體" w:hAnsi="微軟正黑體"/>
              </w:rPr>
            </w:pPr>
          </w:p>
        </w:tc>
        <w:tc>
          <w:tcPr>
            <w:tcW w:w="3827" w:type="dxa"/>
            <w:vAlign w:val="center"/>
          </w:tcPr>
          <w:p w:rsidR="00D07989" w:rsidRDefault="00D07989" w:rsidP="002A631F">
            <w:pPr>
              <w:adjustRightInd w:val="0"/>
              <w:snapToGrid w:val="0"/>
              <w:jc w:val="center"/>
              <w:rPr>
                <w:rFonts w:ascii="微軟正黑體" w:eastAsia="微軟正黑體" w:hAnsi="微軟正黑體"/>
              </w:rPr>
            </w:pPr>
            <w:r>
              <w:rPr>
                <w:rFonts w:ascii="微軟正黑體" w:eastAsia="微軟正黑體" w:hAnsi="微軟正黑體" w:hint="eastAsia"/>
              </w:rPr>
              <w:t>進階衡量法(AMA)</w:t>
            </w:r>
          </w:p>
        </w:tc>
        <w:tc>
          <w:tcPr>
            <w:tcW w:w="1105" w:type="dxa"/>
            <w:vMerge/>
          </w:tcPr>
          <w:p w:rsidR="00D07989" w:rsidRDefault="00D07989" w:rsidP="002A631F">
            <w:pPr>
              <w:adjustRightInd w:val="0"/>
              <w:snapToGrid w:val="0"/>
              <w:rPr>
                <w:rFonts w:ascii="微軟正黑體" w:eastAsia="微軟正黑體" w:hAnsi="微軟正黑體"/>
              </w:rPr>
            </w:pPr>
          </w:p>
        </w:tc>
      </w:tr>
      <w:tr w:rsidR="002A631F" w:rsidTr="002A631F">
        <w:tc>
          <w:tcPr>
            <w:tcW w:w="2091" w:type="dxa"/>
            <w:vAlign w:val="center"/>
          </w:tcPr>
          <w:p w:rsidR="002A631F" w:rsidRDefault="00ED1802" w:rsidP="002A631F">
            <w:pPr>
              <w:adjustRightInd w:val="0"/>
              <w:snapToGrid w:val="0"/>
              <w:jc w:val="center"/>
              <w:rPr>
                <w:rFonts w:ascii="微軟正黑體" w:eastAsia="微軟正黑體" w:hAnsi="微軟正黑體"/>
              </w:rPr>
            </w:pPr>
            <w:r>
              <w:rPr>
                <w:rFonts w:ascii="微軟正黑體" w:eastAsia="微軟正黑體" w:hAnsi="微軟正黑體" w:hint="eastAsia"/>
              </w:rPr>
              <w:t>支柱二</w:t>
            </w:r>
          </w:p>
        </w:tc>
        <w:tc>
          <w:tcPr>
            <w:tcW w:w="8365" w:type="dxa"/>
            <w:gridSpan w:val="4"/>
            <w:vAlign w:val="center"/>
          </w:tcPr>
          <w:p w:rsidR="002A631F" w:rsidRDefault="00BD5B7E" w:rsidP="002A631F">
            <w:pPr>
              <w:adjustRightInd w:val="0"/>
              <w:snapToGrid w:val="0"/>
              <w:jc w:val="center"/>
              <w:rPr>
                <w:rFonts w:ascii="微軟正黑體" w:eastAsia="微軟正黑體" w:hAnsi="微軟正黑體"/>
              </w:rPr>
            </w:pPr>
            <w:r>
              <w:rPr>
                <w:rFonts w:ascii="微軟正黑體" w:eastAsia="微軟正黑體" w:hAnsi="微軟正黑體" w:hint="eastAsia"/>
              </w:rPr>
              <w:t>監理審查:要求監理機關對銀行適足資本計提級資本分配是否符合相關標準進行定性</w:t>
            </w:r>
            <w:r w:rsidR="0079212F">
              <w:rPr>
                <w:rFonts w:ascii="微軟正黑體" w:eastAsia="微軟正黑體" w:hAnsi="微軟正黑體" w:hint="eastAsia"/>
              </w:rPr>
              <w:t>及計量評估，並作必要之早期干預。</w:t>
            </w:r>
          </w:p>
        </w:tc>
      </w:tr>
      <w:tr w:rsidR="002A631F" w:rsidTr="002A631F">
        <w:tc>
          <w:tcPr>
            <w:tcW w:w="2091" w:type="dxa"/>
            <w:vAlign w:val="center"/>
          </w:tcPr>
          <w:p w:rsidR="002A631F" w:rsidRDefault="00ED1802" w:rsidP="002A631F">
            <w:pPr>
              <w:adjustRightInd w:val="0"/>
              <w:snapToGrid w:val="0"/>
              <w:jc w:val="center"/>
              <w:rPr>
                <w:rFonts w:ascii="微軟正黑體" w:eastAsia="微軟正黑體" w:hAnsi="微軟正黑體"/>
              </w:rPr>
            </w:pPr>
            <w:r>
              <w:rPr>
                <w:rFonts w:ascii="微軟正黑體" w:eastAsia="微軟正黑體" w:hAnsi="微軟正黑體" w:hint="eastAsia"/>
              </w:rPr>
              <w:t>支柱三</w:t>
            </w:r>
          </w:p>
        </w:tc>
        <w:tc>
          <w:tcPr>
            <w:tcW w:w="8365" w:type="dxa"/>
            <w:gridSpan w:val="4"/>
            <w:vAlign w:val="center"/>
          </w:tcPr>
          <w:p w:rsidR="002A631F" w:rsidRDefault="0079212F" w:rsidP="002A631F">
            <w:pPr>
              <w:adjustRightInd w:val="0"/>
              <w:snapToGrid w:val="0"/>
              <w:jc w:val="center"/>
              <w:rPr>
                <w:rFonts w:ascii="微軟正黑體" w:eastAsia="微軟正黑體" w:hAnsi="微軟正黑體"/>
              </w:rPr>
            </w:pPr>
            <w:r>
              <w:rPr>
                <w:rFonts w:ascii="微軟正黑體" w:eastAsia="微軟正黑體" w:hAnsi="微軟正黑體" w:hint="eastAsia"/>
              </w:rPr>
              <w:t>市場紀律:規定資訊公開揭露條件，提高資訊透明度，以增進市場紀律。</w:t>
            </w:r>
          </w:p>
        </w:tc>
      </w:tr>
    </w:tbl>
    <w:p w:rsidR="002A631F" w:rsidRDefault="002A631F" w:rsidP="002A631F">
      <w:pPr>
        <w:adjustRightInd w:val="0"/>
        <w:snapToGrid w:val="0"/>
        <w:rPr>
          <w:rFonts w:ascii="微軟正黑體" w:eastAsia="微軟正黑體" w:hAnsi="微軟正黑體"/>
        </w:rPr>
      </w:pPr>
    </w:p>
    <w:p w:rsidR="00202ADF" w:rsidRDefault="00202ADF" w:rsidP="002A631F">
      <w:pPr>
        <w:adjustRightInd w:val="0"/>
        <w:snapToGrid w:val="0"/>
        <w:rPr>
          <w:rFonts w:ascii="微軟正黑體" w:eastAsia="微軟正黑體" w:hAnsi="微軟正黑體"/>
        </w:rPr>
      </w:pPr>
      <w:r>
        <w:rPr>
          <w:rFonts w:ascii="微軟正黑體" w:eastAsia="微軟正黑體" w:hAnsi="微軟正黑體" w:hint="eastAsia"/>
        </w:rPr>
        <w:t>資本型態</w:t>
      </w:r>
    </w:p>
    <w:tbl>
      <w:tblPr>
        <w:tblStyle w:val="af"/>
        <w:tblW w:w="0" w:type="auto"/>
        <w:tblLook w:val="04A0" w:firstRow="1" w:lastRow="0" w:firstColumn="1" w:lastColumn="0" w:noHBand="0" w:noVBand="1"/>
      </w:tblPr>
      <w:tblGrid>
        <w:gridCol w:w="1555"/>
        <w:gridCol w:w="4110"/>
        <w:gridCol w:w="4791"/>
      </w:tblGrid>
      <w:tr w:rsidR="00202ADF" w:rsidTr="00202ADF">
        <w:tc>
          <w:tcPr>
            <w:tcW w:w="1555" w:type="dxa"/>
          </w:tcPr>
          <w:p w:rsidR="00202ADF" w:rsidRDefault="00202ADF" w:rsidP="002A631F">
            <w:pPr>
              <w:adjustRightInd w:val="0"/>
              <w:snapToGrid w:val="0"/>
              <w:rPr>
                <w:rFonts w:ascii="微軟正黑體" w:eastAsia="微軟正黑體" w:hAnsi="微軟正黑體"/>
              </w:rPr>
            </w:pPr>
            <w:r>
              <w:rPr>
                <w:rFonts w:ascii="微軟正黑體" w:eastAsia="微軟正黑體" w:hAnsi="微軟正黑體" w:hint="eastAsia"/>
              </w:rPr>
              <w:t>類別</w:t>
            </w:r>
          </w:p>
        </w:tc>
        <w:tc>
          <w:tcPr>
            <w:tcW w:w="4110" w:type="dxa"/>
          </w:tcPr>
          <w:p w:rsidR="00202ADF" w:rsidRDefault="00202ADF" w:rsidP="002A631F">
            <w:pPr>
              <w:adjustRightInd w:val="0"/>
              <w:snapToGrid w:val="0"/>
              <w:rPr>
                <w:rFonts w:ascii="微軟正黑體" w:eastAsia="微軟正黑體" w:hAnsi="微軟正黑體"/>
              </w:rPr>
            </w:pPr>
            <w:r>
              <w:rPr>
                <w:rFonts w:ascii="微軟正黑體" w:eastAsia="微軟正黑體" w:hAnsi="微軟正黑體" w:hint="eastAsia"/>
              </w:rPr>
              <w:t>限制</w:t>
            </w:r>
          </w:p>
        </w:tc>
        <w:tc>
          <w:tcPr>
            <w:tcW w:w="4791" w:type="dxa"/>
          </w:tcPr>
          <w:p w:rsidR="00202ADF" w:rsidRDefault="00202ADF" w:rsidP="002A631F">
            <w:pPr>
              <w:adjustRightInd w:val="0"/>
              <w:snapToGrid w:val="0"/>
              <w:rPr>
                <w:rFonts w:ascii="微軟正黑體" w:eastAsia="微軟正黑體" w:hAnsi="微軟正黑體"/>
              </w:rPr>
            </w:pPr>
            <w:r>
              <w:rPr>
                <w:rFonts w:ascii="微軟正黑體" w:eastAsia="微軟正黑體" w:hAnsi="微軟正黑體" w:hint="eastAsia"/>
              </w:rPr>
              <w:t>組成型態</w:t>
            </w:r>
          </w:p>
        </w:tc>
      </w:tr>
      <w:tr w:rsidR="00202ADF" w:rsidTr="00202ADF">
        <w:tc>
          <w:tcPr>
            <w:tcW w:w="1555" w:type="dxa"/>
          </w:tcPr>
          <w:p w:rsidR="00202ADF" w:rsidRDefault="00202ADF" w:rsidP="002A631F">
            <w:pPr>
              <w:adjustRightInd w:val="0"/>
              <w:snapToGrid w:val="0"/>
              <w:rPr>
                <w:rFonts w:ascii="微軟正黑體" w:eastAsia="微軟正黑體" w:hAnsi="微軟正黑體"/>
              </w:rPr>
            </w:pPr>
            <w:r>
              <w:rPr>
                <w:rFonts w:ascii="微軟正黑體" w:eastAsia="微軟正黑體" w:hAnsi="微軟正黑體" w:hint="eastAsia"/>
              </w:rPr>
              <w:t>一</w:t>
            </w:r>
          </w:p>
        </w:tc>
        <w:tc>
          <w:tcPr>
            <w:tcW w:w="4110" w:type="dxa"/>
          </w:tcPr>
          <w:p w:rsidR="00202ADF" w:rsidRDefault="00202ADF" w:rsidP="002A631F">
            <w:pPr>
              <w:adjustRightInd w:val="0"/>
              <w:snapToGrid w:val="0"/>
              <w:rPr>
                <w:rFonts w:ascii="微軟正黑體" w:eastAsia="微軟正黑體" w:hAnsi="微軟正黑體"/>
              </w:rPr>
            </w:pPr>
            <w:r>
              <w:rPr>
                <w:rFonts w:ascii="微軟正黑體" w:eastAsia="微軟正黑體" w:hAnsi="微軟正黑體" w:hint="eastAsia"/>
              </w:rPr>
              <w:t>最少為風險性資產之4%(核心資本)</w:t>
            </w:r>
          </w:p>
        </w:tc>
        <w:tc>
          <w:tcPr>
            <w:tcW w:w="4791" w:type="dxa"/>
          </w:tcPr>
          <w:p w:rsidR="00202ADF" w:rsidRDefault="00202ADF" w:rsidP="002A631F">
            <w:pPr>
              <w:adjustRightInd w:val="0"/>
              <w:snapToGrid w:val="0"/>
              <w:rPr>
                <w:rFonts w:ascii="微軟正黑體" w:eastAsia="微軟正黑體" w:hAnsi="微軟正黑體"/>
              </w:rPr>
            </w:pPr>
            <w:r>
              <w:rPr>
                <w:rFonts w:ascii="微軟正黑體" w:eastAsia="微軟正黑體" w:hAnsi="微軟正黑體" w:hint="eastAsia"/>
              </w:rPr>
              <w:t>普通股、永續非累積特別股、公債、預收資本、累積盈虧、少數股權及權益調整之合計數減除商譽與庫藏股(永續非累積特別股要小於第一類資本的15%)</w:t>
            </w:r>
            <w:r w:rsidR="0005150B">
              <w:rPr>
                <w:rFonts w:ascii="微軟正黑體" w:eastAsia="微軟正黑體" w:hAnsi="微軟正黑體" w:hint="eastAsia"/>
              </w:rPr>
              <w:t>。</w:t>
            </w:r>
          </w:p>
        </w:tc>
      </w:tr>
      <w:tr w:rsidR="00202ADF" w:rsidRPr="000E31F5" w:rsidTr="00202ADF">
        <w:tc>
          <w:tcPr>
            <w:tcW w:w="1555" w:type="dxa"/>
          </w:tcPr>
          <w:p w:rsidR="00202ADF" w:rsidRDefault="00202ADF" w:rsidP="002A631F">
            <w:pPr>
              <w:adjustRightInd w:val="0"/>
              <w:snapToGrid w:val="0"/>
              <w:rPr>
                <w:rFonts w:ascii="微軟正黑體" w:eastAsia="微軟正黑體" w:hAnsi="微軟正黑體"/>
              </w:rPr>
            </w:pPr>
            <w:r>
              <w:rPr>
                <w:rFonts w:ascii="微軟正黑體" w:eastAsia="微軟正黑體" w:hAnsi="微軟正黑體" w:hint="eastAsia"/>
              </w:rPr>
              <w:t>二</w:t>
            </w:r>
          </w:p>
        </w:tc>
        <w:tc>
          <w:tcPr>
            <w:tcW w:w="4110" w:type="dxa"/>
          </w:tcPr>
          <w:p w:rsidR="00202ADF" w:rsidRDefault="00202ADF" w:rsidP="002A631F">
            <w:pPr>
              <w:adjustRightInd w:val="0"/>
              <w:snapToGrid w:val="0"/>
              <w:rPr>
                <w:rFonts w:ascii="微軟正黑體" w:eastAsia="微軟正黑體" w:hAnsi="微軟正黑體"/>
              </w:rPr>
            </w:pPr>
            <w:r>
              <w:rPr>
                <w:rFonts w:ascii="微軟正黑體" w:eastAsia="微軟正黑體" w:hAnsi="微軟正黑體" w:hint="eastAsia"/>
              </w:rPr>
              <w:t>&lt;=第一類資本(輔助資本)</w:t>
            </w:r>
          </w:p>
        </w:tc>
        <w:tc>
          <w:tcPr>
            <w:tcW w:w="4791" w:type="dxa"/>
          </w:tcPr>
          <w:p w:rsidR="00202ADF" w:rsidRDefault="0005150B" w:rsidP="002A631F">
            <w:pPr>
              <w:adjustRightInd w:val="0"/>
              <w:snapToGrid w:val="0"/>
              <w:rPr>
                <w:rFonts w:ascii="微軟正黑體" w:eastAsia="微軟正黑體" w:hAnsi="微軟正黑體"/>
              </w:rPr>
            </w:pPr>
            <w:r>
              <w:rPr>
                <w:rFonts w:ascii="微軟正黑體" w:eastAsia="微軟正黑體" w:hAnsi="微軟正黑體" w:hint="eastAsia"/>
              </w:rPr>
              <w:t>永續累積特別股</w:t>
            </w:r>
            <w:r w:rsidR="00AF26A5">
              <w:rPr>
                <w:rFonts w:ascii="微軟正黑體" w:eastAsia="微軟正黑體" w:hAnsi="微軟正黑體" w:hint="eastAsia"/>
              </w:rPr>
              <w:t>、固定資產增值公債、未實現長期股權投資資本增益</w:t>
            </w:r>
            <w:r w:rsidR="000E31F5">
              <w:rPr>
                <w:rFonts w:ascii="微軟正黑體" w:eastAsia="微軟正黑體" w:hAnsi="微軟正黑體" w:hint="eastAsia"/>
              </w:rPr>
              <w:t>之45%、可轉換債券、營業準備及備抵呆帳(不包括特別提列者，不超過風險性資產總額1.25%)、及已發行長期(五年以上)次順位債券、非永續特別股之合計數。</w:t>
            </w:r>
          </w:p>
          <w:p w:rsidR="000E31F5" w:rsidRDefault="000E31F5" w:rsidP="002A631F">
            <w:pPr>
              <w:adjustRightInd w:val="0"/>
              <w:snapToGrid w:val="0"/>
              <w:rPr>
                <w:rFonts w:ascii="微軟正黑體" w:eastAsia="微軟正黑體" w:hAnsi="微軟正黑體"/>
              </w:rPr>
            </w:pPr>
            <w:r>
              <w:rPr>
                <w:rFonts w:ascii="微軟正黑體" w:eastAsia="微軟正黑體" w:hAnsi="微軟正黑體" w:hint="eastAsia"/>
              </w:rPr>
              <w:t>長期次順位債券及非永續特別股之合計數不得逾第一類資本的50%。</w:t>
            </w:r>
          </w:p>
        </w:tc>
      </w:tr>
      <w:tr w:rsidR="00202ADF" w:rsidTr="00202ADF">
        <w:tc>
          <w:tcPr>
            <w:tcW w:w="1555" w:type="dxa"/>
          </w:tcPr>
          <w:p w:rsidR="00202ADF" w:rsidRDefault="00202ADF" w:rsidP="002A631F">
            <w:pPr>
              <w:adjustRightInd w:val="0"/>
              <w:snapToGrid w:val="0"/>
              <w:rPr>
                <w:rFonts w:ascii="微軟正黑體" w:eastAsia="微軟正黑體" w:hAnsi="微軟正黑體"/>
              </w:rPr>
            </w:pPr>
            <w:r>
              <w:rPr>
                <w:rFonts w:ascii="微軟正黑體" w:eastAsia="微軟正黑體" w:hAnsi="微軟正黑體" w:hint="eastAsia"/>
              </w:rPr>
              <w:t>三</w:t>
            </w:r>
          </w:p>
        </w:tc>
        <w:tc>
          <w:tcPr>
            <w:tcW w:w="4110" w:type="dxa"/>
          </w:tcPr>
          <w:p w:rsidR="00202ADF" w:rsidRDefault="00202ADF" w:rsidP="002A631F">
            <w:pPr>
              <w:adjustRightInd w:val="0"/>
              <w:snapToGrid w:val="0"/>
              <w:rPr>
                <w:rFonts w:ascii="微軟正黑體" w:eastAsia="微軟正黑體" w:hAnsi="微軟正黑體"/>
              </w:rPr>
            </w:pPr>
            <w:r>
              <w:rPr>
                <w:rFonts w:ascii="微軟正黑體" w:eastAsia="微軟正黑體" w:hAnsi="微軟正黑體" w:hint="eastAsia"/>
              </w:rPr>
              <w:t>&lt;=第一類資本250%(支應市場風險)</w:t>
            </w:r>
          </w:p>
        </w:tc>
        <w:tc>
          <w:tcPr>
            <w:tcW w:w="4791" w:type="dxa"/>
          </w:tcPr>
          <w:p w:rsidR="00202ADF" w:rsidRDefault="000E31F5" w:rsidP="002A631F">
            <w:pPr>
              <w:adjustRightInd w:val="0"/>
              <w:snapToGrid w:val="0"/>
              <w:rPr>
                <w:rFonts w:ascii="微軟正黑體" w:eastAsia="微軟正黑體" w:hAnsi="微軟正黑體"/>
              </w:rPr>
            </w:pPr>
            <w:r>
              <w:rPr>
                <w:rFonts w:ascii="微軟正黑體" w:eastAsia="微軟正黑體" w:hAnsi="微軟正黑體" w:hint="eastAsia"/>
              </w:rPr>
              <w:t>已發行短期(2年以上)次順位債券、非永續特別股。</w:t>
            </w:r>
          </w:p>
        </w:tc>
      </w:tr>
      <w:tr w:rsidR="00202ADF" w:rsidTr="00202ADF">
        <w:tc>
          <w:tcPr>
            <w:tcW w:w="1555" w:type="dxa"/>
          </w:tcPr>
          <w:p w:rsidR="00202ADF" w:rsidRDefault="00202ADF" w:rsidP="002A631F">
            <w:pPr>
              <w:adjustRightInd w:val="0"/>
              <w:snapToGrid w:val="0"/>
              <w:rPr>
                <w:rFonts w:ascii="微軟正黑體" w:eastAsia="微軟正黑體" w:hAnsi="微軟正黑體"/>
              </w:rPr>
            </w:pPr>
            <w:r>
              <w:rPr>
                <w:rFonts w:ascii="微軟正黑體" w:eastAsia="微軟正黑體" w:hAnsi="微軟正黑體" w:hint="eastAsia"/>
              </w:rPr>
              <w:t>資本減除項目</w:t>
            </w:r>
          </w:p>
        </w:tc>
        <w:tc>
          <w:tcPr>
            <w:tcW w:w="4110" w:type="dxa"/>
          </w:tcPr>
          <w:p w:rsidR="00202ADF" w:rsidRDefault="00202ADF" w:rsidP="002A631F">
            <w:pPr>
              <w:adjustRightInd w:val="0"/>
              <w:snapToGrid w:val="0"/>
              <w:rPr>
                <w:rFonts w:ascii="微軟正黑體" w:eastAsia="微軟正黑體" w:hAnsi="微軟正黑體"/>
              </w:rPr>
            </w:pPr>
          </w:p>
        </w:tc>
        <w:tc>
          <w:tcPr>
            <w:tcW w:w="4791" w:type="dxa"/>
          </w:tcPr>
          <w:p w:rsidR="00202ADF" w:rsidRDefault="000E31F5" w:rsidP="002A631F">
            <w:pPr>
              <w:adjustRightInd w:val="0"/>
              <w:snapToGrid w:val="0"/>
              <w:rPr>
                <w:rFonts w:ascii="微軟正黑體" w:eastAsia="微軟正黑體" w:hAnsi="微軟正黑體"/>
              </w:rPr>
            </w:pPr>
            <w:r>
              <w:rPr>
                <w:rFonts w:ascii="微軟正黑體" w:eastAsia="微軟正黑體" w:hAnsi="微軟正黑體" w:hint="eastAsia"/>
              </w:rPr>
              <w:t>對其他同業持股超過一年之帳列金額；經核准轉投資之其他事業</w:t>
            </w:r>
            <w:r w:rsidR="00865B98">
              <w:rPr>
                <w:rFonts w:ascii="微軟正黑體" w:eastAsia="微軟正黑體" w:hAnsi="微軟正黑體" w:hint="eastAsia"/>
              </w:rPr>
              <w:t>。</w:t>
            </w:r>
          </w:p>
        </w:tc>
      </w:tr>
    </w:tbl>
    <w:p w:rsidR="00202ADF" w:rsidRPr="002A631F" w:rsidRDefault="00202ADF" w:rsidP="002A631F">
      <w:pPr>
        <w:adjustRightInd w:val="0"/>
        <w:snapToGrid w:val="0"/>
        <w:rPr>
          <w:rFonts w:ascii="微軟正黑體" w:eastAsia="微軟正黑體" w:hAnsi="微軟正黑體"/>
        </w:rPr>
      </w:pPr>
    </w:p>
    <w:sectPr w:rsidR="00202ADF" w:rsidRPr="002A631F" w:rsidSect="009013CD">
      <w:pgSz w:w="11906" w:h="16838"/>
      <w:pgMar w:top="720" w:right="720" w:bottom="720" w:left="72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E0AE4" w:rsidRDefault="008E0AE4" w:rsidP="00CA6D79">
      <w:r>
        <w:separator/>
      </w:r>
    </w:p>
  </w:endnote>
  <w:endnote w:type="continuationSeparator" w:id="0">
    <w:p w:rsidR="008E0AE4" w:rsidRDefault="008E0AE4" w:rsidP="00CA6D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0002AFF" w:usb1="C000247B" w:usb2="00000009" w:usb3="00000000" w:csb0="000001FF" w:csb1="00000000"/>
  </w:font>
  <w:font w:name="微軟正黑體">
    <w:panose1 w:val="020B0604030504040204"/>
    <w:charset w:val="88"/>
    <w:family w:val="swiss"/>
    <w:pitch w:val="variable"/>
    <w:sig w:usb0="000002A7" w:usb1="28CF4400" w:usb2="00000016" w:usb3="00000000" w:csb0="00100009"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E0AE4" w:rsidRDefault="008E0AE4" w:rsidP="00CA6D79">
      <w:r>
        <w:separator/>
      </w:r>
    </w:p>
  </w:footnote>
  <w:footnote w:type="continuationSeparator" w:id="0">
    <w:p w:rsidR="008E0AE4" w:rsidRDefault="008E0AE4" w:rsidP="00CA6D7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3326DE"/>
    <w:multiLevelType w:val="hybridMultilevel"/>
    <w:tmpl w:val="D24A17F6"/>
    <w:lvl w:ilvl="0" w:tplc="712C3606">
      <w:start w:val="1"/>
      <w:numFmt w:val="decimal"/>
      <w:suff w:val="nothing"/>
      <w:lvlText w:val="%1."/>
      <w:lvlJc w:val="left"/>
      <w:pPr>
        <w:ind w:left="960" w:hanging="480"/>
      </w:pPr>
      <w:rPr>
        <w:rFonts w:hint="eastAsia"/>
      </w:rPr>
    </w:lvl>
    <w:lvl w:ilvl="1" w:tplc="766447D2">
      <w:start w:val="1"/>
      <w:numFmt w:val="decimal"/>
      <w:lvlText w:val="(%2)."/>
      <w:lvlJc w:val="left"/>
      <w:pPr>
        <w:ind w:left="1440" w:hanging="480"/>
      </w:pPr>
      <w:rPr>
        <w:rFonts w:hint="eastAsia"/>
      </w:r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 w15:restartNumberingAfterBreak="0">
    <w:nsid w:val="0AD12637"/>
    <w:multiLevelType w:val="hybridMultilevel"/>
    <w:tmpl w:val="1B62FF8E"/>
    <w:lvl w:ilvl="0" w:tplc="D570D102">
      <w:start w:val="1"/>
      <w:numFmt w:val="decimal"/>
      <w:suff w:val="nothing"/>
      <w:lvlText w:val="%1."/>
      <w:lvlJc w:val="left"/>
      <w:pPr>
        <w:ind w:left="960" w:hanging="480"/>
      </w:pPr>
      <w:rPr>
        <w:rFonts w:hint="eastAsia"/>
      </w:rPr>
    </w:lvl>
    <w:lvl w:ilvl="1" w:tplc="766447D2">
      <w:start w:val="1"/>
      <w:numFmt w:val="decimal"/>
      <w:lvlText w:val="(%2)."/>
      <w:lvlJc w:val="left"/>
      <w:pPr>
        <w:ind w:left="1440" w:hanging="480"/>
      </w:pPr>
      <w:rPr>
        <w:rFonts w:hint="eastAsia"/>
      </w:r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2" w15:restartNumberingAfterBreak="0">
    <w:nsid w:val="21B008D8"/>
    <w:multiLevelType w:val="hybridMultilevel"/>
    <w:tmpl w:val="26001068"/>
    <w:lvl w:ilvl="0" w:tplc="6D6E78E4">
      <w:start w:val="1"/>
      <w:numFmt w:val="decimal"/>
      <w:suff w:val="nothing"/>
      <w:lvlText w:val="%1."/>
      <w:lvlJc w:val="left"/>
      <w:pPr>
        <w:ind w:left="960" w:hanging="480"/>
      </w:pPr>
      <w:rPr>
        <w:rFonts w:hint="eastAsia"/>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3" w15:restartNumberingAfterBreak="0">
    <w:nsid w:val="22F83F0E"/>
    <w:multiLevelType w:val="hybridMultilevel"/>
    <w:tmpl w:val="365E270C"/>
    <w:lvl w:ilvl="0" w:tplc="EA3E1294">
      <w:start w:val="1"/>
      <w:numFmt w:val="decimal"/>
      <w:suff w:val="nothing"/>
      <w:lvlText w:val="%1."/>
      <w:lvlJc w:val="left"/>
      <w:pPr>
        <w:ind w:left="960" w:hanging="480"/>
      </w:pPr>
      <w:rPr>
        <w:rFonts w:hint="eastAsia"/>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4" w15:restartNumberingAfterBreak="0">
    <w:nsid w:val="2A4433F0"/>
    <w:multiLevelType w:val="hybridMultilevel"/>
    <w:tmpl w:val="C0865860"/>
    <w:lvl w:ilvl="0" w:tplc="68889954">
      <w:start w:val="1"/>
      <w:numFmt w:val="decimal"/>
      <w:suff w:val="nothing"/>
      <w:lvlText w:val="%1."/>
      <w:lvlJc w:val="left"/>
      <w:pPr>
        <w:ind w:left="960" w:hanging="480"/>
      </w:pPr>
      <w:rPr>
        <w:rFonts w:hint="eastAsia"/>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5" w15:restartNumberingAfterBreak="0">
    <w:nsid w:val="4265717A"/>
    <w:multiLevelType w:val="hybridMultilevel"/>
    <w:tmpl w:val="3738A83C"/>
    <w:lvl w:ilvl="0" w:tplc="8D94FD22">
      <w:start w:val="1"/>
      <w:numFmt w:val="decimal"/>
      <w:suff w:val="nothing"/>
      <w:lvlText w:val="%1."/>
      <w:lvlJc w:val="left"/>
      <w:pPr>
        <w:ind w:left="960" w:hanging="480"/>
      </w:pPr>
      <w:rPr>
        <w:rFonts w:hint="eastAsia"/>
      </w:rPr>
    </w:lvl>
    <w:lvl w:ilvl="1" w:tplc="766447D2">
      <w:start w:val="1"/>
      <w:numFmt w:val="decimal"/>
      <w:lvlText w:val="(%2)."/>
      <w:lvlJc w:val="left"/>
      <w:pPr>
        <w:ind w:left="1440" w:hanging="480"/>
      </w:pPr>
      <w:rPr>
        <w:rFonts w:hint="eastAsia"/>
      </w:r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6" w15:restartNumberingAfterBreak="0">
    <w:nsid w:val="484C53E9"/>
    <w:multiLevelType w:val="hybridMultilevel"/>
    <w:tmpl w:val="B600A878"/>
    <w:lvl w:ilvl="0" w:tplc="6D6E78E4">
      <w:start w:val="1"/>
      <w:numFmt w:val="decimal"/>
      <w:suff w:val="nothing"/>
      <w:lvlText w:val="%1."/>
      <w:lvlJc w:val="left"/>
      <w:pPr>
        <w:ind w:left="960" w:hanging="480"/>
      </w:pPr>
      <w:rPr>
        <w:rFonts w:hint="eastAsia"/>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 w15:restartNumberingAfterBreak="0">
    <w:nsid w:val="4BCD4AA6"/>
    <w:multiLevelType w:val="hybridMultilevel"/>
    <w:tmpl w:val="27AA2022"/>
    <w:lvl w:ilvl="0" w:tplc="6E566FBE">
      <w:start w:val="1"/>
      <w:numFmt w:val="decimal"/>
      <w:suff w:val="nothing"/>
      <w:lvlText w:val="%1."/>
      <w:lvlJc w:val="left"/>
      <w:pPr>
        <w:ind w:left="960" w:hanging="480"/>
      </w:pPr>
      <w:rPr>
        <w:rFonts w:hint="eastAsia"/>
      </w:rPr>
    </w:lvl>
    <w:lvl w:ilvl="1" w:tplc="766447D2">
      <w:start w:val="1"/>
      <w:numFmt w:val="decimal"/>
      <w:lvlText w:val="(%2)."/>
      <w:lvlJc w:val="left"/>
      <w:pPr>
        <w:ind w:left="1440" w:hanging="480"/>
      </w:pPr>
      <w:rPr>
        <w:rFonts w:hint="eastAsia"/>
      </w:rPr>
    </w:lvl>
    <w:lvl w:ilvl="2" w:tplc="0409001B">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8" w15:restartNumberingAfterBreak="0">
    <w:nsid w:val="60346F95"/>
    <w:multiLevelType w:val="hybridMultilevel"/>
    <w:tmpl w:val="F6D4A34A"/>
    <w:lvl w:ilvl="0" w:tplc="EA3E1294">
      <w:start w:val="1"/>
      <w:numFmt w:val="decimal"/>
      <w:suff w:val="nothing"/>
      <w:lvlText w:val="%1."/>
      <w:lvlJc w:val="left"/>
      <w:pPr>
        <w:ind w:left="960" w:hanging="480"/>
      </w:pPr>
      <w:rPr>
        <w:rFonts w:hint="eastAsia"/>
      </w:rPr>
    </w:lvl>
    <w:lvl w:ilvl="1" w:tplc="04090019">
      <w:start w:val="1"/>
      <w:numFmt w:val="ideographTraditional"/>
      <w:lvlText w:val="%2、"/>
      <w:lvlJc w:val="left"/>
      <w:pPr>
        <w:ind w:left="960" w:hanging="480"/>
      </w:pPr>
    </w:lvl>
    <w:lvl w:ilvl="2" w:tplc="766447D2">
      <w:start w:val="1"/>
      <w:numFmt w:val="decimal"/>
      <w:lvlText w:val="(%3)."/>
      <w:lvlJc w:val="left"/>
      <w:pPr>
        <w:ind w:left="1440" w:hanging="480"/>
      </w:pPr>
      <w:rPr>
        <w:rFonts w:hint="eastAsia"/>
      </w:r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 w15:restartNumberingAfterBreak="0">
    <w:nsid w:val="704F4AFF"/>
    <w:multiLevelType w:val="hybridMultilevel"/>
    <w:tmpl w:val="5B92668E"/>
    <w:lvl w:ilvl="0" w:tplc="114CE8E2">
      <w:start w:val="1"/>
      <w:numFmt w:val="decimal"/>
      <w:suff w:val="nothing"/>
      <w:lvlText w:val="%1."/>
      <w:lvlJc w:val="left"/>
      <w:pPr>
        <w:ind w:left="960" w:hanging="480"/>
      </w:pPr>
      <w:rPr>
        <w:rFonts w:hint="eastAsia"/>
      </w:rPr>
    </w:lvl>
    <w:lvl w:ilvl="1" w:tplc="766447D2">
      <w:start w:val="1"/>
      <w:numFmt w:val="decimal"/>
      <w:lvlText w:val="(%2)."/>
      <w:lvlJc w:val="left"/>
      <w:pPr>
        <w:ind w:left="1440" w:hanging="480"/>
      </w:pPr>
      <w:rPr>
        <w:rFonts w:hint="eastAsia"/>
      </w:r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0" w15:restartNumberingAfterBreak="0">
    <w:nsid w:val="76863236"/>
    <w:multiLevelType w:val="hybridMultilevel"/>
    <w:tmpl w:val="065C51F8"/>
    <w:lvl w:ilvl="0" w:tplc="FA4A8DA2">
      <w:start w:val="1"/>
      <w:numFmt w:val="decimal"/>
      <w:suff w:val="nothing"/>
      <w:lvlText w:val="%1."/>
      <w:lvlJc w:val="left"/>
      <w:pPr>
        <w:ind w:left="960" w:hanging="480"/>
      </w:pPr>
      <w:rPr>
        <w:rFonts w:hint="eastAsia"/>
      </w:rPr>
    </w:lvl>
    <w:lvl w:ilvl="1" w:tplc="766447D2">
      <w:start w:val="1"/>
      <w:numFmt w:val="decimal"/>
      <w:lvlText w:val="(%2)."/>
      <w:lvlJc w:val="left"/>
      <w:pPr>
        <w:ind w:left="1440" w:hanging="480"/>
      </w:pPr>
      <w:rPr>
        <w:rFonts w:hint="eastAsia"/>
      </w:r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1" w15:restartNumberingAfterBreak="0">
    <w:nsid w:val="7E8F7508"/>
    <w:multiLevelType w:val="hybridMultilevel"/>
    <w:tmpl w:val="2AE88B12"/>
    <w:lvl w:ilvl="0" w:tplc="6D6E78E4">
      <w:start w:val="1"/>
      <w:numFmt w:val="decimal"/>
      <w:suff w:val="nothing"/>
      <w:lvlText w:val="%1."/>
      <w:lvlJc w:val="left"/>
      <w:pPr>
        <w:ind w:left="960" w:hanging="480"/>
      </w:pPr>
      <w:rPr>
        <w:rFonts w:hint="eastAsia"/>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abstractNumId w:val="2"/>
  </w:num>
  <w:num w:numId="2">
    <w:abstractNumId w:val="6"/>
  </w:num>
  <w:num w:numId="3">
    <w:abstractNumId w:val="11"/>
  </w:num>
  <w:num w:numId="4">
    <w:abstractNumId w:val="0"/>
  </w:num>
  <w:num w:numId="5">
    <w:abstractNumId w:val="4"/>
  </w:num>
  <w:num w:numId="6">
    <w:abstractNumId w:val="9"/>
  </w:num>
  <w:num w:numId="7">
    <w:abstractNumId w:val="3"/>
  </w:num>
  <w:num w:numId="8">
    <w:abstractNumId w:val="8"/>
  </w:num>
  <w:num w:numId="9">
    <w:abstractNumId w:val="7"/>
  </w:num>
  <w:num w:numId="10">
    <w:abstractNumId w:val="5"/>
  </w:num>
  <w:num w:numId="11">
    <w:abstractNumId w:val="1"/>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defaultTabStop w:val="480"/>
  <w:drawingGridHorizontalSpacing w:val="12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013CD"/>
    <w:rsid w:val="0005150B"/>
    <w:rsid w:val="00067020"/>
    <w:rsid w:val="000D7920"/>
    <w:rsid w:val="000E31F5"/>
    <w:rsid w:val="000E61BA"/>
    <w:rsid w:val="00101BFE"/>
    <w:rsid w:val="00104D68"/>
    <w:rsid w:val="00123505"/>
    <w:rsid w:val="001322AA"/>
    <w:rsid w:val="00156A96"/>
    <w:rsid w:val="001645EA"/>
    <w:rsid w:val="00186EC0"/>
    <w:rsid w:val="001D49B3"/>
    <w:rsid w:val="001E1C1E"/>
    <w:rsid w:val="001E225C"/>
    <w:rsid w:val="00202ADF"/>
    <w:rsid w:val="00203209"/>
    <w:rsid w:val="002125D8"/>
    <w:rsid w:val="002138A4"/>
    <w:rsid w:val="00236ED6"/>
    <w:rsid w:val="0024338D"/>
    <w:rsid w:val="002671F8"/>
    <w:rsid w:val="00273CD5"/>
    <w:rsid w:val="00286926"/>
    <w:rsid w:val="002A631F"/>
    <w:rsid w:val="003027CA"/>
    <w:rsid w:val="00313C5B"/>
    <w:rsid w:val="00320551"/>
    <w:rsid w:val="00323E71"/>
    <w:rsid w:val="00337790"/>
    <w:rsid w:val="0036741E"/>
    <w:rsid w:val="00425180"/>
    <w:rsid w:val="00442CCD"/>
    <w:rsid w:val="00462424"/>
    <w:rsid w:val="00481411"/>
    <w:rsid w:val="004A6B89"/>
    <w:rsid w:val="00553E9D"/>
    <w:rsid w:val="005A4C8B"/>
    <w:rsid w:val="005D7378"/>
    <w:rsid w:val="005D7B9D"/>
    <w:rsid w:val="006369CC"/>
    <w:rsid w:val="00645C7F"/>
    <w:rsid w:val="00645EB6"/>
    <w:rsid w:val="006535AA"/>
    <w:rsid w:val="006542DC"/>
    <w:rsid w:val="00683655"/>
    <w:rsid w:val="006B04C0"/>
    <w:rsid w:val="007038DC"/>
    <w:rsid w:val="00765C26"/>
    <w:rsid w:val="007766E3"/>
    <w:rsid w:val="0079212F"/>
    <w:rsid w:val="007A3E00"/>
    <w:rsid w:val="007A4294"/>
    <w:rsid w:val="007C6370"/>
    <w:rsid w:val="008630D8"/>
    <w:rsid w:val="00865B98"/>
    <w:rsid w:val="00875AA3"/>
    <w:rsid w:val="008B0951"/>
    <w:rsid w:val="008E0AE4"/>
    <w:rsid w:val="009013CD"/>
    <w:rsid w:val="00922C68"/>
    <w:rsid w:val="009A109E"/>
    <w:rsid w:val="009B7ACF"/>
    <w:rsid w:val="009C555E"/>
    <w:rsid w:val="009C7E8D"/>
    <w:rsid w:val="009E5A0D"/>
    <w:rsid w:val="00A013F0"/>
    <w:rsid w:val="00A50CC3"/>
    <w:rsid w:val="00A80D16"/>
    <w:rsid w:val="00A9295A"/>
    <w:rsid w:val="00AC1F2D"/>
    <w:rsid w:val="00AE3646"/>
    <w:rsid w:val="00AF1B4D"/>
    <w:rsid w:val="00AF26A5"/>
    <w:rsid w:val="00B4670D"/>
    <w:rsid w:val="00BD5B7E"/>
    <w:rsid w:val="00C15CF2"/>
    <w:rsid w:val="00C36391"/>
    <w:rsid w:val="00C903DE"/>
    <w:rsid w:val="00CA6D79"/>
    <w:rsid w:val="00CB40CC"/>
    <w:rsid w:val="00CC3E0D"/>
    <w:rsid w:val="00CD22B0"/>
    <w:rsid w:val="00D05FB7"/>
    <w:rsid w:val="00D07989"/>
    <w:rsid w:val="00D621D6"/>
    <w:rsid w:val="00D645B7"/>
    <w:rsid w:val="00D7038C"/>
    <w:rsid w:val="00DB16EE"/>
    <w:rsid w:val="00DC298A"/>
    <w:rsid w:val="00DE2F1E"/>
    <w:rsid w:val="00ED1802"/>
    <w:rsid w:val="00ED33C3"/>
    <w:rsid w:val="00EE192E"/>
    <w:rsid w:val="00EF6492"/>
    <w:rsid w:val="00F16A34"/>
    <w:rsid w:val="00F21E7D"/>
    <w:rsid w:val="00F21F02"/>
    <w:rsid w:val="00F809F8"/>
    <w:rsid w:val="00F9216B"/>
    <w:rsid w:val="00FE03CC"/>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7F5BC71"/>
  <w15:chartTrackingRefBased/>
  <w15:docId w15:val="{9D997C73-E300-4962-A1E8-30240F8D3D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9013CD"/>
    <w:pPr>
      <w:ind w:leftChars="200" w:left="480"/>
    </w:pPr>
  </w:style>
  <w:style w:type="paragraph" w:styleId="a4">
    <w:name w:val="header"/>
    <w:basedOn w:val="a"/>
    <w:link w:val="a5"/>
    <w:uiPriority w:val="99"/>
    <w:unhideWhenUsed/>
    <w:rsid w:val="00CA6D79"/>
    <w:pPr>
      <w:tabs>
        <w:tab w:val="center" w:pos="4153"/>
        <w:tab w:val="right" w:pos="8306"/>
      </w:tabs>
      <w:snapToGrid w:val="0"/>
    </w:pPr>
    <w:rPr>
      <w:sz w:val="20"/>
      <w:szCs w:val="20"/>
    </w:rPr>
  </w:style>
  <w:style w:type="character" w:customStyle="1" w:styleId="a5">
    <w:name w:val="頁首 字元"/>
    <w:basedOn w:val="a0"/>
    <w:link w:val="a4"/>
    <w:uiPriority w:val="99"/>
    <w:rsid w:val="00CA6D79"/>
    <w:rPr>
      <w:sz w:val="20"/>
      <w:szCs w:val="20"/>
    </w:rPr>
  </w:style>
  <w:style w:type="paragraph" w:styleId="a6">
    <w:name w:val="footer"/>
    <w:basedOn w:val="a"/>
    <w:link w:val="a7"/>
    <w:uiPriority w:val="99"/>
    <w:unhideWhenUsed/>
    <w:rsid w:val="00CA6D79"/>
    <w:pPr>
      <w:tabs>
        <w:tab w:val="center" w:pos="4153"/>
        <w:tab w:val="right" w:pos="8306"/>
      </w:tabs>
      <w:snapToGrid w:val="0"/>
    </w:pPr>
    <w:rPr>
      <w:sz w:val="20"/>
      <w:szCs w:val="20"/>
    </w:rPr>
  </w:style>
  <w:style w:type="character" w:customStyle="1" w:styleId="a7">
    <w:name w:val="頁尾 字元"/>
    <w:basedOn w:val="a0"/>
    <w:link w:val="a6"/>
    <w:uiPriority w:val="99"/>
    <w:rsid w:val="00CA6D79"/>
    <w:rPr>
      <w:sz w:val="20"/>
      <w:szCs w:val="20"/>
    </w:rPr>
  </w:style>
  <w:style w:type="character" w:styleId="a8">
    <w:name w:val="annotation reference"/>
    <w:basedOn w:val="a0"/>
    <w:uiPriority w:val="99"/>
    <w:semiHidden/>
    <w:unhideWhenUsed/>
    <w:rsid w:val="00645EB6"/>
    <w:rPr>
      <w:sz w:val="18"/>
      <w:szCs w:val="18"/>
    </w:rPr>
  </w:style>
  <w:style w:type="paragraph" w:styleId="a9">
    <w:name w:val="annotation text"/>
    <w:basedOn w:val="a"/>
    <w:link w:val="aa"/>
    <w:uiPriority w:val="99"/>
    <w:semiHidden/>
    <w:unhideWhenUsed/>
    <w:rsid w:val="00645EB6"/>
  </w:style>
  <w:style w:type="character" w:customStyle="1" w:styleId="aa">
    <w:name w:val="註解文字 字元"/>
    <w:basedOn w:val="a0"/>
    <w:link w:val="a9"/>
    <w:uiPriority w:val="99"/>
    <w:semiHidden/>
    <w:rsid w:val="00645EB6"/>
  </w:style>
  <w:style w:type="paragraph" w:styleId="ab">
    <w:name w:val="annotation subject"/>
    <w:basedOn w:val="a9"/>
    <w:next w:val="a9"/>
    <w:link w:val="ac"/>
    <w:uiPriority w:val="99"/>
    <w:semiHidden/>
    <w:unhideWhenUsed/>
    <w:rsid w:val="00645EB6"/>
    <w:rPr>
      <w:b/>
      <w:bCs/>
    </w:rPr>
  </w:style>
  <w:style w:type="character" w:customStyle="1" w:styleId="ac">
    <w:name w:val="註解主旨 字元"/>
    <w:basedOn w:val="aa"/>
    <w:link w:val="ab"/>
    <w:uiPriority w:val="99"/>
    <w:semiHidden/>
    <w:rsid w:val="00645EB6"/>
    <w:rPr>
      <w:b/>
      <w:bCs/>
    </w:rPr>
  </w:style>
  <w:style w:type="paragraph" w:styleId="ad">
    <w:name w:val="Balloon Text"/>
    <w:basedOn w:val="a"/>
    <w:link w:val="ae"/>
    <w:uiPriority w:val="99"/>
    <w:semiHidden/>
    <w:unhideWhenUsed/>
    <w:rsid w:val="00645EB6"/>
    <w:rPr>
      <w:rFonts w:asciiTheme="majorHAnsi" w:eastAsiaTheme="majorEastAsia" w:hAnsiTheme="majorHAnsi" w:cstheme="majorBidi"/>
      <w:sz w:val="18"/>
      <w:szCs w:val="18"/>
    </w:rPr>
  </w:style>
  <w:style w:type="character" w:customStyle="1" w:styleId="ae">
    <w:name w:val="註解方塊文字 字元"/>
    <w:basedOn w:val="a0"/>
    <w:link w:val="ad"/>
    <w:uiPriority w:val="99"/>
    <w:semiHidden/>
    <w:rsid w:val="00645EB6"/>
    <w:rPr>
      <w:rFonts w:asciiTheme="majorHAnsi" w:eastAsiaTheme="majorEastAsia" w:hAnsiTheme="majorHAnsi" w:cstheme="majorBidi"/>
      <w:sz w:val="18"/>
      <w:szCs w:val="18"/>
    </w:rPr>
  </w:style>
  <w:style w:type="table" w:styleId="af">
    <w:name w:val="Table Grid"/>
    <w:basedOn w:val="a1"/>
    <w:uiPriority w:val="39"/>
    <w:rsid w:val="00A80D1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694</TotalTime>
  <Pages>8</Pages>
  <Words>1068</Words>
  <Characters>6092</Characters>
  <Application>Microsoft Office Word</Application>
  <DocSecurity>0</DocSecurity>
  <Lines>50</Lines>
  <Paragraphs>14</Paragraphs>
  <ScaleCrop>false</ScaleCrop>
  <Company/>
  <LinksUpToDate>false</LinksUpToDate>
  <CharactersWithSpaces>7146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簡孝竑(142476)</dc:creator>
  <cp:keywords/>
  <dc:description/>
  <cp:lastModifiedBy>簡孝竑(142476)</cp:lastModifiedBy>
  <cp:revision>79</cp:revision>
  <dcterms:created xsi:type="dcterms:W3CDTF">2021-02-22T03:08:00Z</dcterms:created>
  <dcterms:modified xsi:type="dcterms:W3CDTF">2021-03-08T01:32:00Z</dcterms:modified>
</cp:coreProperties>
</file>