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MAT-2211 – PR_AE_NA_RPT</w:t>
        <w:br/>
        <w:t>Requirement Understanding and Implementation Plan</w:t>
      </w:r>
    </w:p>
    <w:p>
      <w:pPr>
        <w:jc w:val="center"/>
      </w:pPr>
      <w:r>
        <w:rPr>
          <w:i/>
          <w:sz w:val="20"/>
        </w:rPr>
        <w:t>Current-state understanding and planned implementation</w:t>
      </w:r>
    </w:p>
    <w:p>
      <w:pPr>
        <w:pStyle w:val="Heading1"/>
      </w:pPr>
      <w:r>
        <w:t>1. Requirement</w:t>
      </w:r>
    </w:p>
    <w:p>
      <w:r>
        <w:t>The requirement is to add Connected Vehicle metrics to the existing EDW.PR_AE_NA_RPT process. The requirement identifies Connected Vehicle – Units and Connected Vehicle – FYTD as the new metrics.</w:t>
      </w:r>
    </w:p>
    <w:p>
      <w:r>
        <w:t>The requirement also says to use the existing Full Maintenance (FMX) and Maintenance Management (MMX) logic as the reference for calculating the new Connected Vehicle metrics.</w:t>
      </w:r>
    </w:p>
    <w:p>
      <w:r>
        <w:t>For the ranking portion, the requirement specifically refers to PR_AE_NA_RPT.FYTD_AE_FMX_RNK. The existing FMX ranking logic is therefore being used as the reference for understanding how the Connected Vehicle ranking should fit into the current process.</w:t>
      </w:r>
    </w:p>
    <w:p>
      <w:pPr>
        <w:pStyle w:val="Heading1"/>
      </w:pPr>
      <w:r>
        <w:t>2. Target Table</w:t>
      </w:r>
    </w:p>
    <w:p>
      <w:r>
        <w:t>The target table for this requirement is:</w:t>
      </w:r>
    </w:p>
    <w:p>
      <w:r>
        <w:rPr>
          <w:b/>
        </w:rPr>
        <w:t>EDW.PR_AE_NA_RPT</w:t>
      </w:r>
    </w:p>
    <w:p>
      <w:r>
        <w:t>The target already contains the existing FMX and MMX fields that provide the pattern for the new calculation.</w:t>
      </w:r>
    </w:p>
    <w:tbl>
      <w:tblPr>
        <w:tblStyle w:val="TableGrid"/>
        <w:tblW w:type="auto" w:w="0"/>
        <w:jc w:val="center"/>
        <w:tblLook w:firstColumn="1" w:firstRow="1" w:lastColumn="0" w:lastRow="0" w:noHBand="0" w:noVBand="1" w:val="04A0"/>
      </w:tblPr>
      <w:tblGrid>
        <w:gridCol w:w="4968"/>
        <w:gridCol w:w="4968"/>
      </w:tblGrid>
      <w:tr>
        <w:tc>
          <w:tcPr>
            <w:tcW w:type="dxa" w:w="4968"/>
          </w:tcPr>
          <w:p>
            <w:r>
              <w:t>Area</w:t>
            </w:r>
          </w:p>
        </w:tc>
        <w:tc>
          <w:tcPr>
            <w:tcW w:type="dxa" w:w="4968"/>
          </w:tcPr>
          <w:p>
            <w:r>
              <w:t>Existing Reference Fields</w:t>
            </w:r>
          </w:p>
        </w:tc>
      </w:tr>
      <w:tr>
        <w:tc>
          <w:tcPr>
            <w:tcW w:type="dxa" w:w="4968"/>
            <w:vAlign w:val="center"/>
          </w:tcPr>
          <w:p>
            <w:r>
              <w:t>Full Maintenance (FMX)</w:t>
            </w:r>
          </w:p>
        </w:tc>
        <w:tc>
          <w:tcPr>
            <w:tcW w:type="dxa" w:w="4968"/>
            <w:vAlign w:val="center"/>
          </w:tcPr>
          <w:p>
            <w:r>
              <w:t>FYTD_FMX_UNIT_CNT, FYTD_FMX_ADJ_CNT, FYTD_FMX_POINTS, FYTD_AE_FMX_RNK</w:t>
            </w:r>
          </w:p>
        </w:tc>
      </w:tr>
      <w:tr>
        <w:tc>
          <w:tcPr>
            <w:tcW w:type="dxa" w:w="4968"/>
            <w:vAlign w:val="center"/>
          </w:tcPr>
          <w:p>
            <w:r>
              <w:t>Maintenance Management (MMX)</w:t>
            </w:r>
          </w:p>
        </w:tc>
        <w:tc>
          <w:tcPr>
            <w:tcW w:type="dxa" w:w="4968"/>
            <w:vAlign w:val="center"/>
          </w:tcPr>
          <w:p>
            <w:r>
              <w:t>FYTD_MMX_UNIT_CNT, FYTD_MMX_ADJ_CNT, FYTD_MMX_POINTS, FYTD_AE_MMX_RNK</w:t>
            </w:r>
          </w:p>
        </w:tc>
      </w:tr>
    </w:tbl>
    <w:p>
      <w:pPr>
        <w:pStyle w:val="Heading1"/>
      </w:pPr>
      <w:r>
        <w:t>3. Source Understanding</w:t>
      </w:r>
    </w:p>
    <w:p>
      <w:r>
        <w:t>The requirement identifies either QUOTE_D or CMS as the possible source for Connected Vehicle information. Both areas were reviewed to understand what data is available.</w:t>
      </w:r>
    </w:p>
    <w:p>
      <w:pPr>
        <w:pStyle w:val="ListBullet"/>
      </w:pPr>
      <w:r>
        <w:t>QUOTE_D contains Connected Vehicle-related flags such as CV_DATA_SUBSCRIPTION_FLG and CV_PREPAID_DATA_FLG.</w:t>
      </w:r>
    </w:p>
    <w:p>
      <w:pPr>
        <w:pStyle w:val="ListBullet"/>
      </w:pPr>
      <w:r>
        <w:t>CUSTOMER_MONTH_SNP_F contains Connected Vehicle count fields such as CV_DATA_SUBSCRIPTION_LEASE_CNT, CV_DATA_SUBSCRIPTION_NON_LEASE_CNT, CV_PREPAID_DATA_LEASE_CNT, and CV_PREPAID_DATA_NON_LEASE_CNT.</w:t>
      </w:r>
    </w:p>
    <w:p>
      <w:pPr>
        <w:pStyle w:val="ListBullet"/>
      </w:pPr>
      <w:r>
        <w:t>The existing PR_AE_NA_RPT SQL already references CUSTOMER_MONTH_SNP_F for other processing, including fleet-potential-related logic.</w:t>
      </w:r>
    </w:p>
    <w:p>
      <w:pPr>
        <w:pStyle w:val="ListBullet"/>
      </w:pPr>
      <w:r>
        <w:t>The final source and exact field mapping for Connected Vehicle will follow the existing FMX/MMX calculation pattern and the requirement.</w:t>
      </w:r>
    </w:p>
    <w:p>
      <w:pPr>
        <w:pStyle w:val="Heading1"/>
      </w:pPr>
      <w:r>
        <w:t>4. Existing Matillion Pipeline</w:t>
      </w:r>
    </w:p>
    <w:p>
      <w:r>
        <w:t>The current orchestration flow starts with the processing-date setup and then calls the PR_AE_NA_RPT load job.</w:t>
      </w:r>
    </w:p>
    <w:p>
      <w:r>
        <w:rPr>
          <w:b/>
        </w:rPr>
        <w:t>Start → Get Run Date → Get Special Processing Dates → Python Script: Set Begin Date → Query Result to Grid → Sort Grid → PR_AE_NA_RPT - Load</w:t>
      </w:r>
    </w:p>
    <w:p>
      <w:r>
        <w:t>The main business processing for PR_AE_NA_RPT is inside the PR_AE_NA_RPT - Load transformation job. The date/grid components are used to control the processing period and are not the place where the Connected Vehicle business calculation is expected to be added.</w:t>
      </w:r>
    </w:p>
    <w:p>
      <w:pPr>
        <w:pStyle w:val="Heading1"/>
      </w:pPr>
      <w:r>
        <w:t>5. Components Reviewed in PR_AE_NA_RPT - Load</w:t>
      </w:r>
    </w:p>
    <w:p>
      <w:r>
        <w:t>The final part of the load job contains the delete, insert, historical update, points merge, ranking merge, and final qualification steps.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w:t>
            </w:r>
          </w:p>
        </w:tc>
        <w:tc>
          <w:tcPr>
            <w:tcW w:type="dxa" w:w="3312"/>
          </w:tcPr>
          <w:p>
            <w:r>
              <w:t>Current Role</w:t>
            </w:r>
          </w:p>
        </w:tc>
        <w:tc>
          <w:tcPr>
            <w:tcW w:type="dxa" w:w="3312"/>
          </w:tcPr>
          <w:p>
            <w:r>
              <w:t>MAT-2211 Plan</w:t>
            </w:r>
          </w:p>
        </w:tc>
      </w:tr>
      <w:tr>
        <w:tc>
          <w:tcPr>
            <w:tcW w:type="dxa" w:w="3312"/>
          </w:tcPr>
          <w:p>
            <w:r>
              <w:t>63 – PR_AE_NA_RPT (delete)</w:t>
            </w:r>
          </w:p>
        </w:tc>
        <w:tc>
          <w:tcPr>
            <w:tcW w:type="dxa" w:w="3312"/>
          </w:tcPr>
          <w:p>
            <w:r>
              <w:t>Deletes the target records for the current monthly snapshot using ROW_WID.</w:t>
            </w:r>
          </w:p>
        </w:tc>
        <w:tc>
          <w:tcPr>
            <w:tcW w:type="dxa" w:w="3312"/>
          </w:tcPr>
          <w:p>
            <w:r>
              <w:t>Reviewed; no change currently planned.</w:t>
            </w:r>
          </w:p>
        </w:tc>
      </w:tr>
      <w:tr>
        <w:tc>
          <w:tcPr>
            <w:tcW w:type="dxa" w:w="3312"/>
          </w:tcPr>
          <w:p>
            <w:r>
              <w:t>64 – PR_AE_NA_RPT (insert)</w:t>
            </w:r>
          </w:p>
        </w:tc>
        <w:tc>
          <w:tcPr>
            <w:tcW w:type="dxa" w:w="3312"/>
          </w:tcPr>
          <w:p>
            <w:r>
              <w:t>Builds and inserts the main PR_AE_NA_RPT record, including existing FMX, MMX and other FYTD measures.</w:t>
            </w:r>
          </w:p>
        </w:tc>
        <w:tc>
          <w:tcPr>
            <w:tcW w:type="dxa" w:w="3312"/>
          </w:tcPr>
          <w:p>
            <w:r>
              <w:t>Primary component expected to be modified for the new Connected Vehicle calculation.</w:t>
            </w:r>
          </w:p>
        </w:tc>
      </w:tr>
      <w:tr>
        <w:tc>
          <w:tcPr>
            <w:tcW w:type="dxa" w:w="3312"/>
          </w:tcPr>
          <w:p>
            <w:r>
              <w:t>65 – PR_AE_NA_RPT (update hist values)</w:t>
            </w:r>
          </w:p>
        </w:tc>
        <w:tc>
          <w:tcPr>
            <w:tcW w:type="dxa" w:w="3312"/>
          </w:tcPr>
          <w:p>
            <w:r>
              <w:t>Runs the existing historical-value update SQL.</w:t>
            </w:r>
          </w:p>
        </w:tc>
        <w:tc>
          <w:tcPr>
            <w:tcW w:type="dxa" w:w="3312"/>
          </w:tcPr>
          <w:p>
            <w:r>
              <w:t>Reviewed; no Connected Vehicle change currently planned.</w:t>
            </w:r>
          </w:p>
        </w:tc>
      </w:tr>
      <w:tr>
        <w:tc>
          <w:tcPr>
            <w:tcW w:type="dxa" w:w="3312"/>
          </w:tcPr>
          <w:p>
            <w:r>
              <w:t>66 – PR_AE_NA_RPT (merge)</w:t>
            </w:r>
          </w:p>
        </w:tc>
        <w:tc>
          <w:tcPr>
            <w:tcW w:type="dxa" w:w="3312"/>
          </w:tcPr>
          <w:p>
            <w:r>
              <w:t>Calculates and updates TOTAL_POINTS and QTD_TOTAL_POINTS.</w:t>
            </w:r>
          </w:p>
        </w:tc>
        <w:tc>
          <w:tcPr>
            <w:tcW w:type="dxa" w:w="3312"/>
          </w:tcPr>
          <w:p>
            <w:r>
              <w:t>Reviewed; no direct Connected Vehicle change currently planned.</w:t>
            </w:r>
          </w:p>
        </w:tc>
      </w:tr>
      <w:tr>
        <w:tc>
          <w:tcPr>
            <w:tcW w:type="dxa" w:w="3312"/>
          </w:tcPr>
          <w:p>
            <w:r>
              <w:t>PR_AE_NA_RPT (merge 2)</w:t>
            </w:r>
          </w:p>
        </w:tc>
        <w:tc>
          <w:tcPr>
            <w:tcW w:type="dxa" w:w="3312"/>
          </w:tcPr>
          <w:p>
            <w:r>
              <w:t>Handles existing ranking calculations and overall ranking logic.</w:t>
            </w:r>
          </w:p>
        </w:tc>
        <w:tc>
          <w:tcPr>
            <w:tcW w:type="dxa" w:w="3312"/>
          </w:tcPr>
          <w:p>
            <w:r>
              <w:t>Reviewed as downstream ranking logic; change only if the final Connected Vehicle ranking design requires it.</w:t>
            </w:r>
          </w:p>
        </w:tc>
      </w:tr>
      <w:tr>
        <w:tc>
          <w:tcPr>
            <w:tcW w:type="dxa" w:w="3312"/>
          </w:tcPr>
          <w:p>
            <w:r>
              <w:t>PR_AE_NA_RPT (merge 3)</w:t>
            </w:r>
          </w:p>
        </w:tc>
        <w:tc>
          <w:tcPr>
            <w:tcW w:type="dxa" w:w="3312"/>
          </w:tcPr>
          <w:p>
            <w:r>
              <w:t>Handles final qualification-related updates.</w:t>
            </w:r>
          </w:p>
        </w:tc>
        <w:tc>
          <w:tcPr>
            <w:tcW w:type="dxa" w:w="3312"/>
          </w:tcPr>
          <w:p>
            <w:r>
              <w:t>Reviewed; no Connected Vehicle change currently planned.</w:t>
            </w:r>
          </w:p>
        </w:tc>
      </w:tr>
    </w:tbl>
    <w:p>
      <w:pPr>
        <w:pStyle w:val="Heading1"/>
      </w:pPr>
      <w:r>
        <w:t>6. Reference Ranking Components – 10, 20 and 21</w:t>
      </w:r>
    </w:p>
    <w:p>
      <w:r>
        <w:t>Components 10, 20, and 21 are being treated as reference components for the existing ranking/FYTD pattern. Their purpose in this analysis is to understand how the current ranking-related data is prepared before it is used by the PR_AE_NA_RPT process.</w:t>
      </w:r>
    </w:p>
    <w:p>
      <w:pPr>
        <w:pStyle w:val="ListBullet"/>
      </w:pPr>
      <w:r>
        <w:t>Component 10 – reviewed as part of the existing ranking and FYTD calculation flow.</w:t>
      </w:r>
    </w:p>
    <w:p>
      <w:pPr>
        <w:pStyle w:val="ListBullet"/>
      </w:pPr>
      <w:r>
        <w:t>Component 20 – reviewed as part of the existing ranking transformation flow.</w:t>
      </w:r>
    </w:p>
    <w:p>
      <w:pPr>
        <w:pStyle w:val="ListBullet"/>
      </w:pPr>
      <w:r>
        <w:t>Component 21 – reviewed as part of the existing ranking/reference flow that supports the target ranking values.</w:t>
      </w:r>
    </w:p>
    <w:p>
      <w:r>
        <w:t>These three components are reference points for the existing design. They are not being identified as new components to create for MAT-2211. The Connected Vehicle implementation should follow the existing pattern rather than introduce a separate ranking process.</w:t>
      </w:r>
    </w:p>
    <w:p>
      <w:r>
        <w:t>The detailed SQL behavior of Components 10, 20, and 21 should be documented directly from their scripts when those scripts are included in the implementation review. This document does not assume additional logic that is not present in the reviewed SQL.</w:t>
      </w:r>
    </w:p>
    <w:p>
      <w:pPr>
        <w:pStyle w:val="Heading1"/>
      </w:pPr>
      <w:r>
        <w:t>7. Where the New Logic Will Be Implemented</w:t>
      </w:r>
    </w:p>
    <w:p>
      <w:r>
        <w:t>The expected implementation point is the existing PR_AE_NA_RPT - Load job, primarily Component 64 – PR_AE_NA_RPT (insert).</w:t>
      </w:r>
    </w:p>
    <w:p>
      <w:r>
        <w:t>Component 64 is the appropriate place because it is where the existing FYTD FMX/MMX and related metric values are assembled and inserted into the target table. The Connected Vehicle calculation should be added in the same part of the data flow so that it follows the existing design.</w:t>
      </w:r>
    </w:p>
    <w:p>
      <w:r>
        <w:t>The existing ranking components will be used as the reference when determining how the Connected Vehicle ranking-related value fits into the current process. No separate ranking framework is planned.</w:t>
      </w:r>
    </w:p>
    <w:p>
      <w:pPr>
        <w:pStyle w:val="Heading1"/>
      </w:pPr>
      <w:r>
        <w:t>8. Implementation Approach</w:t>
      </w:r>
    </w:p>
    <w:p>
      <w:pPr>
        <w:pStyle w:val="ListNumber"/>
      </w:pPr>
      <w:r>
        <w:t>Identify the Connected Vehicle source fields from QUOTE_D or CUSTOMER_MONTH_SNP_F based on the requirement and existing data pattern.</w:t>
      </w:r>
    </w:p>
    <w:p>
      <w:pPr>
        <w:pStyle w:val="ListNumber"/>
      </w:pPr>
      <w:r>
        <w:t>Follow the existing FMX/MMX calculation structure for Units and FYTD.</w:t>
      </w:r>
    </w:p>
    <w:p>
      <w:pPr>
        <w:pStyle w:val="ListNumber"/>
      </w:pPr>
      <w:r>
        <w:t>Add the Connected Vehicle calculation to the appropriate SQL in Component 64.</w:t>
      </w:r>
    </w:p>
    <w:p>
      <w:pPr>
        <w:pStyle w:val="ListNumber"/>
      </w:pPr>
      <w:r>
        <w:t>Use the existing FMX ranking logic, including the FYTD_AE_FMX_RNK reference, to determine how the ranking portion should fit into the current process.</w:t>
      </w:r>
    </w:p>
    <w:p>
      <w:pPr>
        <w:pStyle w:val="ListNumber"/>
      </w:pPr>
      <w:r>
        <w:t>Keep the existing delete, historical update, points merge, and qualification logic unchanged unless the Connected Vehicle calculation specifically requires a downstream update.</w:t>
      </w:r>
    </w:p>
    <w:p>
      <w:pPr>
        <w:pStyle w:val="Heading1"/>
      </w:pPr>
      <w:r>
        <w:t>9. Expected End-to-End Flow</w:t>
      </w:r>
    </w:p>
    <w:p>
      <w:r>
        <w:rPr>
          <w:b/>
        </w:rPr>
        <w:t>Connected Vehicle Source Data</w:t>
        <w:br/>
        <w:t xml:space="preserve">        ↓</w:t>
        <w:br/>
        <w:t>Existing FMX/MMX-style calculation pattern</w:t>
        <w:br/>
        <w:t xml:space="preserve">        ↓</w:t>
        <w:br/>
        <w:t>Connected Vehicle Units / FYTD calculation</w:t>
        <w:br/>
        <w:t xml:space="preserve">        ↓</w:t>
        <w:br/>
        <w:t>PR_AE_NA_RPT - Load – Component 64</w:t>
        <w:br/>
        <w:t xml:space="preserve">        ↓</w:t>
        <w:br/>
        <w:t>EDW.PR_AE_NA_RPT</w:t>
        <w:br/>
        <w:t xml:space="preserve">        ↓</w:t>
        <w:br/>
        <w:t>Existing downstream ranking/points logic where applicable</w:t>
      </w:r>
    </w:p>
    <w:p>
      <w:pPr>
        <w:pStyle w:val="Heading1"/>
      </w:pPr>
      <w:r>
        <w:t>10. Components Not Expected to Change at This Stage</w:t>
      </w:r>
    </w:p>
    <w:p>
      <w:r>
        <w:t>Based on the current understanding, the following areas are not expected to require changes for the initial Connected Vehicle calculation:</w:t>
      </w:r>
    </w:p>
    <w:p>
      <w:pPr>
        <w:pStyle w:val="ListBullet"/>
      </w:pPr>
      <w:r>
        <w:t>Main orchestration date/grid components.</w:t>
      </w:r>
    </w:p>
    <w:p>
      <w:pPr>
        <w:pStyle w:val="ListBullet"/>
      </w:pPr>
      <w:r>
        <w:t>Component 63 – monthly snapshot delete.</w:t>
      </w:r>
    </w:p>
    <w:p>
      <w:pPr>
        <w:pStyle w:val="ListBullet"/>
      </w:pPr>
      <w:r>
        <w:t>Component 65 – historical-value update.</w:t>
      </w:r>
    </w:p>
    <w:p>
      <w:pPr>
        <w:pStyle w:val="ListBullet"/>
      </w:pPr>
      <w:r>
        <w:t>Component 66 – TOTAL_POINTS and QTD_TOTAL_POINTS merge.</w:t>
      </w:r>
    </w:p>
    <w:p>
      <w:pPr>
        <w:pStyle w:val="ListBullet"/>
      </w:pPr>
      <w:r>
        <w:t>Merge 3 – final qualification logic.</w:t>
      </w:r>
    </w:p>
    <w:p>
      <w:r>
        <w:t>Merge 2 and the ranking-related reference components will remain under review only to ensure the Connected Vehicle ranking follows the existing ranking design.</w:t>
      </w:r>
    </w:p>
    <w:p>
      <w:pPr>
        <w:pStyle w:val="Heading1"/>
      </w:pPr>
      <w:r>
        <w:t>11. Current Status</w:t>
      </w:r>
    </w:p>
    <w:p>
      <w:r>
        <w:t>The current work is at the requirement-understanding and implementation-planning stage. The existing PR_AE_NA_RPT pipeline, target fields, source options, and relevant ranking flow have been reviewed.</w:t>
      </w:r>
    </w:p>
    <w:p>
      <w:r>
        <w:t>The main implementation point identified is Component 64 – PR_AE_NA_RPT (insert), with Components 10, 20, and 21 used as reference points for the existing ranking/FYTD approach.</w:t>
      </w:r>
    </w:p>
    <w:p>
      <w:r>
        <w:t>No implementation changes are being made as part of this understanding document. The next implementation step is to finalize the Connected Vehicle source-field mapping and apply the calculation using the existing FMX/MMX and ranking patterns.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MAT-2211 – PR_AE_NA_RPT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