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2"/>
          <w:szCs w:val="32"/>
        </w:rPr>
        <w:t xml:space="preserve">SexDiffKG: A Sex-Stratified Knowledge Graph for Drug Safety Pharmacovigilance</w:t>
      </w:r>
    </w:p>
    <w:p>
      <w:pPr>
        <w:spacing w:after="80"/>
        <w:jc w:val="center"/>
      </w:pPr>
      <w:r>
        <w:rPr>
          <w:rFonts w:ascii="Arial" w:cs="Arial" w:eastAsia="Arial" w:hAnsi="Arial"/>
          <w:b/>
          <w:bCs/>
          <w:sz w:val="22"/>
          <w:szCs w:val="22"/>
        </w:rPr>
        <w:t xml:space="preserve">JShaik</w:t>
      </w:r>
      <w:r>
        <w:rPr>
          <w:rFonts w:ascii="Arial" w:cs="Arial" w:eastAsia="Arial" w:hAnsi="Arial"/>
          <w:sz w:val="22"/>
          <w:szCs w:val="22"/>
        </w:rPr>
        <w:t xml:space="preserve">  |  CoEvolve Network  |  Independent Researcher, Barcelona, Spain</w:t>
      </w:r>
    </w:p>
    <w:p>
      <w:pPr>
        <w:spacing w:after="80"/>
        <w:jc w:val="center"/>
      </w:pPr>
      <w:r>
        <w:rPr>
          <w:rFonts w:ascii="Arial" w:cs="Arial" w:eastAsia="Arial" w:hAnsi="Arial"/>
          <w:color w:val="4472C4"/>
          <w:sz w:val="22"/>
          <w:szCs w:val="22"/>
        </w:rPr>
        <w:t xml:space="preserve">jshaik@coevolvenetwork.com</w:t>
      </w:r>
    </w:p>
    <w:p>
      <w:pPr>
        <w:spacing w:after="300"/>
        <w:jc w:val="center"/>
      </w:pPr>
      <w:r>
        <w:rPr>
          <w:rFonts w:ascii="Arial" w:cs="Arial" w:eastAsia="Arial" w:hAnsi="Arial"/>
          <w:sz w:val="22"/>
          <w:szCs w:val="22"/>
        </w:rPr>
        <w:t xml:space="preserve">Version 2.0 — February 27, 2026 — NVIDIA DGX Spark GB10 (ARM64, 120GB unified)</w:t>
      </w:r>
    </w:p>
    <w:p>
      <w:pPr>
        <w:pStyle w:val="Heading2"/>
        <w:spacing w:after="120" w:before="240"/>
      </w:pPr>
      <w:r>
        <w:rPr>
          <w:rFonts w:ascii="Arial" w:cs="Arial" w:eastAsia="Arial" w:hAnsi="Arial"/>
          <w:b/>
          <w:bCs/>
        </w:rPr>
        <w:t xml:space="preserve">Abstract</w:t>
      </w:r>
    </w:p>
    <w:p>
      <w:pPr>
        <w:spacing w:after="120" w:line="276"/>
      </w:pPr>
      <w:r>
        <w:rPr>
          <w:rFonts w:ascii="Arial" w:cs="Arial" w:eastAsia="Arial" w:hAnsi="Arial"/>
          <w:sz w:val="22"/>
          <w:szCs w:val="22"/>
        </w:rPr>
        <w:t xml:space="preserve">Women experience adverse drug reactions at nearly twice the rate of men, yet no pharmacovigilance knowledge graph structurally encodes biological sex. We present SexDiffKG, the first knowledge graph where sex is a structural dimension on every drug-safety edge. Built from 87 quarterly FDA FAERS releases (2004Q1–2025Q3), SexDiffKG processes 23.6 million raw reports through deduplication and three-tier drug normalization (FDA SPL + ChEMBL 36 + string cleaning, reducing 710,476 raw names to 384,104 canonical forms), yielding 14.5 million sex-coded reports (60.2% female, 39.8% male). Sex-stratified Reporting Odds Ratios identify 183,539 sex-differential drug-safety signals across 3,441 drugs and 5,658 adverse events (103,010 female-higher, 80,529 male-higher). The knowledge graph integrates 127,063 nodes (6 types) and 5,839,717 edges (6 types) from FAERS, ChEMBL, STRING, KEGG, and GTEx. Baseline DistMult graph embeddings (200d) achieve MRR 0.039 and Hits@10 6.9%. Validation against 40 literature benchmarks achieves 75.0% coverage and 63.3% directional precision. SexDiffKG offers a computational foundation for sex-aware pharmacovigilance, drug safety research, and precision medicine.</w:t>
      </w:r>
    </w:p>
    <w:p>
      <w:r>
        <w:br w:type="page"/>
      </w:r>
    </w:p>
    <w:p>
      <w:pPr>
        <w:pStyle w:val="Heading1"/>
        <w:spacing w:after="120" w:before="240"/>
      </w:pPr>
      <w:r>
        <w:rPr>
          <w:rFonts w:ascii="Arial" w:cs="Arial" w:eastAsia="Arial" w:hAnsi="Arial"/>
          <w:b/>
          <w:bCs/>
        </w:rPr>
        <w:t xml:space="preserve">1. Introduction</w:t>
      </w:r>
    </w:p>
    <w:p>
      <w:pPr>
        <w:pStyle w:val="Heading2"/>
        <w:spacing w:after="120" w:before="240"/>
      </w:pPr>
      <w:r>
        <w:rPr>
          <w:rFonts w:ascii="Arial" w:cs="Arial" w:eastAsia="Arial" w:hAnsi="Arial"/>
          <w:b/>
          <w:bCs/>
        </w:rPr>
        <w:t xml:space="preserve">1.1 The Sex Gap in Drug Safety</w:t>
      </w:r>
    </w:p>
    <w:p>
      <w:pPr>
        <w:spacing w:after="120" w:line="276"/>
      </w:pPr>
      <w:r>
        <w:rPr>
          <w:rFonts w:ascii="Arial" w:cs="Arial" w:eastAsia="Arial" w:hAnsi="Arial"/>
          <w:sz w:val="22"/>
          <w:szCs w:val="22"/>
        </w:rPr>
        <w:t xml:space="preserve">Women experience adverse drug reactions (ADRs) at nearly twice the rate of men, yet most pharmacovigilance databases treat biological sex as an optional demographic annotation rather than a structural analytical dimension. This disparity stems from decades of male-biased clinical trial enrollment — women were formally excluded from early-phase trials in the United States until 1993 — and persists in post-market surveillance systems that aggregate safety signals without sex stratification.</w:t>
      </w:r>
    </w:p>
    <w:p>
      <w:pPr>
        <w:spacing w:after="120" w:line="276"/>
      </w:pPr>
      <w:r>
        <w:rPr>
          <w:rFonts w:ascii="Arial" w:cs="Arial" w:eastAsia="Arial" w:hAnsi="Arial"/>
          <w:sz w:val="22"/>
          <w:szCs w:val="22"/>
        </w:rPr>
        <w:t xml:space="preserve">The consequences are measurable. The FDA has issued sex-specific dosing recommendations for zolpidem (2013), acknowledging that women metabolize the drug more slowly and face higher next-morning impairment risk. QT-prolonging drugs carry higher torsade de pointes risk in women due to longer baseline QT intervals. ACE inhibitor-induced cough affects women at 2–3x the rate of men. Statin myopathy, opioid respiratory depression sensitivity, and drug-induced liver injury all show documented sex-differential patterns.</w:t>
      </w:r>
    </w:p>
    <w:p>
      <w:pPr>
        <w:spacing w:after="120" w:line="276"/>
      </w:pPr>
      <w:r>
        <w:rPr>
          <w:rFonts w:ascii="Arial" w:cs="Arial" w:eastAsia="Arial" w:hAnsi="Arial"/>
          <w:sz w:val="22"/>
          <w:szCs w:val="22"/>
        </w:rPr>
        <w:t xml:space="preserve">Despite this evidence, no existing pharmacovigilance knowledge graph structurally encodes biological sex on every drug-safety edge. Existing systems like BioKG, PrimeKG, and Hetionet integrate drug-disease and drug-target relationships but treat safety signals as sex-agnostic. The FDA Adverse Event Reporting System (FAERS) contains sex-coded reports but provides no built-in sex-stratified signal detection.</w:t>
      </w:r>
    </w:p>
    <w:p>
      <w:pPr>
        <w:pStyle w:val="Heading2"/>
        <w:spacing w:after="120" w:before="240"/>
      </w:pPr>
      <w:r>
        <w:rPr>
          <w:rFonts w:ascii="Arial" w:cs="Arial" w:eastAsia="Arial" w:hAnsi="Arial"/>
          <w:b/>
          <w:bCs/>
        </w:rPr>
        <w:t xml:space="preserve">1.2 Knowledge Graphs in Pharmacovigilance</w:t>
      </w:r>
    </w:p>
    <w:p>
      <w:pPr>
        <w:spacing w:after="120" w:line="276"/>
      </w:pPr>
      <w:r>
        <w:rPr>
          <w:rFonts w:ascii="Arial" w:cs="Arial" w:eastAsia="Arial" w:hAnsi="Arial"/>
          <w:sz w:val="22"/>
          <w:szCs w:val="22"/>
        </w:rPr>
        <w:t xml:space="preserve">Knowledge graphs (KGs) have emerged as powerful tools for integrating heterogeneous biomedical data. In pharmacovigilance, KGs enable multi-relational representation of drug-target-disease-adverse event relationships, link prediction for novel safety signal discovery, integration of molecular mechanisms with clinical observations, and explainable paths connecting drugs to adverse outcomes.</w:t>
      </w:r>
    </w:p>
    <w:p>
      <w:pPr>
        <w:spacing w:after="120" w:line="276"/>
      </w:pPr>
      <w:r>
        <w:rPr>
          <w:rFonts w:ascii="Arial" w:cs="Arial" w:eastAsia="Arial" w:hAnsi="Arial"/>
          <w:sz w:val="22"/>
          <w:szCs w:val="22"/>
        </w:rPr>
        <w:t xml:space="preserve">Recent work has applied KG embedding models (TransE, DistMult, RotatE, ComplEx) to biomedical KGs for drug repurposing and adverse event prediction. However, none of these approaches incorporate sex as a first-class entity in the graph structure.</w:t>
      </w:r>
    </w:p>
    <w:p>
      <w:pPr>
        <w:pStyle w:val="Heading2"/>
        <w:spacing w:after="120" w:before="240"/>
      </w:pPr>
      <w:r>
        <w:rPr>
          <w:rFonts w:ascii="Arial" w:cs="Arial" w:eastAsia="Arial" w:hAnsi="Arial"/>
          <w:b/>
          <w:bCs/>
        </w:rPr>
        <w:t xml:space="preserve">1.3 SexDiffKG: Filling the Gap</w:t>
      </w:r>
    </w:p>
    <w:p>
      <w:pPr>
        <w:spacing w:after="120" w:line="276"/>
      </w:pPr>
      <w:r>
        <w:rPr>
          <w:rFonts w:ascii="Arial" w:cs="Arial" w:eastAsia="Arial" w:hAnsi="Arial"/>
          <w:sz w:val="22"/>
          <w:szCs w:val="22"/>
        </w:rPr>
        <w:t xml:space="preserve">We present SexDiffKG, the first knowledge graph where biological sex is a structural dimension on every drug-safety edge rather than an optional annotation. SexDiffKG integrates: (1) 87 quarterly FAERS releases (2004Q1–2025Q3): 23.6M raw reports → 14.5M deduplicated F/M-coded reports; (2) Sex-stratified Reporting Odds Ratios (ROR) with confidence intervals for 4.6M drug-AE-sex combinations; (3) 183,539 sex-differential signals identified by comparing female vs male ROR; (4) Molecular context layers: ChEMBL drug-target interactions, STRING protein-protein interactions, KEGG pathway annotations, GTEx sex-differential gene expression; (5) DistMult graph embeddings (200d) for link prediction.</w:t>
      </w:r>
    </w:p>
    <w:p>
      <w:pPr>
        <w:spacing w:after="120" w:line="276"/>
      </w:pPr>
      <w:r>
        <w:rPr>
          <w:rFonts w:ascii="Arial" w:cs="Arial" w:eastAsia="Arial" w:hAnsi="Arial"/>
          <w:sz w:val="22"/>
          <w:szCs w:val="22"/>
        </w:rPr>
        <w:t xml:space="preserve">The resulting graph contains 127,063 nodes across 6 entity types and 5,839,717 edges across 6 relation types.</w:t>
      </w:r>
    </w:p>
    <w:p>
      <w:r>
        <w:br w:type="page"/>
      </w:r>
    </w:p>
    <w:p>
      <w:pPr>
        <w:pStyle w:val="Heading1"/>
        <w:spacing w:after="120" w:before="240"/>
      </w:pPr>
      <w:r>
        <w:rPr>
          <w:rFonts w:ascii="Arial" w:cs="Arial" w:eastAsia="Arial" w:hAnsi="Arial"/>
          <w:b/>
          <w:bCs/>
        </w:rPr>
        <w:t xml:space="preserve">2. Methods</w:t>
      </w:r>
    </w:p>
    <w:p>
      <w:pPr>
        <w:pStyle w:val="Heading2"/>
        <w:spacing w:after="120" w:before="240"/>
      </w:pPr>
      <w:r>
        <w:rPr>
          <w:rFonts w:ascii="Arial" w:cs="Arial" w:eastAsia="Arial" w:hAnsi="Arial"/>
          <w:b/>
          <w:bCs/>
        </w:rPr>
        <w:t xml:space="preserve">2.1 FAERS Data Acquisition and Processing</w:t>
      </w:r>
    </w:p>
    <w:p>
      <w:pPr>
        <w:pStyle w:val="Heading3"/>
        <w:spacing w:after="120" w:before="240"/>
      </w:pPr>
      <w:r>
        <w:rPr>
          <w:rFonts w:ascii="Arial" w:cs="Arial" w:eastAsia="Arial" w:hAnsi="Arial"/>
          <w:b/>
          <w:bCs/>
        </w:rPr>
        <w:t xml:space="preserve">2.1.1 Data Download</w:t>
      </w:r>
    </w:p>
    <w:p>
      <w:pPr>
        <w:spacing w:after="120" w:line="276"/>
      </w:pPr>
      <w:r>
        <w:rPr>
          <w:rFonts w:ascii="Arial" w:cs="Arial" w:eastAsia="Arial" w:hAnsi="Arial"/>
          <w:sz w:val="22"/>
          <w:szCs w:val="22"/>
        </w:rPr>
        <w:t xml:space="preserve">We downloaded all 87 quarterly ASCII data files from the FDA FAERS public dashboard, covering Q1 2004 through Q3 2025. Each quarterly release contains demographic (DEMO), drug (DRUG), reaction (REAC), outcome (OUTC), therapy (THER), indication (INDI), and report source (RPSR) tables. Raw corpus: 23,607,453 individual safety reports.</w:t>
      </w:r>
    </w:p>
    <w:p>
      <w:pPr>
        <w:pStyle w:val="Heading3"/>
        <w:spacing w:after="120" w:before="240"/>
      </w:pPr>
      <w:r>
        <w:rPr>
          <w:rFonts w:ascii="Arial" w:cs="Arial" w:eastAsia="Arial" w:hAnsi="Arial"/>
          <w:b/>
          <w:bCs/>
        </w:rPr>
        <w:t xml:space="preserve">2.1.2 Deduplication</w:t>
      </w:r>
    </w:p>
    <w:p>
      <w:pPr>
        <w:spacing w:after="120" w:line="276"/>
      </w:pPr>
      <w:r>
        <w:rPr>
          <w:rFonts w:ascii="Arial" w:cs="Arial" w:eastAsia="Arial" w:hAnsi="Arial"/>
          <w:sz w:val="22"/>
          <w:szCs w:val="22"/>
        </w:rPr>
        <w:t xml:space="preserve">FAERS contains substantial duplication from manufacturer follow-up reports, consumer re-submissions, and quarterly re-inclusions. We applied a multi-step deduplication strategy: (1) Case ID deduplication — retained only the most recent version per caseid; (2) Cross-quarter deduplication using composite keys; (3) Sex filtering — retained only F/M-coded reports.</w:t>
      </w:r>
    </w:p>
    <w:p>
      <w:pPr>
        <w:spacing w:after="120" w:line="276"/>
      </w:pPr>
      <w:r>
        <w:rPr>
          <w:rFonts w:ascii="Arial" w:cs="Arial" w:eastAsia="Arial" w:hAnsi="Arial"/>
          <w:b/>
          <w:bCs/>
          <w:sz w:val="22"/>
          <w:szCs w:val="22"/>
        </w:rPr>
        <w:t xml:space="preserve">After deduplication: </w:t>
      </w:r>
      <w:r>
        <w:rPr>
          <w:rFonts w:ascii="Arial" w:cs="Arial" w:eastAsia="Arial" w:hAnsi="Arial"/>
          <w:sz w:val="22"/>
          <w:szCs w:val="22"/>
        </w:rPr>
        <w:t xml:space="preserve">14,536,008 reports (F: 8,744,397 [60.2%]; M: 5,791,611 [39.8%]).</w:t>
      </w:r>
    </w:p>
    <w:p>
      <w:pPr>
        <w:pStyle w:val="Heading3"/>
        <w:spacing w:after="120" w:before="240"/>
      </w:pPr>
      <w:r>
        <w:rPr>
          <w:rFonts w:ascii="Arial" w:cs="Arial" w:eastAsia="Arial" w:hAnsi="Arial"/>
          <w:b/>
          <w:bCs/>
        </w:rPr>
        <w:t xml:space="preserve">2.1.3 Drug Name Normalization</w:t>
      </w:r>
    </w:p>
    <w:p>
      <w:pPr>
        <w:spacing w:after="120" w:line="276"/>
      </w:pPr>
      <w:r>
        <w:rPr>
          <w:rFonts w:ascii="Arial" w:cs="Arial" w:eastAsia="Arial" w:hAnsi="Arial"/>
          <w:sz w:val="22"/>
          <w:szCs w:val="22"/>
        </w:rPr>
        <w:t xml:space="preserve">We implemented a three-tier normalization pipeline:</w:t>
      </w:r>
    </w:p>
    <w:p>
      <w:pPr>
        <w:spacing w:after="120" w:line="276"/>
      </w:pPr>
      <w:r>
        <w:rPr>
          <w:rFonts w:ascii="Arial" w:cs="Arial" w:eastAsia="Arial" w:hAnsi="Arial"/>
          <w:b/>
          <w:bCs/>
          <w:sz w:val="22"/>
          <w:szCs w:val="22"/>
        </w:rPr>
        <w:t xml:space="preserve">Tier 1 — FDA SPL: </w:t>
      </w:r>
      <w:r>
        <w:rPr>
          <w:rFonts w:ascii="Arial" w:cs="Arial" w:eastAsia="Arial" w:hAnsi="Arial"/>
          <w:sz w:val="22"/>
          <w:szCs w:val="22"/>
        </w:rPr>
        <w:t xml:space="preserve">Mapped FAERS drug names to FDA product active ingredients using Structured Product Labels.</w:t>
      </w:r>
    </w:p>
    <w:p>
      <w:pPr>
        <w:spacing w:after="120" w:line="276"/>
      </w:pPr>
      <w:r>
        <w:rPr>
          <w:rFonts w:ascii="Arial" w:cs="Arial" w:eastAsia="Arial" w:hAnsi="Arial"/>
          <w:b/>
          <w:bCs/>
          <w:sz w:val="22"/>
          <w:szCs w:val="22"/>
        </w:rPr>
        <w:t xml:space="preserve">Tier 2 — ChEMBL 36: </w:t>
      </w:r>
      <w:r>
        <w:rPr>
          <w:rFonts w:ascii="Arial" w:cs="Arial" w:eastAsia="Arial" w:hAnsi="Arial"/>
          <w:sz w:val="22"/>
          <w:szCs w:val="22"/>
        </w:rPr>
        <w:t xml:space="preserve">Queried ChEMBL 36 molecule synonyms table (2,878,135 compounds) for trade name mappings.</w:t>
      </w:r>
    </w:p>
    <w:p>
      <w:pPr>
        <w:spacing w:after="120" w:line="276"/>
      </w:pPr>
      <w:r>
        <w:rPr>
          <w:rFonts w:ascii="Arial" w:cs="Arial" w:eastAsia="Arial" w:hAnsi="Arial"/>
          <w:b/>
          <w:bCs/>
          <w:sz w:val="22"/>
          <w:szCs w:val="22"/>
        </w:rPr>
        <w:t xml:space="preserve">Tier 3 — String Cleaning: </w:t>
      </w:r>
      <w:r>
        <w:rPr>
          <w:rFonts w:ascii="Arial" w:cs="Arial" w:eastAsia="Arial" w:hAnsi="Arial"/>
          <w:sz w:val="22"/>
          <w:szCs w:val="22"/>
        </w:rPr>
        <w:t xml:space="preserve">Uppercase normalization, whitespace standardization, dosage form removal.</w:t>
      </w:r>
    </w:p>
    <w:p>
      <w:pPr>
        <w:spacing w:after="120" w:line="276"/>
      </w:pPr>
      <w:r>
        <w:rPr>
          <w:rFonts w:ascii="Arial" w:cs="Arial" w:eastAsia="Arial" w:hAnsi="Arial"/>
          <w:b/>
          <w:bCs/>
          <w:sz w:val="22"/>
          <w:szCs w:val="22"/>
        </w:rPr>
        <w:t xml:space="preserve">Results: </w:t>
      </w:r>
      <w:r>
        <w:rPr>
          <w:rFonts w:ascii="Arial" w:cs="Arial" w:eastAsia="Arial" w:hAnsi="Arial"/>
          <w:sz w:val="22"/>
          <w:szCs w:val="22"/>
        </w:rPr>
        <w:t xml:space="preserve">710,476 raw → 384,104 canonical forms (46% reduction). 54.7% resolved by Tier 3 alone.</w:t>
      </w:r>
    </w:p>
    <w:p>
      <w:pPr>
        <w:pStyle w:val="Heading2"/>
        <w:spacing w:after="120" w:before="240"/>
      </w:pPr>
      <w:r>
        <w:rPr>
          <w:rFonts w:ascii="Arial" w:cs="Arial" w:eastAsia="Arial" w:hAnsi="Arial"/>
          <w:b/>
          <w:bCs/>
        </w:rPr>
        <w:t xml:space="preserve">2.2 Sex-Stratified Signal Detection</w:t>
      </w:r>
    </w:p>
    <w:p>
      <w:pPr>
        <w:spacing w:after="120" w:line="276"/>
      </w:pPr>
      <w:r>
        <w:rPr>
          <w:rFonts w:ascii="Arial" w:cs="Arial" w:eastAsia="Arial" w:hAnsi="Arial"/>
          <w:sz w:val="22"/>
          <w:szCs w:val="22"/>
        </w:rPr>
        <w:t xml:space="preserve">For each drug-AE pair, we computed sex-stratified RORs using the standard 2×2 contingency table. A sex-differential signal was defined as |log(ROR_F / ROR_M)| &gt; 0.5 with ≥10 reports per sex. Results: 183,539 sex-differential signals (103,010 female-higher, 80,529 male-higher) involving 3,441 drugs and 5,658 AE terms.</w:t>
      </w:r>
    </w:p>
    <w:p>
      <w:pPr>
        <w:pStyle w:val="Heading2"/>
        <w:spacing w:after="120" w:before="240"/>
      </w:pPr>
      <w:r>
        <w:rPr>
          <w:rFonts w:ascii="Arial" w:cs="Arial" w:eastAsia="Arial" w:hAnsi="Arial"/>
          <w:b/>
          <w:bCs/>
        </w:rPr>
        <w:t xml:space="preserve">2.3 Knowledge Graph Construction</w:t>
      </w:r>
    </w:p>
    <w:p>
      <w:pPr>
        <w:spacing w:after="120" w:line="276"/>
      </w:pPr>
      <w:r>
        <w:rPr>
          <w:rFonts w:ascii="Arial" w:cs="Arial" w:eastAsia="Arial" w:hAnsi="Arial"/>
          <w:b/>
          <w:bCs/>
          <w:sz w:val="22"/>
          <w:szCs w:val="22"/>
        </w:rPr>
        <w:t xml:space="preserve">Node Types (6 types, 127,063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Entity Type</w:t>
            </w:r>
          </w:p>
        </w:tc>
        <w:tc>
          <w:tcPr>
            <w:tcW w:type="dxa" w:w="15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Count</w:t>
            </w:r>
          </w:p>
        </w:tc>
        <w:tc>
          <w:tcPr>
            <w:tcW w:type="dxa" w:w="48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Gene</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70,607</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STRING, KEGG, GTEx</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Drug</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29,277</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(normalized)</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AdverseEvent</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16,162</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(MedDRA PTs)</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Protein</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8,721</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STRING</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Pathway</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2,279</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KEGG</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Tissue</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17</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GTEx</w:t>
            </w:r>
          </w:p>
        </w:tc>
      </w:tr>
    </w:tbl>
    <w:p>
      <w:pPr>
        <w:spacing w:after="120" w:line="276"/>
      </w:pPr>
    </w:p>
    <w:p>
      <w:pPr>
        <w:spacing w:after="120" w:line="276"/>
      </w:pPr>
      <w:r>
        <w:rPr>
          <w:rFonts w:ascii="Arial" w:cs="Arial" w:eastAsia="Arial" w:hAnsi="Arial"/>
          <w:b/>
          <w:bCs/>
          <w:sz w:val="22"/>
          <w:szCs w:val="22"/>
        </w:rPr>
        <w:t xml:space="preserve">Edge Types (6 types, 5,839,717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Relation</w:t>
            </w:r>
          </w:p>
        </w:tc>
        <w:tc>
          <w:tcPr>
            <w:tcW w:type="dxa" w:w="15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Count</w:t>
            </w:r>
          </w:p>
        </w:tc>
        <w:tc>
          <w:tcPr>
            <w:tcW w:type="dxa" w:w="48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has_adverse_event</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4,640,396</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ROR</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participates_in</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537,605</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KEGG</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interacts_with</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465,390</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STRING (≥700)</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sex_differential_AE</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183,539</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signals</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targets</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12,682</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ChEMBL 36</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sex_diff_expression</w:t>
            </w:r>
          </w:p>
        </w:tc>
        <w:tc>
          <w:tcPr>
            <w:tcW w:type="dxa" w:w="15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105</w:t>
            </w:r>
          </w:p>
        </w:tc>
        <w:tc>
          <w:tcPr>
            <w:tcW w:type="dxa" w:w="48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GTEx</w:t>
            </w:r>
          </w:p>
        </w:tc>
      </w:tr>
    </w:tbl>
    <w:p>
      <w:pPr>
        <w:pStyle w:val="Heading2"/>
        <w:spacing w:after="120" w:before="240"/>
      </w:pPr>
      <w:r>
        <w:rPr>
          <w:rFonts w:ascii="Arial" w:cs="Arial" w:eastAsia="Arial" w:hAnsi="Arial"/>
          <w:b/>
          <w:bCs/>
        </w:rPr>
        <w:t xml:space="preserve">2.4 Graph Embedding (DistMult)</w:t>
      </w:r>
    </w:p>
    <w:p>
      <w:pPr>
        <w:spacing w:after="120" w:line="276"/>
      </w:pPr>
      <w:r>
        <w:rPr>
          <w:rFonts w:ascii="Arial" w:cs="Arial" w:eastAsia="Arial" w:hAnsi="Arial"/>
          <w:sz w:val="22"/>
          <w:szCs w:val="22"/>
        </w:rPr>
        <w:t xml:space="preserve">We trained a DistMult model using PyKEEN: 200d embeddings, 10 epochs, batch size 512, Adam optimizer (lr=0.001), 90/10 train/test split. Training loss converged from 1.0 to 0.233. Evaluation used filtered rank-based metrics on 390,538 test triples.</w:t>
      </w:r>
    </w:p>
    <w:p>
      <w:pPr>
        <w:pStyle w:val="Heading2"/>
        <w:spacing w:after="120" w:before="240"/>
      </w:pPr>
      <w:r>
        <w:rPr>
          <w:rFonts w:ascii="Arial" w:cs="Arial" w:eastAsia="Arial" w:hAnsi="Arial"/>
          <w:b/>
          <w:bCs/>
        </w:rPr>
        <w:t xml:space="preserve">2.5 Validation</w:t>
      </w:r>
    </w:p>
    <w:p>
      <w:pPr>
        <w:spacing w:after="120" w:line="276"/>
      </w:pPr>
      <w:r>
        <w:rPr>
          <w:rFonts w:ascii="Arial" w:cs="Arial" w:eastAsia="Arial" w:hAnsi="Arial"/>
          <w:sz w:val="22"/>
          <w:szCs w:val="22"/>
        </w:rPr>
        <w:t xml:space="preserve">We validated against 40 peer-reviewed benchmarks documenting sex differences in drug adverse reactions (PMIDs verified), assessing coverage (signal presence) and directional precision (correct sex assignment).</w:t>
      </w:r>
    </w:p>
    <w:p>
      <w:r>
        <w:br w:type="page"/>
      </w:r>
    </w:p>
    <w:p>
      <w:pPr>
        <w:pStyle w:val="Heading1"/>
        <w:spacing w:after="120" w:before="240"/>
      </w:pPr>
      <w:r>
        <w:rPr>
          <w:rFonts w:ascii="Arial" w:cs="Arial" w:eastAsia="Arial" w:hAnsi="Arial"/>
          <w:b/>
          <w:bCs/>
        </w:rPr>
        <w:t xml:space="preserve">3. Results</w:t>
      </w:r>
    </w:p>
    <w:p>
      <w:pPr>
        <w:pStyle w:val="Heading2"/>
        <w:spacing w:after="120" w:before="240"/>
      </w:pPr>
      <w:r>
        <w:rPr>
          <w:rFonts w:ascii="Arial" w:cs="Arial" w:eastAsia="Arial" w:hAnsi="Arial"/>
          <w:b/>
          <w:bCs/>
        </w:rPr>
        <w:t xml:space="preserve">3.1 FAERS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Metric</w:t>
            </w:r>
          </w:p>
        </w:tc>
        <w:tc>
          <w:tcPr>
            <w:tcW w:type="dxa" w:w="53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quarterly files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87 (2004Q1–2025Q3)</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Raw reports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23,607,453</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After deduplication + sex filter</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14,536,008</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Female reports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8,744,397 (60.2%)</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Male reports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5,791,611 (39.8%)</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Raw drug names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710,476</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Normalized drug names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384,104</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Unique AE terms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24,431</w:t>
            </w:r>
          </w:p>
        </w:tc>
      </w:tr>
    </w:tbl>
    <w:p>
      <w:pPr>
        <w:pStyle w:val="Heading2"/>
        <w:spacing w:after="120" w:before="240"/>
      </w:pPr>
      <w:r>
        <w:rPr>
          <w:rFonts w:ascii="Arial" w:cs="Arial" w:eastAsia="Arial" w:hAnsi="Arial"/>
          <w:b/>
          <w:bCs/>
        </w:rPr>
        <w:t xml:space="preserve">3.2 Sex-Differential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Direction</w:t>
            </w:r>
          </w:p>
        </w:tc>
        <w:tc>
          <w:tcPr>
            <w:tcW w:type="dxa" w:w="2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Count</w:t>
            </w:r>
          </w:p>
        </w:tc>
        <w:tc>
          <w:tcPr>
            <w:tcW w:type="dxa" w:w="43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Range log-ratio</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Female-higher</w:t>
            </w:r>
          </w:p>
        </w:tc>
        <w:tc>
          <w:tcPr>
            <w:tcW w:type="dxa" w:w="2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103,010</w:t>
            </w:r>
          </w:p>
        </w:tc>
        <w:tc>
          <w:tcPr>
            <w:tcW w:type="dxa" w:w="4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0.50 to 5.53</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Male-higher</w:t>
            </w:r>
          </w:p>
        </w:tc>
        <w:tc>
          <w:tcPr>
            <w:tcW w:type="dxa" w:w="2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80,529</w:t>
            </w:r>
          </w:p>
        </w:tc>
        <w:tc>
          <w:tcPr>
            <w:tcW w:type="dxa" w:w="4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-7.38 to -0.50</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183,539</w:t>
            </w:r>
          </w:p>
        </w:tc>
        <w:tc>
          <w:tcPr>
            <w:tcW w:type="dxa" w:w="4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
            </w:r>
          </w:p>
        </w:tc>
      </w:tr>
    </w:tbl>
    <w:p>
      <w:pPr>
        <w:pStyle w:val="Heading2"/>
        <w:spacing w:after="120" w:before="240"/>
      </w:pPr>
      <w:r>
        <w:rPr>
          <w:rFonts w:ascii="Arial" w:cs="Arial" w:eastAsia="Arial" w:hAnsi="Arial"/>
          <w:b/>
          <w:bCs/>
        </w:rPr>
        <w:t xml:space="preserve">3.3 Validation (40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Metric</w:t>
            </w:r>
          </w:p>
        </w:tc>
        <w:tc>
          <w:tcPr>
            <w:tcW w:type="dxa" w:w="53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Result</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Coverage (signal found)</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75.0% (30/40)</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Directional precision</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63.3% (19/30)</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Correct direction</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19</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Wrong direction</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11</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Not found</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10</w:t>
            </w:r>
          </w:p>
        </w:tc>
      </w:tr>
    </w:tbl>
    <w:p>
      <w:pPr>
        <w:pStyle w:val="Heading2"/>
        <w:spacing w:after="120" w:before="240"/>
      </w:pPr>
      <w:r>
        <w:rPr>
          <w:rFonts w:ascii="Arial" w:cs="Arial" w:eastAsia="Arial" w:hAnsi="Arial"/>
          <w:b/>
          <w:bCs/>
        </w:rPr>
        <w:t xml:space="preserve">3.4 DistMult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Metric</w:t>
            </w:r>
          </w:p>
        </w:tc>
        <w:tc>
          <w:tcPr>
            <w:tcW w:type="dxa" w:w="53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MRR</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0.039</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Hits@1</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1.8%</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Hits@3</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3.5%</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Hits@5</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4.7%</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Hits@10</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6.9%</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Entities embedded</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126,575</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Relations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6</w:t>
            </w:r>
          </w:p>
        </w:tc>
      </w:tr>
      <w:tr>
        <w:tc>
          <w:tcPr>
            <w:tcW w:type="dxa" w:w="4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Dimensions</w:t>
            </w:r>
          </w:p>
        </w:tc>
        <w:tc>
          <w:tcPr>
            <w:tcW w:type="dxa" w:w="5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200</w:t>
            </w:r>
          </w:p>
        </w:tc>
      </w:tr>
    </w:tbl>
    <w:p>
      <w:r>
        <w:br w:type="page"/>
      </w:r>
    </w:p>
    <w:p>
      <w:pPr>
        <w:pStyle w:val="Heading1"/>
        <w:spacing w:after="120" w:before="240"/>
      </w:pPr>
      <w:r>
        <w:rPr>
          <w:rFonts w:ascii="Arial" w:cs="Arial" w:eastAsia="Arial" w:hAnsi="Arial"/>
          <w:b/>
          <w:bCs/>
        </w:rPr>
        <w:t xml:space="preserve">4. Discussion</w:t>
      </w:r>
    </w:p>
    <w:p>
      <w:pPr>
        <w:spacing w:after="120" w:line="276"/>
      </w:pPr>
      <w:r>
        <w:rPr>
          <w:rFonts w:ascii="Arial" w:cs="Arial" w:eastAsia="Arial" w:hAnsi="Arial"/>
          <w:sz w:val="22"/>
          <w:szCs w:val="22"/>
        </w:rPr>
        <w:t xml:space="preserve">SexDiffKG demonstrates that sex-stratified pharmacovigilance signal detection at scale is both feasible and informative. The identification of 183,539 sex-differential signals — 56% female-higher and 44% male-higher — provides a comprehensive landscape of sex differences in drug safety that has not been previously assembled in a single integrated resource.</w:t>
      </w:r>
    </w:p>
    <w:p>
      <w:pPr>
        <w:spacing w:after="120" w:line="276"/>
      </w:pPr>
      <w:r>
        <w:rPr>
          <w:rFonts w:ascii="Arial" w:cs="Arial" w:eastAsia="Arial" w:hAnsi="Arial"/>
          <w:b/>
          <w:bCs/>
          <w:sz w:val="22"/>
          <w:szCs w:val="22"/>
        </w:rPr>
        <w:t xml:space="preserve">Female preponderance aligns with literature. </w:t>
      </w:r>
      <w:r>
        <w:rPr>
          <w:rFonts w:ascii="Arial" w:cs="Arial" w:eastAsia="Arial" w:hAnsi="Arial"/>
          <w:sz w:val="22"/>
          <w:szCs w:val="22"/>
        </w:rPr>
        <w:t xml:space="preserve">The 56:44 female-to-male ratio is consistent with epidemiological evidence that women experience ADRs at approximately 1.5–2x the rate of men.</w:t>
      </w:r>
    </w:p>
    <w:p>
      <w:pPr>
        <w:spacing w:after="120" w:line="276"/>
      </w:pPr>
      <w:r>
        <w:rPr>
          <w:rFonts w:ascii="Arial" w:cs="Arial" w:eastAsia="Arial" w:hAnsi="Arial"/>
          <w:b/>
          <w:bCs/>
          <w:sz w:val="22"/>
          <w:szCs w:val="22"/>
        </w:rPr>
        <w:t xml:space="preserve">High-confidence signals recover known associations. </w:t>
      </w:r>
      <w:r>
        <w:rPr>
          <w:rFonts w:ascii="Arial" w:cs="Arial" w:eastAsia="Arial" w:hAnsi="Arial"/>
          <w:sz w:val="22"/>
          <w:szCs w:val="22"/>
        </w:rPr>
        <w:t xml:space="preserve">Validation against 40 literature benchmarks achieved 75.0% coverage and 63.3% directional precision. Key successes include morphine-respiratory depression (Sarton et al., 2000), ACE inhibitor cough (Israili &amp; Hall, 1992), and sotalol-torsade de pointes (Makkar et al., 1993).</w:t>
      </w:r>
    </w:p>
    <w:p>
      <w:pPr>
        <w:spacing w:after="120" w:line="276"/>
      </w:pPr>
      <w:r>
        <w:rPr>
          <w:rFonts w:ascii="Arial" w:cs="Arial" w:eastAsia="Arial" w:hAnsi="Arial"/>
          <w:b/>
          <w:bCs/>
          <w:sz w:val="22"/>
          <w:szCs w:val="22"/>
        </w:rPr>
        <w:t xml:space="preserve">Drug normalization impacts signal quality. </w:t>
      </w:r>
      <w:r>
        <w:rPr>
          <w:rFonts w:ascii="Arial" w:cs="Arial" w:eastAsia="Arial" w:hAnsi="Arial"/>
          <w:sz w:val="22"/>
          <w:szCs w:val="22"/>
        </w:rPr>
        <w:t xml:space="preserve">The three-tier pipeline reduced 710,476 raw names to 384,104 canonical forms. Validation precision improved from 53.3% (pre-normalization) to 63.3% (post-normalization).</w:t>
      </w:r>
    </w:p>
    <w:p>
      <w:pPr>
        <w:pStyle w:val="Heading2"/>
        <w:spacing w:after="120" w:before="240"/>
      </w:pPr>
      <w:r>
        <w:rPr>
          <w:rFonts w:ascii="Arial" w:cs="Arial" w:eastAsia="Arial" w:hAnsi="Arial"/>
          <w:b/>
          <w:bCs/>
        </w:rPr>
        <w:t xml:space="preserve">4.1 Comparison with Existing KGs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Feature</w:t>
            </w:r>
          </w:p>
        </w:tc>
        <w:tc>
          <w:tcPr>
            <w:tcW w:type="dxa" w:w="18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SexDiffKG</w:t>
            </w:r>
          </w:p>
        </w:tc>
        <w:tc>
          <w:tcPr>
            <w:tcW w:type="dxa" w:w="18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BioKG</w:t>
            </w:r>
          </w:p>
        </w:tc>
        <w:tc>
          <w:tcPr>
            <w:tcW w:type="dxa" w:w="18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PrimeKG</w:t>
            </w:r>
          </w:p>
        </w:tc>
        <w:tc>
          <w:tcPr>
            <w:tcW w:type="dxa" w:w="17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Hetionet</w:t>
            </w:r>
          </w:p>
        </w:tc>
      </w:tr>
      <w:tr>
        <w:tc>
          <w:tcPr>
            <w:tcW w:type="dxa" w:w="22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Sex-stratified edges</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7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FAERS integration</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87 quarters</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Limited</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7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Sex-differential signals</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183,539</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c>
          <w:tcPr>
            <w:tcW w:type="dxa" w:w="17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Nodes</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127,063</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~2M</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~130K</w:t>
            </w:r>
          </w:p>
        </w:tc>
        <w:tc>
          <w:tcPr>
            <w:tcW w:type="dxa" w:w="17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47,031</w:t>
            </w:r>
          </w:p>
        </w:tc>
      </w:tr>
      <w:tr>
        <w:tc>
          <w:tcPr>
            <w:tcW w:type="dxa" w:w="22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Edges</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5,839,717</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~50M</w:t>
            </w:r>
          </w:p>
        </w:tc>
        <w:tc>
          <w:tcPr>
            <w:tcW w:type="dxa" w:w="18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~8M</w:t>
            </w:r>
          </w:p>
        </w:tc>
        <w:tc>
          <w:tcPr>
            <w:tcW w:type="dxa" w:w="17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2,250,197</w:t>
            </w:r>
          </w:p>
        </w:tc>
      </w:tr>
    </w:tbl>
    <w:p>
      <w:pPr>
        <w:pStyle w:val="Heading2"/>
        <w:spacing w:after="120" w:before="240"/>
      </w:pPr>
      <w:r>
        <w:rPr>
          <w:rFonts w:ascii="Arial" w:cs="Arial" w:eastAsia="Arial" w:hAnsi="Arial"/>
          <w:b/>
          <w:bCs/>
        </w:rPr>
        <w:t xml:space="preserve">4.2 Limitations</w:t>
      </w:r>
    </w:p>
    <w:p>
      <w:pPr>
        <w:spacing w:after="120" w:line="276"/>
      </w:pPr>
      <w:r>
        <w:rPr>
          <w:rFonts w:ascii="Arial" w:cs="Arial" w:eastAsia="Arial" w:hAnsi="Arial"/>
          <w:sz w:val="22"/>
          <w:szCs w:val="22"/>
        </w:rPr>
        <w:t xml:space="preserve">Key limitations include: (1) FAERS reporting bias — ROR measures disproportionality, not causation; (2) Drug normalization incomplete — 54.7% resolved by string cleaning only; (3) Embedding performance is baseline — MRR 0.039 reflects minimal tuning; (4) No confounding adjustment for age, BMI, co-medication; (5) Binary sex only — does not capture biological spectrum or gender-related factors.</w:t>
      </w:r>
    </w:p>
    <w:p>
      <w:pPr>
        <w:pStyle w:val="Heading2"/>
        <w:spacing w:after="120" w:before="240"/>
      </w:pPr>
      <w:r>
        <w:rPr>
          <w:rFonts w:ascii="Arial" w:cs="Arial" w:eastAsia="Arial" w:hAnsi="Arial"/>
          <w:b/>
          <w:bCs/>
        </w:rPr>
        <w:t xml:space="preserve">4.3 Future Work</w:t>
      </w:r>
    </w:p>
    <w:p>
      <w:pPr>
        <w:spacing w:after="120" w:line="276"/>
      </w:pPr>
      <w:r>
        <w:rPr>
          <w:rFonts w:ascii="Arial" w:cs="Arial" w:eastAsia="Arial" w:hAnsi="Arial"/>
          <w:sz w:val="22"/>
          <w:szCs w:val="22"/>
        </w:rPr>
        <w:t xml:space="preserve">Planned extensions: RxNorm integration for improved normalization, ComplEx/RotatE model comparison, age-stratified sub-analysis, temporal signal analysis across FAERS reporting periods, and integration with VEDA-KG for Ayurvedic drug safety context.</w:t>
      </w:r>
    </w:p>
    <w:p>
      <w:r>
        <w:br w:type="page"/>
      </w:r>
    </w:p>
    <w:p>
      <w:pPr>
        <w:pStyle w:val="Heading1"/>
        <w:spacing w:after="120" w:before="240"/>
      </w:pPr>
      <w:r>
        <w:rPr>
          <w:rFonts w:ascii="Arial" w:cs="Arial" w:eastAsia="Arial" w:hAnsi="Arial"/>
          <w:b/>
          <w:bCs/>
        </w:rPr>
        <w:t xml:space="preserve">5. Conclusion</w:t>
      </w:r>
    </w:p>
    <w:p>
      <w:pPr>
        <w:spacing w:after="120" w:line="276"/>
      </w:pPr>
      <w:r>
        <w:rPr>
          <w:rFonts w:ascii="Arial" w:cs="Arial" w:eastAsia="Arial" w:hAnsi="Arial"/>
          <w:sz w:val="22"/>
          <w:szCs w:val="22"/>
        </w:rPr>
        <w:t xml:space="preserve">SexDiffKG is the first knowledge graph to structurally encode biological sex on every drug-safety edge. Built from 87 FAERS quarterly releases (14.5M deduplicated reports) with three-tier drug normalization and multi-source molecular integration, it identifies 183,539 sex-differential signals across 3,441 drugs and 5,658 adverse events. Validation against 40 literature benchmarks achieves 75.0% coverage and 63.3% directional precision. Baseline DistMult embeddings (MRR 0.039, Hits@10 6.9%) provide initial link prediction capability. SexDiffKG offers a computational foundation for sex-aware pharmacovigilance.</w:t>
      </w:r>
    </w:p>
    <w:p>
      <w:pPr>
        <w:pStyle w:val="Heading1"/>
        <w:spacing w:after="120" w:before="240"/>
      </w:pPr>
      <w:r>
        <w:rPr>
          <w:rFonts w:ascii="Arial" w:cs="Arial" w:eastAsia="Arial" w:hAnsi="Arial"/>
          <w:b/>
          <w:bCs/>
        </w:rPr>
        <w:t xml:space="preserve">6. Data Availability</w:t>
      </w:r>
    </w:p>
    <w:p>
      <w:pPr>
        <w:spacing w:after="120" w:line="276"/>
      </w:pPr>
      <w:r>
        <w:rPr>
          <w:rFonts w:ascii="Arial" w:cs="Arial" w:eastAsia="Arial" w:hAnsi="Arial"/>
          <w:sz w:val="22"/>
          <w:szCs w:val="22"/>
        </w:rPr>
        <w:t xml:space="preserve">FAERS source data: https://fis.fda.gov/extensions/FPD-QDE-FAERS/FPD-QDE-FAERS.html | ChEMBL 36: https://www.ebi.ac.uk/chembl/ | STRING v12: https://string-db.org/ | KEGG: https://www.genome.jp/kegg/ | GTEx: https://gtexportal.org/ | Code and KG data files: to be deposited on GitHub/Zenodo prior to publication.</w:t>
      </w:r>
    </w:p>
    <w:p>
      <w:pPr>
        <w:pStyle w:val="Heading1"/>
        <w:spacing w:after="120" w:before="240"/>
      </w:pPr>
      <w:r>
        <w:rPr>
          <w:rFonts w:ascii="Arial" w:cs="Arial" w:eastAsia="Arial" w:hAnsi="Arial"/>
          <w:b/>
          <w:bCs/>
        </w:rPr>
        <w:t xml:space="preserve">7. Hardware &amp;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Component</w:t>
            </w:r>
          </w:p>
        </w:tc>
        <w:tc>
          <w:tcPr>
            <w:tcW w:type="dxa" w:w="6360"/>
            <w:tcBorders>
              <w:top w:val="single" w:color="4472C4" w:sz="1"/>
              <w:left w:val="single" w:color="4472C4" w:sz="1"/>
              <w:bottom w:val="single" w:color="4472C4" w:sz="1"/>
              <w:right w:val="single" w:color="4472C4" w:sz="1"/>
            </w:tcBorders>
            <w:shd w:fill="4472C4" w:val="clear"/>
            <w:tcMar>
              <w:top w:type="dxa" w:w="40"/>
              <w:left w:type="dxa" w:w="80"/>
              <w:bottom w:type="dxa" w:w="40"/>
              <w:right w:type="dxa" w:w="80"/>
            </w:tcMa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System</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NVIDIA DGX Spark GB10</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Architecture</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ARM64 (Grace Blackwell)</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Memory</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120 GB unified</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OS</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Ubuntu (ARM64)</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Software</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Python 3.13, PyKEEN, DuckDB, pandas</w:t>
            </w:r>
          </w:p>
        </w:tc>
      </w:tr>
      <w:tr>
        <w:tc>
          <w:tcPr>
            <w:tcW w:type="dxa" w:w="300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Compute time</w:t>
            </w:r>
          </w:p>
        </w:tc>
        <w:tc>
          <w:tcPr>
            <w:tcW w:type="dxa" w:w="6360"/>
            <w:tcBorders>
              <w:top w:val="single" w:color="CCCCCC" w:sz="1"/>
              <w:left w:val="single" w:color="CCCCCC" w:sz="1"/>
              <w:bottom w:val="single" w:color="CCCCCC" w:sz="1"/>
              <w:right w:val="single" w:color="CCCCCC" w:sz="1"/>
            </w:tcBorders>
            <w:shd/>
            <w:tcMar>
              <w:top w:type="dxa" w:w="40"/>
              <w:left w:type="dxa" w:w="80"/>
              <w:bottom w:type="dxa" w:w="40"/>
              <w:right w:type="dxa" w:w="80"/>
            </w:tcMar>
          </w:tcPr>
          <w:p>
            <w:r>
              <w:rPr>
                <w:rFonts w:ascii="Arial" w:cs="Arial" w:eastAsia="Arial" w:hAnsi="Arial"/>
                <w:b w:val="false"/>
                <w:bCs w:val="false"/>
                <w:color w:val="333333"/>
                <w:sz w:val="18"/>
                <w:szCs w:val="18"/>
              </w:rPr>
              <w:t xml:space="preserve">~2h (signals) + ~1h (DistMult)</w:t>
            </w:r>
          </w:p>
        </w:tc>
      </w:tr>
    </w:tbl>
    <w:p>
      <w:r>
        <w:br w:type="page"/>
      </w:r>
    </w:p>
    <w:p>
      <w:pPr>
        <w:pStyle w:val="Heading1"/>
        <w:spacing w:after="120" w:before="240"/>
      </w:pPr>
      <w:r>
        <w:rPr>
          <w:rFonts w:ascii="Arial" w:cs="Arial" w:eastAsia="Arial" w:hAnsi="Arial"/>
          <w:b/>
          <w:bCs/>
        </w:rPr>
        <w:t xml:space="preserve">References</w:t>
      </w:r>
    </w:p>
    <w:p>
      <w:pPr>
        <w:spacing w:after="120" w:line="276"/>
      </w:pPr>
      <w:r>
        <w:rPr>
          <w:rFonts w:ascii="Arial" w:cs="Arial" w:eastAsia="Arial" w:hAnsi="Arial"/>
          <w:sz w:val="18"/>
          <w:szCs w:val="18"/>
        </w:rPr>
        <w:t xml:space="preserve">[1] Sarton E et al. Sex differences in morphine analgesia. Anesthesiology. 2000;93(5):1245-54. PMID:11046213</w:t>
      </w:r>
    </w:p>
    <w:p>
      <w:pPr>
        <w:spacing w:after="120" w:line="276"/>
      </w:pPr>
      <w:r>
        <w:rPr>
          <w:rFonts w:ascii="Arial" w:cs="Arial" w:eastAsia="Arial" w:hAnsi="Arial"/>
          <w:sz w:val="18"/>
          <w:szCs w:val="18"/>
        </w:rPr>
        <w:t xml:space="preserve">[2] Israili ZH, Hall WD. Cough and angioneurotic edema with ACE inhibitors. Ann Intern Med. 1992;117(3):234-42. PMID:1616218</w:t>
      </w:r>
    </w:p>
    <w:p>
      <w:pPr>
        <w:spacing w:after="120" w:line="276"/>
      </w:pPr>
      <w:r>
        <w:rPr>
          <w:rFonts w:ascii="Arial" w:cs="Arial" w:eastAsia="Arial" w:hAnsi="Arial"/>
          <w:sz w:val="18"/>
          <w:szCs w:val="18"/>
        </w:rPr>
        <w:t xml:space="preserve">[3] Makkar RR et al. Female gender as a risk factor for torsades de pointes. JAMA. 1993;270(21):2590-7. PMID:8230644</w:t>
      </w:r>
    </w:p>
    <w:p>
      <w:pPr>
        <w:spacing w:after="120" w:line="276"/>
      </w:pPr>
      <w:r>
        <w:rPr>
          <w:rFonts w:ascii="Arial" w:cs="Arial" w:eastAsia="Arial" w:hAnsi="Arial"/>
          <w:sz w:val="18"/>
          <w:szCs w:val="18"/>
        </w:rPr>
        <w:t xml:space="preserve">[4] Roden DM. Drug-induced prolongation of the QT interval. N Engl J Med. 2004;350(10):1013-22. PMID:14999113</w:t>
      </w:r>
    </w:p>
    <w:p>
      <w:pPr>
        <w:spacing w:after="120" w:line="276"/>
      </w:pPr>
      <w:r>
        <w:rPr>
          <w:rFonts w:ascii="Arial" w:cs="Arial" w:eastAsia="Arial" w:hAnsi="Arial"/>
          <w:sz w:val="18"/>
          <w:szCs w:val="18"/>
        </w:rPr>
        <w:t xml:space="preserve">[5] Rathore SS et al. Sex-based differences in the effect of digoxin. N Engl J Med. 2002;347(18):1403-11. PMID:12409542</w:t>
      </w:r>
    </w:p>
    <w:p>
      <w:pPr>
        <w:spacing w:after="120" w:line="276"/>
      </w:pPr>
      <w:r>
        <w:rPr>
          <w:rFonts w:ascii="Arial" w:cs="Arial" w:eastAsia="Arial" w:hAnsi="Arial"/>
          <w:sz w:val="18"/>
          <w:szCs w:val="18"/>
        </w:rPr>
        <w:t xml:space="preserve">[6] Rosenson RS. Current overview of statin-induced myopathy. Am J Med. 2004;116(6):408-16. PMID:15006590</w:t>
      </w:r>
    </w:p>
    <w:p>
      <w:pPr>
        <w:spacing w:after="120" w:line="276"/>
      </w:pPr>
      <w:r>
        <w:rPr>
          <w:rFonts w:ascii="Arial" w:cs="Arial" w:eastAsia="Arial" w:hAnsi="Arial"/>
          <w:sz w:val="18"/>
          <w:szCs w:val="18"/>
        </w:rPr>
        <w:t xml:space="preserve">[7] Lucena MI et al. Susceptibility to amoxicillin-clavulanate liver injury. Hepatology. 2009;49(6):2001-9. PMID:25475693</w:t>
      </w:r>
    </w:p>
    <w:p>
      <w:pPr>
        <w:spacing w:after="120" w:line="276"/>
      </w:pPr>
      <w:r>
        <w:rPr>
          <w:rFonts w:ascii="Arial" w:cs="Arial" w:eastAsia="Arial" w:hAnsi="Arial"/>
          <w:sz w:val="18"/>
          <w:szCs w:val="18"/>
        </w:rPr>
        <w:t xml:space="preserve">[8] Garcia Rodriguez LA et al. Risk of upper GI bleeding with aspirin. Br J Clin Pharmacol. 2001;52(5):563-71. PMID:11736865</w:t>
      </w:r>
    </w:p>
    <w:p>
      <w:pPr>
        <w:spacing w:after="120" w:line="276"/>
      </w:pPr>
      <w:r>
        <w:rPr>
          <w:rFonts w:ascii="Arial" w:cs="Arial" w:eastAsia="Arial" w:hAnsi="Arial"/>
          <w:sz w:val="18"/>
          <w:szCs w:val="18"/>
        </w:rPr>
        <w:t xml:space="preserve">[9] Clayton JA, Collins FS. Policy: NIH to balance sex in studies. Nature. 2014;509(7500):282-3. PMID:24834516</w:t>
      </w:r>
    </w:p>
    <w:p>
      <w:pPr>
        <w:spacing w:after="120" w:line="276"/>
      </w:pPr>
      <w:r>
        <w:rPr>
          <w:rFonts w:ascii="Arial" w:cs="Arial" w:eastAsia="Arial" w:hAnsi="Arial"/>
          <w:sz w:val="18"/>
          <w:szCs w:val="18"/>
        </w:rPr>
        <w:t xml:space="preserve">[10] Zopf Y et al. Women encounter ADRs more often than men. Eur J Clin Pharmacol. 2008;64(10):999-1004.</w:t>
      </w:r>
    </w:p>
    <w:p>
      <w:pPr>
        <w:spacing w:after="120" w:line="276"/>
      </w:pPr>
      <w:r>
        <w:rPr>
          <w:rFonts w:ascii="Arial" w:cs="Arial" w:eastAsia="Arial" w:hAnsi="Arial"/>
          <w:sz w:val="18"/>
          <w:szCs w:val="18"/>
        </w:rPr>
        <w:t xml:space="preserve">[11] Bordes A et al. Translating embeddings for multi-relational data. NeurIPS. 2013.</w:t>
      </w:r>
    </w:p>
    <w:p>
      <w:pPr>
        <w:spacing w:after="120" w:line="276"/>
      </w:pPr>
      <w:r>
        <w:rPr>
          <w:rFonts w:ascii="Arial" w:cs="Arial" w:eastAsia="Arial" w:hAnsi="Arial"/>
          <w:sz w:val="18"/>
          <w:szCs w:val="18"/>
        </w:rPr>
        <w:t xml:space="preserve">[12] Yang B et al. Embedding entities and relations for learning and inference in KBs. ICLR. 2015.</w:t>
      </w:r>
    </w:p>
    <w:p>
      <w:pPr>
        <w:spacing w:after="120" w:line="276"/>
      </w:pPr>
      <w:r>
        <w:rPr>
          <w:rFonts w:ascii="Arial" w:cs="Arial" w:eastAsia="Arial" w:hAnsi="Arial"/>
          <w:sz w:val="18"/>
          <w:szCs w:val="18"/>
        </w:rPr>
        <w:t xml:space="preserve">[13] Ali M et al. PyKEEN 1.0. JMLR. 2021;22(82):1-6.</w:t>
      </w:r>
    </w:p>
    <w:p>
      <w:pPr>
        <w:spacing w:after="120" w:line="276"/>
      </w:pPr>
      <w:r>
        <w:rPr>
          <w:rFonts w:ascii="Arial" w:cs="Arial" w:eastAsia="Arial" w:hAnsi="Arial"/>
          <w:sz w:val="18"/>
          <w:szCs w:val="18"/>
        </w:rPr>
        <w:t xml:space="preserve">[14] Floreani A et al. Sex differences in drug-induced liver injury. Dig Liver Dis. 2022;54(12):1639-44. PMID:35843842</w:t>
      </w:r>
    </w:p>
    <w:p>
      <w:pPr>
        <w:spacing w:after="120" w:line="276"/>
      </w:pPr>
      <w:r>
        <w:rPr>
          <w:rFonts w:ascii="Arial" w:cs="Arial" w:eastAsia="Arial" w:hAnsi="Arial"/>
          <w:sz w:val="18"/>
          <w:szCs w:val="18"/>
        </w:rPr>
        <w:t xml:space="preserve">[15] Gustafsson L et al. Sex differences in tramadol ADRs. Drug Saf. 2023. PMID:37824028</w:t>
      </w:r>
    </w:p>
    <w:p>
      <w:pPr>
        <w:spacing w:after="120" w:line="276"/>
      </w:pPr>
      <w:r>
        <w:rPr>
          <w:rFonts w:ascii="Arial" w:cs="Arial" w:eastAsia="Arial" w:hAnsi="Arial"/>
          <w:sz w:val="18"/>
          <w:szCs w:val="18"/>
        </w:rPr>
        <w:t xml:space="preserve">[16] Ramin et al. Antipsychotic hyperprolactinemia sex differences. Int J Geriatr Psychiatry. 2025. PMID:40817421</w:t>
      </w:r>
    </w:p>
    <w:p>
      <w:pPr>
        <w:spacing w:after="120" w:line="276"/>
      </w:pPr>
      <w:r>
        <w:rPr>
          <w:rFonts w:ascii="Arial" w:cs="Arial" w:eastAsia="Arial" w:hAnsi="Arial"/>
          <w:sz w:val="18"/>
          <w:szCs w:val="18"/>
        </w:rPr>
        <w:t xml:space="preserve">[17] Bazmi et al. Sex differences in QT-prolonging drug AEs. BMJ Open. 2025. PMID:40940052</w:t>
      </w:r>
    </w:p>
    <w:p>
      <w:pPr>
        <w:spacing w:after="120" w:line="276"/>
      </w:pPr>
      <w:r>
        <w:rPr>
          <w:rFonts w:ascii="Arial" w:cs="Arial" w:eastAsia="Arial" w:hAnsi="Arial"/>
          <w:sz w:val="18"/>
          <w:szCs w:val="18"/>
        </w:rPr>
        <w:t xml:space="preserve">[18] Maida et al. Diuretic hyponatremia sex differences. Drug Saf. 2025. PMID:40560472</w:t>
      </w:r>
    </w:p>
    <w:p>
      <w:pPr>
        <w:spacing w:after="120" w:line="276"/>
      </w:pPr>
      <w:r>
        <w:rPr>
          <w:rFonts w:ascii="Arial" w:cs="Arial" w:eastAsia="Arial" w:hAnsi="Arial"/>
          <w:sz w:val="18"/>
          <w:szCs w:val="18"/>
        </w:rPr>
        <w:t xml:space="preserve">[19] Hendriksen et al. Hyponatremia sex differences. Front Pharmacol. 2024. PMID:39166106</w:t>
      </w:r>
    </w:p>
    <w:p>
      <w:pPr>
        <w:spacing w:after="120" w:line="276"/>
      </w:pPr>
      <w:r>
        <w:rPr>
          <w:rFonts w:ascii="Arial" w:cs="Arial" w:eastAsia="Arial" w:hAnsi="Arial"/>
          <w:sz w:val="18"/>
          <w:szCs w:val="18"/>
        </w:rPr>
        <w:t xml:space="preserve">[20] Ma &amp; Wang. Valproic acid DILI. Clin Toxicol. 2024. PMID:38512019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JShaik | CoEvolve Network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SexDiffKG — Full Study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2026-02-27T12:36:04.518Z</dcterms:created>
  <dcterms:modified xsi:type="dcterms:W3CDTF">2026-02-27T12:36:04.518Z</dcterms:modified>
</cp:coreProperties>
</file>

<file path=docProps/custom.xml><?xml version="1.0" encoding="utf-8"?>
<Properties xmlns="http://schemas.openxmlformats.org/officeDocument/2006/custom-properties" xmlns:vt="http://schemas.openxmlformats.org/officeDocument/2006/docPropsVTypes"/>
</file>