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E4057"/>
          <w:sz w:val="28"/>
          <w:szCs w:val="28"/>
        </w:rPr>
        <w:t xml:space="preserve">SexDiffKG: A Sex-Stratified Knowledge Graph for Drug Safety Pharmacovigilance</w:t>
      </w:r>
    </w:p>
    <w:p>
      <w:pPr>
        <w:spacing w:after="60"/>
        <w:jc w:val="center"/>
      </w:pPr>
      <w:r>
        <w:rPr>
          <w:rFonts w:ascii="Arial" w:cs="Arial" w:eastAsia="Arial" w:hAnsi="Arial"/>
          <w:b/>
          <w:bCs/>
          <w:sz w:val="22"/>
          <w:szCs w:val="22"/>
        </w:rPr>
        <w:t xml:space="preserve">JShaik</w:t>
      </w:r>
      <w:r>
        <w:rPr>
          <w:rFonts w:ascii="Arial" w:cs="Arial" w:eastAsia="Arial" w:hAnsi="Arial"/>
          <w:sz w:val="22"/>
          <w:szCs w:val="22"/>
        </w:rPr>
        <w:t xml:space="preserve">, CoEvolve Network, Independent Researcher, Barcelona, Spain</w:t>
      </w:r>
    </w:p>
    <w:p>
      <w:pPr>
        <w:spacing w:after="240"/>
        <w:jc w:val="center"/>
      </w:pPr>
      <w:r>
        <w:rPr>
          <w:rFonts w:ascii="Arial" w:cs="Arial" w:eastAsia="Arial" w:hAnsi="Arial"/>
          <w:color w:val="666666"/>
          <w:sz w:val="20"/>
          <w:szCs w:val="20"/>
        </w:rPr>
        <w:t xml:space="preserve">Contact: jshaik@coevolvenetwork.com</w:t>
      </w:r>
    </w:p>
    <w:p>
      <w:pPr>
        <w:spacing w:after="200"/>
      </w:pPr>
      <w:r>
        <w:rPr>
          <w:rFonts w:ascii="Arial" w:cs="Arial" w:eastAsia="Arial" w:hAnsi="Arial"/>
          <w:sz w:val="22"/>
          <w:szCs w:val="22"/>
        </w:rPr>
        <w:t xml:space="preserve">Sex-based differences in drug safety remain undercharacterized despite evidence that women experience adverse drug reactions (ADRs) at nearly twice the rate of men. We present SexDiffKG, the first knowledge graph where biological sex is a structural dimension on every drug-safety edge rather than an optional annotation. SexDiffKG integrates 87 quarterly releases of FDA Adverse Event Reporting System (FAERS) data (2004Q1</w:t>
      </w:r>
      <w:r>
        <w:rPr>
          <w:rFonts w:ascii="Arial" w:cs="Arial" w:eastAsia="Arial" w:hAnsi="Arial"/>
          <w:sz w:val="22"/>
          <w:szCs w:val="22"/>
        </w:rPr>
        <w:t xml:space="preserve">–2025Q3), comprising 14.5 million deduplicated female/male-coded reports (from 23.6M raw; cases with unknown/unspecified sex excluded), with molecular layers from ChEMBL drug–target interactions (12,682 edges), STRING protein–protein interactions (465,390 edges), KEGG pathway annotations (537,605 edges), and GTEx sex-differential gene expression (105 tissue–gene pairs).</w:t>
      </w:r>
    </w:p>
    <w:p>
      <w:pPr>
        <w:spacing w:after="200"/>
      </w:pPr>
      <w:r>
        <w:rPr>
          <w:rFonts w:ascii="Arial" w:cs="Arial" w:eastAsia="Arial" w:hAnsi="Arial"/>
          <w:sz w:val="22"/>
          <w:szCs w:val="22"/>
        </w:rPr>
        <w:t xml:space="preserve">Drug names were normalized using FDA structured product active ingredients, ChEMBL 36 synonym mapping, and string cleaning—reducing 710,476 raw names to 384,104 canonical forms (46% reduction). Sex-stratified Reporting Odds Ratios (ROR) with Wald 95% CIs were computed for 4.6 million drug–adverse event–sex combinations using DuckDB, identifying </w:t>
      </w:r>
      <w:r>
        <w:rPr>
          <w:rFonts w:ascii="Arial" w:cs="Arial" w:eastAsia="Arial" w:hAnsi="Arial"/>
          <w:b/>
          <w:bCs/>
          <w:sz w:val="22"/>
          <w:szCs w:val="22"/>
        </w:rPr>
        <w:t xml:space="preserve">183,539 sex-differential signals</w:t>
      </w:r>
      <w:r>
        <w:rPr>
          <w:rFonts w:ascii="Arial" w:cs="Arial" w:eastAsia="Arial" w:hAnsi="Arial"/>
          <w:sz w:val="22"/>
          <w:szCs w:val="22"/>
        </w:rPr>
        <w:t xml:space="preserve"> (103,010 female-higher, 80,529 male-higher; |log(ROR_F/ROR_M)| &gt; 0.5, ≥10 reports/sex).</w:t>
      </w:r>
    </w:p>
    <w:p>
      <w:pPr>
        <w:pStyle w:val="Heading1"/>
      </w:pPr>
      <w:r>
        <w:t xml:space="preserve">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FAERS reports (dedup, F/M)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14,536,008</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Drug normalization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710,476 → 384,104 (46% reduction)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KG nodes (6 types)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127,063</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KG edges (6 types)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5,839,717</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Sex-differential signals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183,539 (103K F-higher, 80K M-higher)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Validation coverage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86.7% (13/15 benchmarks)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Directional precision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61.5% (8/13 correct)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Embedding model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DistMult (200d): MRR 0.039, Hits@10 6.9%</w:t>
            </w:r>
          </w:p>
        </w:tc>
      </w:tr>
    </w:tbl>
    <w:p>
      <w:pPr>
        <w:spacing w:after="200" w:before="200"/>
      </w:pPr>
    </w:p>
    <w:p>
      <w:pPr>
        <w:spacing w:after="200"/>
      </w:pPr>
      <w:r>
        <w:rPr>
          <w:rFonts w:ascii="Arial" w:cs="Arial" w:eastAsia="Arial" w:hAnsi="Arial"/>
          <w:sz w:val="22"/>
          <w:szCs w:val="22"/>
        </w:rPr>
        <w:t xml:space="preserve">The resulting knowledge graph contains </w:t>
      </w:r>
      <w:r>
        <w:rPr>
          <w:rFonts w:ascii="Arial" w:cs="Arial" w:eastAsia="Arial" w:hAnsi="Arial"/>
          <w:b/>
          <w:bCs/>
          <w:sz w:val="22"/>
          <w:szCs w:val="22"/>
        </w:rPr>
        <w:t xml:space="preserve">127,063 nodes</w:t>
      </w:r>
      <w:r>
        <w:rPr>
          <w:rFonts w:ascii="Arial" w:cs="Arial" w:eastAsia="Arial" w:hAnsi="Arial"/>
          <w:sz w:val="22"/>
          <w:szCs w:val="22"/>
        </w:rPr>
        <w:t xml:space="preserve"> across 6 entity types and </w:t>
      </w:r>
      <w:r>
        <w:rPr>
          <w:rFonts w:ascii="Arial" w:cs="Arial" w:eastAsia="Arial" w:hAnsi="Arial"/>
          <w:b/>
          <w:bCs/>
          <w:sz w:val="22"/>
          <w:szCs w:val="22"/>
        </w:rPr>
        <w:t xml:space="preserve">5,839,717 edges</w:t>
      </w:r>
      <w:r>
        <w:rPr>
          <w:rFonts w:ascii="Arial" w:cs="Arial" w:eastAsia="Arial" w:hAnsi="Arial"/>
          <w:sz w:val="22"/>
          <w:szCs w:val="22"/>
        </w:rPr>
        <w:t xml:space="preserve"> across 6 relation types. Validation against 15 literature benchmarks achieved 86.7% coverage and 61.5% directional precision (8/13), with successes including morphine–respiratory depression (F&gt;M, log-ratio 1.70). Baseline DistMult graph embeddings (200d) achieve MRR 0.039 and Hits@10 6.9%, providing initial link prediction capability. SexDiffKG offers a computational foundation for sex-aware pharmacovigilance.</w:t>
      </w:r>
    </w:p>
    <w:p>
      <w:pPr>
        <w:spacing w:before="120"/>
      </w:pPr>
      <w:r>
        <w:rPr>
          <w:rFonts w:ascii="Arial" w:cs="Arial" w:eastAsia="Arial" w:hAnsi="Arial"/>
          <w:b/>
          <w:bCs/>
          <w:color w:val="666666"/>
          <w:sz w:val="20"/>
          <w:szCs w:val="20"/>
        </w:rPr>
        <w:t xml:space="preserve">Hardware: </w:t>
      </w:r>
      <w:r>
        <w:rPr>
          <w:rFonts w:ascii="Arial" w:cs="Arial" w:eastAsia="Arial" w:hAnsi="Arial"/>
          <w:color w:val="666666"/>
          <w:sz w:val="20"/>
          <w:szCs w:val="20"/>
        </w:rPr>
        <w:t xml:space="preserve">NVIDIA DGX Spark GB10 (ARM64, 120GB unified memory)</w:t>
      </w:r>
    </w:p>
    <w:p>
      <w:r>
        <w:rPr>
          <w:rFonts w:ascii="Arial" w:cs="Arial" w:eastAsia="Arial" w:hAnsi="Arial"/>
          <w:b/>
          <w:bCs/>
          <w:color w:val="666666"/>
          <w:sz w:val="20"/>
          <w:szCs w:val="20"/>
        </w:rPr>
        <w:t xml:space="preserve">Target: </w:t>
      </w:r>
      <w:r>
        <w:rPr>
          <w:rFonts w:ascii="Arial" w:cs="Arial" w:eastAsia="Arial" w:hAnsi="Arial"/>
          <w:color w:val="666666"/>
          <w:sz w:val="20"/>
          <w:szCs w:val="20"/>
        </w:rPr>
        <w:t xml:space="preserve">ISMB 2026, April 9 deadline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2026-02-27T12:03:45.261Z</dcterms:created>
  <dcterms:modified xsi:type="dcterms:W3CDTF">2026-02-27T12:03:45.261Z</dcterms:modified>
</cp:coreProperties>
</file>

<file path=docProps/custom.xml><?xml version="1.0" encoding="utf-8"?>
<Properties xmlns="http://schemas.openxmlformats.org/officeDocument/2006/custom-properties" xmlns:vt="http://schemas.openxmlformats.org/officeDocument/2006/docPropsVTypes"/>
</file>