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91F9" w14:textId="77777777" w:rsidR="005E65D9" w:rsidRPr="005E65D9" w:rsidRDefault="005E65D9" w:rsidP="005E65D9">
      <w:pPr>
        <w:rPr>
          <w:lang w:val="en-IL"/>
        </w:rPr>
      </w:pPr>
      <w:r w:rsidRPr="005E65D9">
        <w:rPr>
          <w:lang w:val="en-IL"/>
        </w:rPr>
        <w:t>GCPS-R scoring:</w:t>
      </w:r>
    </w:p>
    <w:p w14:paraId="1F1CF964" w14:textId="59F54EBB" w:rsidR="005E65D9" w:rsidRPr="005E65D9" w:rsidRDefault="005E65D9" w:rsidP="005E65D9">
      <w:pPr>
        <w:rPr>
          <w:lang w:val="en-IL"/>
        </w:rPr>
      </w:pPr>
      <w:r w:rsidRPr="005E65D9">
        <w:rPr>
          <w:lang w:val="en-IL"/>
        </w:rPr>
        <w:t>The scoring algorithm for the GCPS-R is explained in </w:t>
      </w:r>
      <w:hyperlink r:id="rId4" w:anchor="F2" w:history="1">
        <w:r w:rsidRPr="005E65D9">
          <w:rPr>
            <w:rStyle w:val="Hyperlink"/>
            <w:lang w:val="en-IL"/>
          </w:rPr>
          <w:t>Figure 2</w:t>
        </w:r>
      </w:hyperlink>
      <w:r w:rsidRPr="005E65D9">
        <w:rPr>
          <w:lang w:val="en-IL"/>
        </w:rPr>
        <w:t xml:space="preserve">. Persons reporting no pain or pain on some days on Item 1 (i.e., pain not present on most days or every day) are placed at Grade 0—chronic pain absent. </w:t>
      </w:r>
      <w:r w:rsidR="00AC683E">
        <w:rPr>
          <w:lang w:val="en-IL"/>
        </w:rPr>
        <w:t xml:space="preserve">NOTE: </w:t>
      </w:r>
      <w:r w:rsidRPr="005E65D9">
        <w:rPr>
          <w:lang w:val="en-IL"/>
        </w:rPr>
        <w:t>Some persons with pain that may be bothersome</w:t>
      </w:r>
      <w:r w:rsidR="00AC683E">
        <w:rPr>
          <w:lang w:val="en-IL"/>
        </w:rPr>
        <w:t xml:space="preserve"> (due to high PEG score)</w:t>
      </w:r>
      <w:r w:rsidRPr="005E65D9">
        <w:rPr>
          <w:lang w:val="en-IL"/>
        </w:rPr>
        <w:t xml:space="preserve"> or have high impact</w:t>
      </w:r>
      <w:r w:rsidR="00AC683E">
        <w:rPr>
          <w:lang w:val="en-IL"/>
        </w:rPr>
        <w:t xml:space="preserve"> (due to answer of Q2)</w:t>
      </w:r>
      <w:r w:rsidRPr="005E65D9">
        <w:rPr>
          <w:lang w:val="en-IL"/>
        </w:rPr>
        <w:t>, but who do not report chronic pain</w:t>
      </w:r>
      <w:r w:rsidR="0014404D">
        <w:rPr>
          <w:lang w:val="en-IL"/>
        </w:rPr>
        <w:t xml:space="preserve"> because of Q1</w:t>
      </w:r>
      <w:r w:rsidRPr="005E65D9">
        <w:rPr>
          <w:lang w:val="en-IL"/>
        </w:rPr>
        <w:t xml:space="preserve">, may be </w:t>
      </w:r>
      <w:r w:rsidR="0014404D">
        <w:rPr>
          <w:lang w:val="en-IL"/>
        </w:rPr>
        <w:t xml:space="preserve">still </w:t>
      </w:r>
      <w:r w:rsidRPr="005E65D9">
        <w:rPr>
          <w:lang w:val="en-IL"/>
        </w:rPr>
        <w:t>included in Grade 0.</w:t>
      </w:r>
    </w:p>
    <w:p w14:paraId="35983570" w14:textId="77777777" w:rsidR="005E65D9" w:rsidRPr="005E65D9" w:rsidRDefault="005E65D9" w:rsidP="005E65D9">
      <w:pPr>
        <w:rPr>
          <w:lang w:val="en-IL"/>
        </w:rPr>
      </w:pPr>
      <w:r w:rsidRPr="005E65D9">
        <w:rPr>
          <w:lang w:val="en-IL"/>
        </w:rPr>
        <w:t>Figure 2:</w:t>
      </w:r>
    </w:p>
    <w:p w14:paraId="2B46E7CD" w14:textId="14C61C51" w:rsidR="005E65D9" w:rsidRPr="005E65D9" w:rsidRDefault="005E65D9" w:rsidP="005E65D9">
      <w:pPr>
        <w:rPr>
          <w:lang w:val="en-IL"/>
        </w:rPr>
      </w:pPr>
      <w:r w:rsidRPr="005E65D9">
        <w:rPr>
          <w:noProof/>
          <w:lang w:val="en-IL"/>
        </w:rPr>
        <w:drawing>
          <wp:inline distT="0" distB="0" distL="0" distR="0" wp14:anchorId="2C2D610A" wp14:editId="4097A5F2">
            <wp:extent cx="5731510" cy="3301365"/>
            <wp:effectExtent l="0" t="0" r="2540" b="0"/>
            <wp:docPr id="944426358" name="Picture 2" descr="Figure 2: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gure 2: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5C58" w14:textId="77777777" w:rsidR="005E65D9" w:rsidRPr="005E65D9" w:rsidRDefault="005E65D9" w:rsidP="005E65D9">
      <w:pPr>
        <w:rPr>
          <w:lang w:val="en-IL"/>
        </w:rPr>
      </w:pPr>
      <w:hyperlink r:id="rId7" w:tgtFrame="_blank" w:history="1">
        <w:r w:rsidRPr="005E65D9">
          <w:rPr>
            <w:rStyle w:val="Hyperlink"/>
            <w:lang w:val="en-IL"/>
          </w:rPr>
          <w:t>Open in a new tab</w:t>
        </w:r>
      </w:hyperlink>
    </w:p>
    <w:p w14:paraId="18DE70A4" w14:textId="77777777" w:rsidR="005E65D9" w:rsidRPr="005E65D9" w:rsidRDefault="005E65D9" w:rsidP="005E65D9">
      <w:pPr>
        <w:rPr>
          <w:lang w:val="en-IL"/>
        </w:rPr>
      </w:pPr>
      <w:r w:rsidRPr="005E65D9">
        <w:rPr>
          <w:lang w:val="en-IL"/>
        </w:rPr>
        <w:t>Chronic pain grade scoring rules for Graded Chronic Pain Scale – Revised</w:t>
      </w:r>
    </w:p>
    <w:p w14:paraId="289400CC" w14:textId="1923C3BF" w:rsidR="005E65D9" w:rsidRDefault="005E65D9" w:rsidP="005E65D9">
      <w:pPr>
        <w:rPr>
          <w:lang w:val="en-IL"/>
        </w:rPr>
      </w:pPr>
      <w:r w:rsidRPr="005E65D9">
        <w:rPr>
          <w:lang w:val="en-IL"/>
        </w:rPr>
        <w:t xml:space="preserve">Persons with chronic pain are placed at Grades 1, 2 or 3. Among persons with chronic pain, those who report that pain limits their life activities or work on most days or every day in the past 3 months (Item 2) are placed at Grade 3 (High impact chronic pain). Among the remaining persons with chronic pain, </w:t>
      </w:r>
      <w:r w:rsidR="00E62514">
        <w:rPr>
          <w:lang w:val="en-IL"/>
        </w:rPr>
        <w:t>the PEG score is determined by adding Q3+Q4+Q5. T</w:t>
      </w:r>
      <w:r w:rsidRPr="005E65D9">
        <w:rPr>
          <w:lang w:val="en-IL"/>
        </w:rPr>
        <w:t>hose with a PEG total score of 12 or greater are placed at Grade 2 (Bothersome chronic pain). Those with chronic pain that is not high impact and whose PEG score is less than 12 are placed at Grade 1 (Mild chronic pain).</w:t>
      </w:r>
    </w:p>
    <w:p w14:paraId="5C77ABEF" w14:textId="2F9C72E8" w:rsidR="00251B5C" w:rsidRDefault="00251B5C" w:rsidP="005E65D9">
      <w:pPr>
        <w:rPr>
          <w:lang w:val="en-IL"/>
        </w:rPr>
      </w:pPr>
      <w:r>
        <w:rPr>
          <w:lang w:val="en-IL"/>
        </w:rPr>
        <w:t>Thus the test gives 2 results:</w:t>
      </w:r>
    </w:p>
    <w:p w14:paraId="7CEE1DA3" w14:textId="713795AE" w:rsidR="00251B5C" w:rsidRDefault="00251B5C" w:rsidP="005E65D9">
      <w:pPr>
        <w:rPr>
          <w:lang w:val="en-IL"/>
        </w:rPr>
      </w:pPr>
      <w:r>
        <w:rPr>
          <w:lang w:val="en-IL"/>
        </w:rPr>
        <w:t>PEG score—indicating severity of recent pain</w:t>
      </w:r>
      <w:r w:rsidR="00CD13A5">
        <w:rPr>
          <w:lang w:val="en-IL"/>
        </w:rPr>
        <w:t xml:space="preserve"> total of q3,q4 and q5, range of</w:t>
      </w:r>
      <w:r w:rsidR="00F367DF">
        <w:rPr>
          <w:lang w:val="en-IL"/>
        </w:rPr>
        <w:t xml:space="preserve"> 0-30, and Average PEG score</w:t>
      </w:r>
      <w:r w:rsidR="002E1338">
        <w:rPr>
          <w:lang w:val="en-IL"/>
        </w:rPr>
        <w:t xml:space="preserve">  =</w:t>
      </w:r>
      <w:r w:rsidR="00F367DF">
        <w:rPr>
          <w:lang w:val="en-IL"/>
        </w:rPr>
        <w:t xml:space="preserve"> Total</w:t>
      </w:r>
      <w:r w:rsidR="002E1338">
        <w:rPr>
          <w:lang w:val="en-IL"/>
        </w:rPr>
        <w:t>/3</w:t>
      </w:r>
      <w:r w:rsidR="00CD13A5">
        <w:rPr>
          <w:lang w:val="en-IL"/>
        </w:rPr>
        <w:t>, range 0-10</w:t>
      </w:r>
    </w:p>
    <w:p w14:paraId="117E4D89" w14:textId="0D7523C7" w:rsidR="00251B5C" w:rsidRDefault="00251B5C" w:rsidP="005E65D9">
      <w:pPr>
        <w:rPr>
          <w:lang w:val="en-IL"/>
        </w:rPr>
      </w:pPr>
      <w:r>
        <w:rPr>
          <w:lang w:val="en-IL"/>
        </w:rPr>
        <w:t>-GCPS-R score—as noted above</w:t>
      </w:r>
      <w:r w:rsidR="00F367DF">
        <w:rPr>
          <w:lang w:val="en-IL"/>
        </w:rPr>
        <w:t xml:space="preserve"> 0-3</w:t>
      </w:r>
    </w:p>
    <w:p w14:paraId="098AF5BD" w14:textId="77777777" w:rsidR="00251B5C" w:rsidRPr="005E65D9" w:rsidRDefault="00251B5C" w:rsidP="005E65D9">
      <w:pPr>
        <w:rPr>
          <w:lang w:val="en-IL"/>
        </w:rPr>
      </w:pPr>
    </w:p>
    <w:p w14:paraId="5D413283" w14:textId="77777777" w:rsidR="00674629" w:rsidRDefault="00674629"/>
    <w:sectPr w:rsidR="00674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D9"/>
    <w:rsid w:val="0014404D"/>
    <w:rsid w:val="00251B5C"/>
    <w:rsid w:val="0027469E"/>
    <w:rsid w:val="002E1338"/>
    <w:rsid w:val="00547B28"/>
    <w:rsid w:val="005E65D9"/>
    <w:rsid w:val="00674629"/>
    <w:rsid w:val="00792382"/>
    <w:rsid w:val="00AC683E"/>
    <w:rsid w:val="00CD13A5"/>
    <w:rsid w:val="00E42774"/>
    <w:rsid w:val="00E62514"/>
    <w:rsid w:val="00F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B170"/>
  <w15:chartTrackingRefBased/>
  <w15:docId w15:val="{6976C814-C779-4386-85DC-FE99EB4E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5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5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mc.ncbi.nlm.nih.gov/articles/PMC7097879/figure/F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ncbi.nlm.nih.gov/core/lw/2.0/html/tileshop_pmc/tileshop_pmc_inline.html?title=Click%20on%20image%20to%20zoom&amp;p=PMC3&amp;id=7097879_nihms-1549852-f0002.jpg" TargetMode="External"/><Relationship Id="rId4" Type="http://schemas.openxmlformats.org/officeDocument/2006/relationships/hyperlink" Target="https://pmc.ncbi.nlm.nih.gov/articles/PMC7097879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Shames</dc:creator>
  <cp:keywords/>
  <dc:description/>
  <cp:lastModifiedBy>Jeffrey Shames</cp:lastModifiedBy>
  <cp:revision>3</cp:revision>
  <dcterms:created xsi:type="dcterms:W3CDTF">2026-06-04T16:21:00Z</dcterms:created>
  <dcterms:modified xsi:type="dcterms:W3CDTF">2026-06-04T16:34:00Z</dcterms:modified>
</cp:coreProperties>
</file>